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bl>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lastRenderedPageBreak/>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lastRenderedPageBreak/>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lastRenderedPageBreak/>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w:t>
            </w:r>
            <w:r>
              <w:rPr>
                <w:lang w:eastAsia="zh-CN"/>
              </w:rPr>
              <w:lastRenderedPageBreak/>
              <w:t xml:space="preserve">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 xml:space="preserve">t receive a RAN2 </w:t>
            </w:r>
            <w:r>
              <w:rPr>
                <w:rFonts w:hint="eastAsia"/>
                <w:color w:val="000000" w:themeColor="text1"/>
                <w:lang w:eastAsia="zh-CN"/>
              </w:rPr>
              <w:lastRenderedPageBreak/>
              <w:t>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lastRenderedPageBreak/>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lastRenderedPageBreak/>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bookmarkStart w:id="7" w:name="_GoBack"/>
            <w:bookmarkEnd w:id="7"/>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A669" w14:textId="77777777" w:rsidR="003B69B6" w:rsidRDefault="003B69B6">
      <w:pPr>
        <w:spacing w:after="0" w:line="240" w:lineRule="auto"/>
      </w:pPr>
      <w:r>
        <w:separator/>
      </w:r>
    </w:p>
  </w:endnote>
  <w:endnote w:type="continuationSeparator" w:id="0">
    <w:p w14:paraId="367C6218" w14:textId="77777777" w:rsidR="003B69B6" w:rsidRDefault="003B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3B69B6" w:rsidRDefault="003B6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3B69B6" w:rsidRDefault="003B6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3B69B6" w:rsidRDefault="003B69B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C560" w14:textId="77777777" w:rsidR="003B69B6" w:rsidRDefault="003B69B6">
      <w:pPr>
        <w:spacing w:after="0" w:line="240" w:lineRule="auto"/>
      </w:pPr>
      <w:r>
        <w:separator/>
      </w:r>
    </w:p>
  </w:footnote>
  <w:footnote w:type="continuationSeparator" w:id="0">
    <w:p w14:paraId="1C2A19AB" w14:textId="77777777" w:rsidR="003B69B6" w:rsidRDefault="003B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3B69B6" w:rsidRDefault="003B69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http://schemas.openxmlformats.org/package/2006/metadata/core-properties"/>
    <ds:schemaRef ds:uri="28d22441-8343-43f8-ac6d-b59b0fa8fca6"/>
    <ds:schemaRef ds:uri="http://www.w3.org/XML/1998/namespace"/>
    <ds:schemaRef ds:uri="http://purl.org/dc/dcmityp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1475716-66EF-412E-B3DD-C0ED2453B671}">
  <ds:schemaRefs>
    <ds:schemaRef ds:uri="http://schemas.openxmlformats.org/officeDocument/2006/bibliography"/>
  </ds:schemaRefs>
</ds:datastoreItem>
</file>

<file path=customXml/itemProps7.xml><?xml version="1.0" encoding="utf-8"?>
<ds:datastoreItem xmlns:ds="http://schemas.openxmlformats.org/officeDocument/2006/customXml" ds:itemID="{F9101B15-7EEE-4036-8B95-64737D7A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29</TotalTime>
  <Pages>28</Pages>
  <Words>12354</Words>
  <Characters>64818</Characters>
  <Application>Microsoft Office Word</Application>
  <DocSecurity>0</DocSecurity>
  <Lines>540</Lines>
  <Paragraphs>154</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Kaikkonen, Jorma (Nokia - FI/Oulu)</cp:lastModifiedBy>
  <cp:revision>4</cp:revision>
  <cp:lastPrinted>2011-11-09T07:49:00Z</cp:lastPrinted>
  <dcterms:created xsi:type="dcterms:W3CDTF">2020-08-21T16:17:00Z</dcterms:created>
  <dcterms:modified xsi:type="dcterms:W3CDTF">2020-08-21T17:13:00Z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