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August 17th – 28th,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Discussion summary of [102-e-NR-Mob-Enh-01]</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pPr>
        <w:pStyle w:val="115"/>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pPr>
        <w:ind w:firstLine="288"/>
        <w:rPr>
          <w:sz w:val="22"/>
          <w:szCs w:val="22"/>
          <w:lang w:val="en-GB" w:eastAsia="zh-CN"/>
        </w:rPr>
      </w:pPr>
    </w:p>
    <w:p>
      <w:pPr>
        <w:ind w:firstLine="288"/>
        <w:rPr>
          <w:sz w:val="22"/>
          <w:szCs w:val="22"/>
          <w:lang w:val="en-GB" w:eastAsia="zh-CN"/>
        </w:rPr>
      </w:pPr>
    </w:p>
    <w:p>
      <w:pPr>
        <w:pStyle w:val="2"/>
        <w:numPr>
          <w:ilvl w:val="0"/>
          <w:numId w:val="5"/>
        </w:numPr>
        <w:ind w:left="360"/>
        <w:rPr>
          <w:rFonts w:cs="Arial"/>
          <w:sz w:val="32"/>
          <w:szCs w:val="32"/>
          <w:lang w:val="en-US"/>
        </w:rPr>
      </w:pPr>
      <w:r>
        <w:rPr>
          <w:rFonts w:cs="Arial"/>
          <w:sz w:val="32"/>
          <w:szCs w:val="32"/>
        </w:rPr>
        <w:t>Recap of Issues from R1-2005942 [10]</w:t>
      </w:r>
    </w:p>
    <w:p>
      <w:pPr>
        <w:pStyle w:val="32"/>
        <w:spacing w:after="0"/>
        <w:rPr>
          <w:rFonts w:ascii="Times New Roman" w:hAnsi="Times New Roman"/>
          <w:sz w:val="22"/>
          <w:szCs w:val="22"/>
          <w:lang w:eastAsia="zh-CN"/>
        </w:rPr>
      </w:pPr>
    </w:p>
    <w:p>
      <w:pPr>
        <w:pStyle w:val="3"/>
        <w:rPr>
          <w:lang w:val="en-US"/>
        </w:rPr>
      </w:pPr>
      <w:r>
        <w:t>Issue #2) Power Sharing Mode for UL DAPS-HO [1][3][4][5][6][7]</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Proposal from [1]</w:t>
      </w:r>
    </w:p>
    <w:p>
      <w:pPr>
        <w:pStyle w:val="115"/>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pPr>
        <w:pStyle w:val="32"/>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pPr>
        <w:pStyle w:val="4"/>
        <w:rPr>
          <w:lang w:eastAsia="zh-CN"/>
        </w:rPr>
      </w:pPr>
      <w:r>
        <w:rPr>
          <w:lang w:eastAsia="zh-CN"/>
        </w:rPr>
        <w:t>#TP1-1</w:t>
      </w:r>
    </w:p>
    <w:tbl>
      <w:tblPr>
        <w:tblStyle w:val="5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ascii="Arial" w:hAnsi="Arial" w:eastAsia="Times New Roman"/>
                <w:sz w:val="36"/>
                <w:szCs w:val="22"/>
                <w:lang w:val="en-GB" w:eastAsia="zh-CN"/>
              </w:rPr>
            </w:pPr>
            <w:r>
              <w:rPr>
                <w:rFonts w:ascii="Arial" w:hAnsi="Arial" w:eastAsia="Times New Roman"/>
                <w:sz w:val="36"/>
                <w:szCs w:val="22"/>
                <w:lang w:val="en-GB" w:eastAsia="zh-CN"/>
              </w:rPr>
              <w:t>15</w:t>
            </w:r>
            <w:r>
              <w:rPr>
                <w:rFonts w:ascii="Arial" w:hAnsi="Arial" w:eastAsia="Times New Roman"/>
                <w:sz w:val="36"/>
                <w:szCs w:val="22"/>
                <w:lang w:val="en-GB" w:eastAsia="zh-CN"/>
              </w:rPr>
              <w:tab/>
            </w:r>
            <w:r>
              <w:rPr>
                <w:rFonts w:ascii="Arial" w:hAnsi="Arial" w:eastAsia="Times New Roman"/>
                <w:sz w:val="36"/>
                <w:szCs w:val="22"/>
                <w:lang w:val="en-GB" w:eastAsia="zh-CN"/>
              </w:rPr>
              <w:t>Dual active protocol stack based handover</w:t>
            </w:r>
          </w:p>
          <w:p>
            <w:pPr>
              <w:spacing w:before="0" w:after="0" w:line="240" w:lineRule="auto"/>
              <w:jc w:val="both"/>
            </w:pPr>
            <w:r>
              <w:rPr>
                <w:color w:val="FF0000"/>
              </w:rPr>
              <w:t>&lt;---------------------------Other parts are omitted</w:t>
            </w:r>
            <w:r>
              <w:rPr>
                <w:color w:val="FF0000"/>
                <w:lang w:eastAsia="zh-CN"/>
              </w:rPr>
              <w:t xml:space="preserve"> </w:t>
            </w:r>
            <w:r>
              <w:rPr>
                <w:color w:val="FF0000"/>
              </w:rPr>
              <w:t>-------------------------------&gt;</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0" w:after="0" w:line="240" w:lineRule="auto"/>
              <w:jc w:val="both"/>
              <w:rPr>
                <w:color w:val="FF0000"/>
                <w:u w:val="single"/>
              </w:rPr>
            </w:pPr>
            <w:r>
              <w:rPr>
                <w:color w:val="FF0000"/>
                <w:u w:val="single"/>
              </w:rPr>
              <w:t xml:space="preserve">If </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pPr>
              <w:spacing w:before="0" w:after="0" w:line="240" w:lineRule="auto"/>
              <w:jc w:val="both"/>
              <w:rPr>
                <w:color w:val="FF0000"/>
                <w:u w:val="single"/>
                <w:lang w:eastAsia="zh-CN"/>
              </w:rPr>
            </w:pPr>
            <w:r>
              <w:rPr>
                <w:color w:val="FF0000"/>
                <w:u w:val="single"/>
              </w:rPr>
              <w:t>the UE transmits only on the target cell</w:t>
            </w:r>
            <w:r>
              <w:rPr>
                <w:color w:val="FF0000"/>
                <w:u w:val="single"/>
                <w:lang w:eastAsia="zh-CN"/>
              </w:rPr>
              <w:t>.</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rPr>
                <w:lang w:eastAsia="zh-CN"/>
              </w:rPr>
            </w:pPr>
            <w:r>
              <w:t>-</w:t>
            </w:r>
            <w:r>
              <w:tab/>
            </w:r>
            <w:r>
              <w:t>overlapping time resources and overlapping frequency resources if the carrier frequencies for the target MCG and the source MCG are not intra-frequency and intra-band</w:t>
            </w:r>
          </w:p>
          <w:p>
            <w:pPr>
              <w:spacing w:before="0" w:after="0" w:line="240" w:lineRule="auto"/>
              <w:jc w:val="both"/>
              <w:rPr>
                <w:lang w:eastAsia="zh-CN"/>
              </w:rPr>
            </w:pPr>
            <w:r>
              <w:rPr>
                <w:color w:val="FF0000"/>
              </w:rPr>
              <w:t>&lt;---------------------------Other parts are omitted</w:t>
            </w:r>
            <w:r>
              <w:rPr>
                <w:color w:val="FF0000"/>
                <w:lang w:eastAsia="zh-CN"/>
              </w:rPr>
              <w:t xml:space="preserve"> </w:t>
            </w:r>
            <w:r>
              <w:rPr>
                <w:color w:val="FF0000"/>
              </w:rPr>
              <w:t>-------------------------------&gt;</w:t>
            </w:r>
          </w:p>
        </w:tc>
      </w:tr>
    </w:tbl>
    <w:p>
      <w:pPr>
        <w:rPr>
          <w:szCs w:val="21"/>
          <w:lang w:eastAsia="zh-CN"/>
        </w:rPr>
      </w:pPr>
    </w:p>
    <w:p>
      <w:pPr>
        <w:pStyle w:val="115"/>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3100"/>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Borders>
              <w:top w:val="single" w:color="auto" w:sz="4" w:space="0"/>
              <w:left w:val="single" w:color="auto" w:sz="4" w:space="0"/>
              <w:bottom w:val="single" w:color="auto" w:sz="4" w:space="0"/>
              <w:right w:val="single" w:color="auto" w:sz="4" w:space="0"/>
            </w:tcBorders>
          </w:tcPr>
          <w:p>
            <w:pPr>
              <w:spacing w:before="120" w:after="0" w:line="240" w:lineRule="auto"/>
              <w:jc w:val="center"/>
              <w:rPr>
                <w:rFonts w:eastAsiaTheme="minorEastAsia"/>
              </w:rPr>
            </w:pPr>
          </w:p>
        </w:tc>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NW sends an intra-frequency</w:t>
            </w:r>
          </w:p>
          <w:p>
            <w:pPr>
              <w:spacing w:before="0" w:after="0" w:line="240" w:lineRule="auto"/>
              <w:jc w:val="center"/>
              <w:rPr>
                <w:rFonts w:eastAsiaTheme="minorEastAsia"/>
              </w:rPr>
            </w:pPr>
            <w:r>
              <w:rPr>
                <w:rFonts w:eastAsiaTheme="minorEastAsia"/>
              </w:rPr>
              <w:t>DAPS-HO command to UE</w:t>
            </w:r>
          </w:p>
        </w:tc>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NW sends an intra-band</w:t>
            </w:r>
          </w:p>
          <w:p>
            <w:pPr>
              <w:spacing w:before="0" w:after="0" w:line="240" w:lineRule="auto"/>
              <w:jc w:val="center"/>
              <w:rPr>
                <w:rFonts w:eastAsiaTheme="minorEastAsia"/>
              </w:rPr>
            </w:pPr>
            <w:r>
              <w:rPr>
                <w:rFonts w:eastAsiaTheme="minorEastAsia"/>
              </w:rPr>
              <w:t>inter-frequency DAPS-HO command to UE</w:t>
            </w:r>
          </w:p>
        </w:tc>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Theme="minorEastAsia"/>
              </w:rPr>
            </w:pPr>
            <w:r>
              <w:rPr>
                <w:rFonts w:eastAsiaTheme="minorEastAsia"/>
              </w:rPr>
              <w:t xml:space="preserve">UE behavior </w:t>
            </w:r>
            <w:r>
              <w:rPr>
                <w:rFonts w:eastAsiaTheme="minorEastAsia"/>
              </w:rPr>
              <w:sym w:font="Wingdings" w:char="F0E8"/>
            </w:r>
          </w:p>
          <w:p>
            <w:pPr>
              <w:pStyle w:val="115"/>
              <w:widowControl w:val="0"/>
              <w:numPr>
                <w:ilvl w:val="0"/>
                <w:numId w:val="8"/>
              </w:numPr>
              <w:autoSpaceDE w:val="0"/>
              <w:autoSpaceDN w:val="0"/>
              <w:adjustRightInd w:val="0"/>
              <w:snapToGrid w:val="0"/>
              <w:spacing w:before="0" w:line="240" w:lineRule="auto"/>
              <w:jc w:val="both"/>
            </w:pPr>
            <w:r>
              <w:t>if UE indicates UL transmission cancellation support, UE performs source UL transmission cancellation</w:t>
            </w:r>
          </w:p>
          <w:p>
            <w:pPr>
              <w:pStyle w:val="115"/>
              <w:widowControl w:val="0"/>
              <w:numPr>
                <w:ilvl w:val="0"/>
                <w:numId w:val="8"/>
              </w:numPr>
              <w:autoSpaceDE w:val="0"/>
              <w:autoSpaceDN w:val="0"/>
              <w:adjustRightInd w:val="0"/>
              <w:snapToGrid w:val="0"/>
              <w:spacing w:before="0" w:line="240" w:lineRule="auto"/>
              <w:jc w:val="both"/>
            </w:pPr>
            <w:r>
              <w:t>if UE does not indicate UL transmission cancellation support and does not indicate UL power sharing support, UE expects PUCCH/PUSCH/SRS transmissions to be TDM-ed</w:t>
            </w:r>
          </w:p>
        </w:tc>
      </w:tr>
    </w:tbl>
    <w:p>
      <w:pPr>
        <w:pStyle w:val="32"/>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pPr>
        <w:pStyle w:val="4"/>
        <w:rPr>
          <w:lang w:eastAsia="zh-CN"/>
        </w:rPr>
      </w:pPr>
      <w:r>
        <w:rPr>
          <w:lang w:eastAsia="zh-CN"/>
        </w:rPr>
        <w:t>#TP1-2</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bCs/>
              </w:rPr>
            </w:pPr>
            <w:r>
              <w:rPr>
                <w:b/>
                <w:bCs/>
                <w:lang w:val="en-GB" w:eastAsia="en-GB"/>
              </w:rPr>
              <w:t>15   Dual active protocol stack based handover</w:t>
            </w:r>
          </w:p>
          <w:p>
            <w:pPr>
              <w:spacing w:before="0" w:after="0" w:line="240" w:lineRule="auto"/>
              <w:jc w:val="center"/>
              <w:rPr>
                <w:iCs/>
                <w:color w:val="FF0000"/>
                <w:lang w:eastAsia="en-GB"/>
              </w:rPr>
            </w:pPr>
            <w:r>
              <w:rPr>
                <w:iCs/>
                <w:color w:val="FF0000"/>
                <w:lang w:eastAsia="en-GB"/>
              </w:rPr>
              <w:t>&lt;unchanged text omitted&gt;</w:t>
            </w:r>
          </w:p>
          <w:p>
            <w:pPr>
              <w:spacing w:before="0" w:after="0" w:line="240" w:lineRule="auto"/>
              <w:jc w:val="both"/>
              <w:rPr>
                <w:color w:val="FF0000"/>
                <w:u w:val="single"/>
              </w:rPr>
            </w:pPr>
            <w:r>
              <w:rPr>
                <w:color w:val="FF0000"/>
                <w:u w:val="single"/>
              </w:rPr>
              <w:t>If</w:t>
            </w:r>
          </w:p>
          <w:p>
            <w:pPr>
              <w:pStyle w:val="115"/>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pPr>
              <w:pStyle w:val="115"/>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pPr>
              <w:pStyle w:val="115"/>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pPr>
              <w:spacing w:before="0" w:after="0" w:line="240" w:lineRule="auto"/>
              <w:jc w:val="both"/>
              <w:rPr>
                <w:color w:val="FF0000"/>
                <w:u w:val="single"/>
              </w:rPr>
            </w:pPr>
            <w:r>
              <w:rPr>
                <w:color w:val="FF0000"/>
                <w:u w:val="single"/>
              </w:rPr>
              <w:t>the UE does not expect transmissions on the target and source cell in overlapping time resources.</w:t>
            </w:r>
          </w:p>
          <w:p>
            <w:pPr>
              <w:spacing w:before="0" w:after="0" w:line="240" w:lineRule="auto"/>
              <w:jc w:val="both"/>
              <w:rPr>
                <w:color w:val="FF0000"/>
                <w:u w:val="single"/>
              </w:rPr>
            </w:pPr>
            <w:r>
              <w:rPr>
                <w:color w:val="FF0000"/>
                <w:u w:val="single"/>
              </w:rPr>
              <w:t>If</w:t>
            </w:r>
          </w:p>
          <w:p>
            <w:pPr>
              <w:pStyle w:val="115"/>
              <w:widowControl w:val="0"/>
              <w:numPr>
                <w:ilvl w:val="0"/>
                <w:numId w:val="9"/>
              </w:numPr>
              <w:autoSpaceDE w:val="0"/>
              <w:autoSpaceDN w:val="0"/>
              <w:adjustRightInd w:val="0"/>
              <w:snapToGrid w:val="0"/>
              <w:spacing w:before="0" w:line="240" w:lineRule="auto"/>
              <w:jc w:val="both"/>
              <w:rPr>
                <w:strike/>
                <w:color w:val="0070C0"/>
                <w:sz w:val="20"/>
                <w:szCs w:val="20"/>
              </w:rPr>
            </w:pPr>
            <w:r>
              <w:rPr>
                <w:strike/>
                <w:color w:val="0070C0"/>
                <w:sz w:val="20"/>
                <w:szCs w:val="20"/>
              </w:rPr>
              <w:t>the UE does not provide UplinkPowerSharingDAPS-HO, and</w:t>
            </w:r>
          </w:p>
          <w:p>
            <w:pPr>
              <w:pStyle w:val="115"/>
              <w:widowControl w:val="0"/>
              <w:numPr>
                <w:ilvl w:val="0"/>
                <w:numId w:val="9"/>
              </w:numPr>
              <w:autoSpaceDE w:val="0"/>
              <w:autoSpaceDN w:val="0"/>
              <w:adjustRightInd w:val="0"/>
              <w:snapToGrid w:val="0"/>
              <w:spacing w:before="0" w:line="240" w:lineRule="auto"/>
              <w:jc w:val="both"/>
              <w:rPr>
                <w:sz w:val="20"/>
                <w:szCs w:val="20"/>
              </w:rPr>
            </w:pPr>
            <w:r>
              <w:rPr>
                <w:sz w:val="20"/>
                <w:szCs w:val="20"/>
              </w:rPr>
              <w:t>UE transmissions on the target cell and the source cell overlap</w:t>
            </w:r>
            <w:r>
              <w:rPr>
                <w:color w:val="FF0000"/>
                <w:sz w:val="20"/>
                <w:szCs w:val="20"/>
                <w:u w:val="single"/>
              </w:rPr>
              <w:t>, and</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the carrier frequencies of target MCG and source MCG are intra-band intra-frequency, or</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the carrier frequencies of target MCG and source MCG are not intra-band intra-frequency, and</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pPr>
              <w:spacing w:before="0" w:after="0" w:line="240" w:lineRule="auto"/>
              <w:jc w:val="both"/>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pPr>
              <w:spacing w:before="0" w:after="0" w:line="240" w:lineRule="auto"/>
              <w:jc w:val="both"/>
              <w:rPr>
                <w:rFonts w:eastAsiaTheme="minorEastAsia"/>
              </w:rPr>
            </w:pPr>
            <w:r>
              <w:rPr>
                <w:color w:val="FF0000"/>
              </w:rPr>
              <w:t>&lt; End of the text proposal &gt;</w:t>
            </w:r>
          </w:p>
        </w:tc>
      </w:tr>
    </w:tbl>
    <w:p>
      <w:pPr>
        <w:rPr>
          <w:lang w:eastAsia="zh-CN"/>
        </w:rPr>
      </w:pPr>
    </w:p>
    <w:p>
      <w:pPr>
        <w:rPr>
          <w:szCs w:val="21"/>
          <w:lang w:eastAsia="zh-CN"/>
        </w:rPr>
      </w:pPr>
    </w:p>
    <w:p>
      <w:pPr>
        <w:pStyle w:val="115"/>
        <w:numPr>
          <w:ilvl w:val="0"/>
          <w:numId w:val="7"/>
        </w:numPr>
        <w:spacing w:line="256" w:lineRule="auto"/>
        <w:rPr>
          <w:lang w:eastAsia="zh-CN"/>
        </w:rPr>
      </w:pPr>
      <w:r>
        <w:rPr>
          <w:lang w:eastAsia="zh-CN"/>
        </w:rPr>
        <w:t xml:space="preserve">Proposal from [4] </w:t>
      </w:r>
    </w:p>
    <w:p>
      <w:pPr>
        <w:pStyle w:val="115"/>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pPr>
        <w:pStyle w:val="115"/>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#TP1-3</w:t>
      </w:r>
    </w:p>
    <w:tbl>
      <w:tblPr>
        <w:tblStyle w:val="50"/>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tcBorders>
              <w:top w:val="single" w:color="auto" w:sz="4" w:space="0"/>
              <w:left w:val="single" w:color="auto" w:sz="4" w:space="0"/>
              <w:bottom w:val="single" w:color="auto" w:sz="4" w:space="0"/>
              <w:right w:val="single" w:color="auto" w:sz="4" w:space="0"/>
            </w:tcBorders>
          </w:tcPr>
          <w:p>
            <w:pPr>
              <w:pStyle w:val="2"/>
              <w:spacing w:before="0" w:after="0" w:line="240" w:lineRule="auto"/>
              <w:jc w:val="both"/>
            </w:pPr>
            <w:r>
              <w:t>15</w:t>
            </w:r>
            <w:r>
              <w:tab/>
            </w:r>
            <w:r>
              <w:rPr>
                <w:lang w:eastAsia="zh-CN"/>
              </w:rPr>
              <w:t>Dual active protocol stack based handover</w:t>
            </w:r>
          </w:p>
          <w:p>
            <w:pPr>
              <w:spacing w:before="0" w:after="0" w:line="240" w:lineRule="auto"/>
              <w:jc w:val="both"/>
              <w:rPr>
                <w:i/>
                <w:iCs/>
                <w:color w:val="C00000"/>
              </w:rPr>
            </w:pPr>
            <w:r>
              <w:rPr>
                <w:i/>
                <w:iCs/>
                <w:color w:val="C00000"/>
              </w:rPr>
              <w:t>&lt;unchanged text omitted&gt;</w:t>
            </w:r>
          </w:p>
          <w:p>
            <w:pPr>
              <w:spacing w:before="0" w:after="0" w:line="240" w:lineRule="auto"/>
              <w:jc w:val="both"/>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pPr>
              <w:spacing w:before="0" w:after="0" w:line="240" w:lineRule="auto"/>
              <w:jc w:val="both"/>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pPr>
              <w:pStyle w:val="88"/>
              <w:spacing w:before="0" w:after="0" w:line="240" w:lineRule="auto"/>
              <w:ind w:left="560" w:hanging="276"/>
              <w:jc w:val="both"/>
            </w:pPr>
            <w:r>
              <w:t>-</w:t>
            </w:r>
            <w:r>
              <w:tab/>
            </w:r>
            <w:r>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m:t>2</m:t>
                  </m:r>
                  <m:r>
                    <m:rPr>
                      <m:nor/>
                      <m:sty m:val="p"/>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the UE does not provide </w:t>
            </w:r>
            <w:r>
              <w:rPr>
                <w:i/>
                <w:iCs/>
                <w:color w:val="FF0000"/>
                <w:u w:val="single"/>
              </w:rPr>
              <w:t xml:space="preserve">ul-TransCancellationDAPS-r16, </w:t>
            </w:r>
            <w:r>
              <w:rPr>
                <w:color w:val="FF0000"/>
                <w:u w:val="single"/>
              </w:rPr>
              <w:t>and</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UE transmissions on the target cell and the source cell overlap </w:t>
            </w:r>
          </w:p>
          <w:p>
            <w:pPr>
              <w:spacing w:before="0" w:after="0" w:line="240" w:lineRule="auto"/>
              <w:jc w:val="both"/>
              <w:rPr>
                <w:color w:val="FF0000"/>
                <w:u w:val="single"/>
              </w:rPr>
            </w:pPr>
            <w:r>
              <w:rPr>
                <w:color w:val="FF0000"/>
                <w:u w:val="single"/>
              </w:rPr>
              <w:t xml:space="preserve">the UE does not expect to transmit on the target and source in overlapping time resources. </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pPr>
            <w:r>
              <w:t>-</w:t>
            </w:r>
            <w:r>
              <w:tab/>
            </w:r>
            <w:r>
              <w:t>overlapping time resources and overlapping frequency resources if the carrier frequencies for the target MCG and the source MCG are not intra-frequency and intra-band</w:t>
            </w:r>
          </w:p>
          <w:p>
            <w:pPr>
              <w:spacing w:before="0" w:after="0" w:line="240" w:lineRule="auto"/>
              <w:jc w:val="both"/>
              <w:rPr>
                <w:color w:val="FF0000"/>
              </w:rPr>
            </w:pPr>
            <w:r>
              <w:rPr>
                <w:color w:val="FF0000"/>
              </w:rPr>
              <w:t>----- omitted ------</w:t>
            </w:r>
          </w:p>
        </w:tc>
      </w:tr>
    </w:tbl>
    <w:p>
      <w:pPr>
        <w:rPr>
          <w:lang w:eastAsia="zh-CN"/>
        </w:rPr>
      </w:pPr>
    </w:p>
    <w:p>
      <w:pPr>
        <w:pStyle w:val="115"/>
        <w:numPr>
          <w:ilvl w:val="0"/>
          <w:numId w:val="7"/>
        </w:numPr>
        <w:spacing w:line="256" w:lineRule="auto"/>
        <w:rPr>
          <w:lang w:eastAsia="zh-CN"/>
        </w:rPr>
      </w:pPr>
      <w:r>
        <w:rPr>
          <w:lang w:eastAsia="zh-CN"/>
        </w:rPr>
        <w:t>Proposal from [5]</w:t>
      </w:r>
    </w:p>
    <w:p>
      <w:pPr>
        <w:pStyle w:val="115"/>
        <w:numPr>
          <w:ilvl w:val="1"/>
          <w:numId w:val="7"/>
        </w:numPr>
        <w:spacing w:line="256" w:lineRule="auto"/>
        <w:rPr>
          <w:lang w:eastAsia="zh-CN"/>
        </w:rPr>
      </w:pPr>
      <w:r>
        <w:rPr>
          <w:lang w:eastAsia="zh-CN"/>
        </w:rPr>
        <w:t xml:space="preserve">(1) UE transmits only on target cell and drops the source cell transmission, </w:t>
      </w:r>
    </w:p>
    <w:p>
      <w:pPr>
        <w:pStyle w:val="115"/>
        <w:numPr>
          <w:ilvl w:val="1"/>
          <w:numId w:val="7"/>
        </w:numPr>
        <w:spacing w:line="256" w:lineRule="auto"/>
        <w:rPr>
          <w:lang w:eastAsia="zh-CN"/>
        </w:rPr>
      </w:pPr>
      <w:r>
        <w:rPr>
          <w:lang w:eastAsia="zh-CN"/>
        </w:rPr>
        <w:t xml:space="preserve">(2) UE does not expect gNB to schedule any overlapping target and source cell transmission, </w:t>
      </w:r>
    </w:p>
    <w:p>
      <w:pPr>
        <w:pStyle w:val="115"/>
        <w:numPr>
          <w:ilvl w:val="1"/>
          <w:numId w:val="7"/>
        </w:numPr>
        <w:spacing w:line="256" w:lineRule="auto"/>
        <w:rPr>
          <w:lang w:eastAsia="zh-CN"/>
        </w:rPr>
      </w:pPr>
      <w:r>
        <w:rPr>
          <w:lang w:eastAsia="zh-CN"/>
        </w:rPr>
        <w:t>(3) UE supports transmission of target and source cell transmissions using either semi-static or dynamic power sharing rules.</w:t>
      </w:r>
    </w:p>
    <w:p>
      <w:pPr>
        <w:pStyle w:val="115"/>
        <w:numPr>
          <w:ilvl w:val="1"/>
          <w:numId w:val="7"/>
        </w:numPr>
        <w:spacing w:line="256" w:lineRule="auto"/>
        <w:rPr>
          <w:lang w:eastAsia="zh-CN"/>
        </w:rPr>
      </w:pPr>
      <w:r>
        <w:rPr>
          <w:lang w:eastAsia="zh-CN"/>
        </w:rPr>
        <w:t>For Intra-frequency DAPS,</w:t>
      </w:r>
    </w:p>
    <w:p>
      <w:pPr>
        <w:pStyle w:val="115"/>
        <w:numPr>
          <w:ilvl w:val="2"/>
          <w:numId w:val="7"/>
        </w:numPr>
        <w:spacing w:line="256" w:lineRule="auto"/>
        <w:rPr>
          <w:lang w:eastAsia="zh-CN"/>
        </w:rPr>
      </w:pPr>
      <w:r>
        <w:rPr>
          <w:lang w:eastAsia="zh-CN"/>
        </w:rPr>
        <w:t>Apply case (3) if UE supports semi-static/dynamic power sharing and gNB configures semi-static of dynamic power sharing.</w:t>
      </w:r>
    </w:p>
    <w:p>
      <w:pPr>
        <w:pStyle w:val="115"/>
        <w:numPr>
          <w:ilvl w:val="2"/>
          <w:numId w:val="7"/>
        </w:numPr>
        <w:spacing w:line="256" w:lineRule="auto"/>
        <w:rPr>
          <w:lang w:eastAsia="zh-CN"/>
        </w:rPr>
      </w:pPr>
      <w:r>
        <w:rPr>
          <w:lang w:eastAsia="zh-CN"/>
        </w:rPr>
        <w:t xml:space="preserve">Otherwise, </w:t>
      </w:r>
    </w:p>
    <w:p>
      <w:pPr>
        <w:pStyle w:val="115"/>
        <w:numPr>
          <w:ilvl w:val="2"/>
          <w:numId w:val="7"/>
        </w:numPr>
        <w:spacing w:line="256" w:lineRule="auto"/>
        <w:rPr>
          <w:lang w:eastAsia="zh-CN"/>
        </w:rPr>
      </w:pPr>
      <w:r>
        <w:rPr>
          <w:lang w:eastAsia="zh-CN"/>
        </w:rPr>
        <w:t>Apply case (1). Uplink transmission cancellation support is mandatory for UE that support intra-frequency DAPS HO.</w:t>
      </w:r>
    </w:p>
    <w:p>
      <w:pPr>
        <w:pStyle w:val="115"/>
        <w:numPr>
          <w:ilvl w:val="1"/>
          <w:numId w:val="7"/>
        </w:numPr>
        <w:spacing w:line="256" w:lineRule="auto"/>
        <w:rPr>
          <w:lang w:eastAsia="zh-CN"/>
        </w:rPr>
      </w:pPr>
      <w:r>
        <w:rPr>
          <w:lang w:eastAsia="zh-CN"/>
        </w:rPr>
        <w:t xml:space="preserve">For Inter-frequency intra-band and Inter-frequency inter-band DAPS, </w:t>
      </w:r>
    </w:p>
    <w:p>
      <w:pPr>
        <w:pStyle w:val="115"/>
        <w:numPr>
          <w:ilvl w:val="2"/>
          <w:numId w:val="7"/>
        </w:numPr>
        <w:spacing w:line="256" w:lineRule="auto"/>
        <w:rPr>
          <w:lang w:eastAsia="zh-CN"/>
        </w:rPr>
      </w:pPr>
      <w:r>
        <w:rPr>
          <w:lang w:eastAsia="zh-CN"/>
        </w:rPr>
        <w:t>Apply case (3) if UE supports semi-static/dynamic power sharing and gNB configures semi-static of dynamic power sharing.</w:t>
      </w:r>
    </w:p>
    <w:p>
      <w:pPr>
        <w:pStyle w:val="115"/>
        <w:numPr>
          <w:ilvl w:val="2"/>
          <w:numId w:val="7"/>
        </w:numPr>
        <w:spacing w:line="256" w:lineRule="auto"/>
        <w:rPr>
          <w:lang w:eastAsia="zh-CN"/>
        </w:rPr>
      </w:pPr>
      <w:r>
        <w:rPr>
          <w:lang w:eastAsia="zh-CN"/>
        </w:rPr>
        <w:t xml:space="preserve">Otherwise, </w:t>
      </w:r>
    </w:p>
    <w:p>
      <w:pPr>
        <w:pStyle w:val="115"/>
        <w:numPr>
          <w:ilvl w:val="2"/>
          <w:numId w:val="7"/>
        </w:numPr>
        <w:spacing w:line="256" w:lineRule="auto"/>
        <w:rPr>
          <w:lang w:eastAsia="zh-CN"/>
        </w:rPr>
      </w:pPr>
      <w:r>
        <w:rPr>
          <w:lang w:eastAsia="zh-CN"/>
        </w:rPr>
        <w:t>Apply case (1) if UE supports UL transmission cancellation.</w:t>
      </w:r>
    </w:p>
    <w:p>
      <w:pPr>
        <w:pStyle w:val="115"/>
        <w:numPr>
          <w:ilvl w:val="2"/>
          <w:numId w:val="7"/>
        </w:numPr>
        <w:spacing w:line="256" w:lineRule="auto"/>
        <w:rPr>
          <w:lang w:eastAsia="zh-CN"/>
        </w:rPr>
      </w:pPr>
      <w:r>
        <w:rPr>
          <w:lang w:eastAsia="zh-CN"/>
        </w:rPr>
        <w:t>Apply case (2) if UE does not support UL transmission cancellation.</w:t>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#TP1-4</w:t>
      </w:r>
    </w:p>
    <w:tbl>
      <w:tblPr>
        <w:tblStyle w:val="49"/>
        <w:tblW w:w="9975" w:type="dxa"/>
        <w:tblInd w:w="0" w:type="dxa"/>
        <w:tblLayout w:type="fixed"/>
        <w:tblCellMar>
          <w:top w:w="0" w:type="dxa"/>
          <w:left w:w="0" w:type="dxa"/>
          <w:bottom w:w="0" w:type="dxa"/>
          <w:right w:w="0" w:type="dxa"/>
        </w:tblCellMar>
      </w:tblPr>
      <w:tblGrid>
        <w:gridCol w:w="9975"/>
      </w:tblGrid>
      <w:tr>
        <w:tblPrEx>
          <w:tblCellMar>
            <w:top w:w="0" w:type="dxa"/>
            <w:left w:w="0" w:type="dxa"/>
            <w:bottom w:w="0" w:type="dxa"/>
            <w:right w:w="0" w:type="dxa"/>
          </w:tblCellMar>
        </w:tblPrEx>
        <w:trPr>
          <w:trHeight w:val="43" w:hRule="atLeast"/>
        </w:trPr>
        <w:tc>
          <w:tcPr>
            <w:tcW w:w="99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b/>
                <w:bCs/>
              </w:rPr>
            </w:pPr>
            <w:r>
              <w:rPr>
                <w:b/>
                <w:bCs/>
                <w:lang w:val="en-GB" w:eastAsia="en-GB"/>
              </w:rPr>
              <w:t>15   Dual active protocol stack based handover</w:t>
            </w:r>
          </w:p>
          <w:p>
            <w:pPr>
              <w:spacing w:after="0"/>
              <w:rPr>
                <w:i/>
                <w:iCs/>
                <w:color w:val="FF0000"/>
                <w:lang w:eastAsia="en-GB"/>
              </w:rPr>
            </w:pPr>
            <w:r>
              <w:rPr>
                <w:i/>
                <w:iCs/>
                <w:color w:val="FF0000"/>
                <w:lang w:eastAsia="en-GB"/>
              </w:rPr>
              <w:t>&lt;unchanged text omitted&gt;</w:t>
            </w:r>
          </w:p>
          <w:p>
            <w:pPr>
              <w:spacing w:after="0"/>
              <w:rPr>
                <w:lang w:eastAsia="en-GB"/>
              </w:rPr>
            </w:pPr>
            <w:r>
              <w:rPr>
                <w:lang w:eastAsia="en-GB"/>
              </w:rPr>
              <w:t>If</w:t>
            </w:r>
          </w:p>
          <w:p>
            <w:pPr>
              <w:pStyle w:val="88"/>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ctrlPr>
                    <w:rPr>
                      <w:rFonts w:ascii="Cambria Math" w:hAnsi="Cambria Math"/>
                      <w:i/>
                      <w:iCs/>
                    </w:rPr>
                  </m:ctrlP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pPr>
              <w:spacing w:after="0"/>
              <w:rPr>
                <w:lang w:eastAsia="zh-TW"/>
              </w:rPr>
            </w:pPr>
          </w:p>
          <w:p>
            <w:pPr>
              <w:spacing w:after="0"/>
              <w:rPr>
                <w:strike/>
                <w:color w:val="0070C0"/>
              </w:rPr>
            </w:pPr>
            <w:r>
              <w:rPr>
                <w:strike/>
                <w:color w:val="0070C0"/>
              </w:rPr>
              <w:t>UE transmissions on the target cell and the source cell overlap if they are in</w:t>
            </w:r>
          </w:p>
          <w:p>
            <w:pPr>
              <w:pStyle w:val="88"/>
              <w:spacing w:after="0"/>
              <w:ind w:left="560" w:hanging="276"/>
              <w:rPr>
                <w:strike/>
                <w:color w:val="0070C0"/>
              </w:rPr>
            </w:pPr>
            <w:r>
              <w:rPr>
                <w:strike/>
                <w:color w:val="0070C0"/>
              </w:rPr>
              <w:t>-</w:t>
            </w:r>
            <w:r>
              <w:rPr>
                <w:strike/>
                <w:color w:val="0070C0"/>
              </w:rPr>
              <w:tab/>
            </w:r>
            <w:r>
              <w:rPr>
                <w:strike/>
                <w:color w:val="0070C0"/>
              </w:rPr>
              <w:t>overlapping time resources if the carrier frequencies for the target MCG and the source MCG are intra-frequency and intra-band</w:t>
            </w:r>
            <w:r>
              <w:rPr>
                <w:strike/>
                <w:color w:val="0070C0"/>
                <w:u w:val="single"/>
              </w:rPr>
              <w:t>,</w:t>
            </w:r>
          </w:p>
          <w:p>
            <w:pPr>
              <w:pStyle w:val="88"/>
              <w:spacing w:after="0"/>
              <w:ind w:left="560" w:hanging="276"/>
              <w:rPr>
                <w:strike/>
                <w:color w:val="0070C0"/>
                <w:u w:val="single"/>
              </w:rPr>
            </w:pPr>
            <w:r>
              <w:rPr>
                <w:strike/>
                <w:color w:val="0070C0"/>
              </w:rPr>
              <w:t>-</w:t>
            </w:r>
            <w:r>
              <w:rPr>
                <w:strike/>
                <w:color w:val="0070C0"/>
              </w:rPr>
              <w:tab/>
            </w:r>
            <w:r>
              <w:rPr>
                <w:strike/>
                <w:color w:val="0070C0"/>
              </w:rPr>
              <w:t>overlapping time resources and overlapping frequency resources if the carrier frequencies for the target MCG and the source MCG are not intra-frequency and intra-band</w:t>
            </w:r>
          </w:p>
          <w:p>
            <w:pPr>
              <w:spacing w:after="0"/>
              <w:rPr>
                <w:color w:val="FF0000"/>
                <w:u w:val="single"/>
                <w:lang w:eastAsia="en-GB"/>
              </w:rPr>
            </w:pPr>
            <w:r>
              <w:rPr>
                <w:color w:val="FF0000"/>
                <w:u w:val="single"/>
                <w:lang w:eastAsia="en-GB"/>
              </w:rPr>
              <w:t>If</w:t>
            </w:r>
          </w:p>
          <w:p>
            <w:pPr>
              <w:pStyle w:val="88"/>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pPr>
              <w:pStyle w:val="88"/>
              <w:spacing w:after="0"/>
              <w:ind w:left="0" w:firstLine="0"/>
              <w:rPr>
                <w:color w:val="FF0000"/>
                <w:u w:val="single"/>
              </w:rPr>
            </w:pPr>
            <w:r>
              <w:rPr>
                <w:color w:val="FF0000"/>
                <w:u w:val="single"/>
              </w:rPr>
              <w:t>the UE does not expect transmissions on the target and source cell in overlapping time resources.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Proposal from [6]</w:t>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#TP1-5</w:t>
      </w:r>
    </w:p>
    <w:tbl>
      <w:tblPr>
        <w:tblStyle w:val="50"/>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u w:val="single"/>
                <w:lang w:eastAsia="ko-KR"/>
              </w:rPr>
            </w:pPr>
            <w:r>
              <w:rPr>
                <w:b/>
                <w:u w:val="single"/>
                <w:lang w:eastAsia="ko-KR"/>
              </w:rPr>
              <w:t>Text proposal #1 for section 15 in TS38.213</w:t>
            </w:r>
          </w:p>
          <w:p>
            <w:pPr>
              <w:spacing w:before="0" w:after="0" w:line="240" w:lineRule="auto"/>
              <w:jc w:val="both"/>
            </w:pPr>
            <w:r>
              <w:t>----omitted----</w:t>
            </w:r>
          </w:p>
          <w:p>
            <w:pPr>
              <w:spacing w:before="0" w:after="0" w:line="240" w:lineRule="auto"/>
              <w:jc w:val="both"/>
              <w:rPr>
                <w:i/>
                <w:iCs/>
                <w:color w:val="FF0000"/>
                <w:lang w:eastAsia="en-GB"/>
              </w:rPr>
            </w:pPr>
            <w:r>
              <w:rPr>
                <w:i/>
                <w:iCs/>
                <w:color w:val="FF0000"/>
                <w:lang w:eastAsia="en-GB"/>
              </w:rPr>
              <w:t>&lt;unchanged text omitted&gt;</w:t>
            </w:r>
          </w:p>
          <w:p>
            <w:pPr>
              <w:spacing w:before="0" w:after="0" w:line="240" w:lineRule="auto"/>
              <w:jc w:val="both"/>
              <w:rPr>
                <w:color w:val="C00000"/>
                <w:u w:val="single"/>
                <w:lang w:eastAsia="en-GB"/>
              </w:rPr>
            </w:pPr>
            <w:r>
              <w:rPr>
                <w:color w:val="C00000"/>
                <w:u w:val="single"/>
                <w:lang w:eastAsia="en-GB"/>
              </w:rPr>
              <w:t xml:space="preserve">If </w:t>
            </w:r>
          </w:p>
          <w:p>
            <w:pPr>
              <w:pStyle w:val="88"/>
              <w:spacing w:before="0" w:after="0" w:line="240" w:lineRule="auto"/>
              <w:ind w:left="560" w:hanging="276"/>
              <w:jc w:val="both"/>
              <w:rPr>
                <w:color w:val="C00000"/>
                <w:u w:val="single"/>
              </w:rPr>
            </w:pPr>
            <w:r>
              <w:rPr>
                <w:color w:val="C00000"/>
                <w:u w:val="single"/>
              </w:rPr>
              <w:t>-     the UE indicates support of cancelling uplink transmission for DAPS handover or the carrier frequencies of target MCG and source MCG are intra-frequency, and</w:t>
            </w:r>
          </w:p>
          <w:p>
            <w:pPr>
              <w:pStyle w:val="88"/>
              <w:spacing w:before="0" w:after="0" w:line="240" w:lineRule="auto"/>
              <w:ind w:left="560" w:hanging="276"/>
              <w:jc w:val="both"/>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pPr>
              <w:pStyle w:val="88"/>
              <w:spacing w:before="0" w:after="0" w:line="240" w:lineRule="auto"/>
              <w:ind w:left="560" w:hanging="276"/>
              <w:jc w:val="both"/>
              <w:rPr>
                <w:color w:val="C00000"/>
                <w:u w:val="single"/>
              </w:rPr>
            </w:pPr>
            <w:r>
              <w:rPr>
                <w:color w:val="C00000"/>
                <w:u w:val="single"/>
              </w:rPr>
              <w:t xml:space="preserve">-     UE transmissions on the target cell and the source cell are in overlapping time resources, </w:t>
            </w:r>
          </w:p>
          <w:p>
            <w:pPr>
              <w:spacing w:before="0" w:after="0" w:line="240" w:lineRule="auto"/>
              <w:jc w:val="both"/>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pPr>
              <w:spacing w:before="0" w:after="0" w:line="240" w:lineRule="auto"/>
              <w:jc w:val="both"/>
              <w:rPr>
                <w:color w:val="C00000"/>
                <w:u w:val="single"/>
                <w:lang w:eastAsia="en-GB"/>
              </w:rPr>
            </w:pPr>
            <w:r>
              <w:rPr>
                <w:color w:val="C00000"/>
                <w:u w:val="single"/>
                <w:lang w:eastAsia="en-GB"/>
              </w:rPr>
              <w:t xml:space="preserve">If </w:t>
            </w:r>
          </w:p>
          <w:p>
            <w:pPr>
              <w:pStyle w:val="88"/>
              <w:spacing w:before="0" w:after="0" w:line="240" w:lineRule="auto"/>
              <w:ind w:left="560" w:hanging="276"/>
              <w:jc w:val="both"/>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pPr>
              <w:pStyle w:val="88"/>
              <w:spacing w:before="0" w:after="0" w:line="240" w:lineRule="auto"/>
              <w:ind w:left="560" w:hanging="276"/>
              <w:jc w:val="both"/>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pPr>
              <w:pStyle w:val="88"/>
              <w:spacing w:before="0" w:after="0" w:line="240" w:lineRule="auto"/>
              <w:ind w:left="560" w:hanging="276"/>
              <w:jc w:val="both"/>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pPr>
              <w:spacing w:before="0" w:after="0" w:line="240" w:lineRule="auto"/>
              <w:jc w:val="both"/>
              <w:rPr>
                <w:color w:val="C00000"/>
                <w:u w:val="single"/>
                <w:lang w:eastAsia="en-GB"/>
              </w:rPr>
            </w:pPr>
            <w:r>
              <w:rPr>
                <w:color w:val="C00000"/>
                <w:u w:val="single"/>
                <w:lang w:eastAsia="en-GB"/>
              </w:rPr>
              <w:t>the UE does not expect transmissions on the target and source cell in overlapping time resources.</w:t>
            </w:r>
          </w:p>
          <w:p>
            <w:pPr>
              <w:spacing w:before="0" w:after="0" w:line="240" w:lineRule="auto"/>
              <w:jc w:val="both"/>
              <w:rPr>
                <w:lang w:eastAsia="en-GB"/>
              </w:rPr>
            </w:pPr>
            <w:r>
              <w:rPr>
                <w:lang w:eastAsia="en-GB"/>
              </w:rPr>
              <w:t>If</w:t>
            </w:r>
          </w:p>
          <w:p>
            <w:pPr>
              <w:spacing w:before="0" w:after="0" w:line="240" w:lineRule="auto"/>
              <w:ind w:left="288"/>
              <w:jc w:val="both"/>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pPr>
              <w:spacing w:before="0" w:after="0" w:line="240" w:lineRule="auto"/>
              <w:ind w:left="288"/>
              <w:jc w:val="both"/>
              <w:rPr>
                <w:color w:val="C00000"/>
                <w:u w:val="single"/>
                <w:lang w:eastAsia="en-GB"/>
              </w:rPr>
            </w:pPr>
            <w:r>
              <w:rPr>
                <w:lang w:eastAsia="en-GB"/>
              </w:rPr>
              <w:t>-   UE transmissions on the target cell and the source cell overlap</w:t>
            </w:r>
            <w:r>
              <w:rPr>
                <w:color w:val="C00000"/>
                <w:u w:val="single"/>
                <w:lang w:eastAsia="en-GB"/>
              </w:rPr>
              <w:t>,</w:t>
            </w:r>
          </w:p>
          <w:p>
            <w:pPr>
              <w:spacing w:before="0" w:after="0" w:line="240" w:lineRule="auto"/>
              <w:jc w:val="both"/>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   overlapping time resources if the carrier frequencies for the target MCG and the source MCG are intra-frequency and intra-band</w:t>
            </w:r>
          </w:p>
          <w:p>
            <w:pPr>
              <w:spacing w:before="0" w:after="0" w:line="240" w:lineRule="auto"/>
              <w:ind w:left="284"/>
              <w:jc w:val="both"/>
            </w:pPr>
            <w:r>
              <w:t>-   overlapping time resources and overlapping frequency resources if the carrier frequencies for the target MCG and the source MCG are not intra-frequency and intra-band</w:t>
            </w:r>
          </w:p>
          <w:p>
            <w:pPr>
              <w:spacing w:before="0" w:after="0" w:line="240" w:lineRule="auto"/>
              <w:jc w:val="both"/>
            </w:pPr>
            <w:r>
              <w:t>For intra-frequency DAPS HO operation, the UE expects that an active DL BWP and an active UL BWP on the target cell are within an active DL BWP and an active UL BWP on the source cell, respectively.</w:t>
            </w:r>
          </w:p>
          <w:p>
            <w:pPr>
              <w:spacing w:before="0" w:after="0" w:line="240" w:lineRule="auto"/>
              <w:jc w:val="both"/>
              <w:rPr>
                <w:color w:val="FF0000"/>
              </w:rPr>
            </w:pPr>
            <w:r>
              <w:rPr>
                <w:color w:val="C00000"/>
                <w:u w:val="single"/>
                <w:lang w:eastAsia="en-GB"/>
              </w:rPr>
              <w:t>The UE determines intra-frequency as described in Clause 9.2.1 of [10, TS38.133].</w:t>
            </w:r>
          </w:p>
          <w:p>
            <w:pPr>
              <w:spacing w:before="0" w:after="0" w:line="240" w:lineRule="auto"/>
              <w:jc w:val="both"/>
            </w:pPr>
            <w:r>
              <w:t>----omitted----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 xml:space="preserve">Proposal from [7]: </w:t>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#TP1-6</w:t>
      </w:r>
    </w:p>
    <w:tbl>
      <w:tblPr>
        <w:tblStyle w:val="5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bCs/>
              </w:rPr>
            </w:pPr>
            <w:r>
              <w:rPr>
                <w:b/>
                <w:bCs/>
                <w:lang w:val="en-GB" w:eastAsia="en-GB"/>
              </w:rPr>
              <w:t>15   Dual active protocol stack based handover</w:t>
            </w:r>
          </w:p>
          <w:p>
            <w:pPr>
              <w:spacing w:before="0" w:after="0" w:line="240" w:lineRule="auto"/>
              <w:jc w:val="both"/>
              <w:rPr>
                <w:i/>
                <w:iCs/>
                <w:color w:val="FF0000"/>
                <w:lang w:eastAsia="en-GB"/>
              </w:rPr>
            </w:pPr>
            <w:r>
              <w:rPr>
                <w:i/>
                <w:iCs/>
                <w:color w:val="FF0000"/>
                <w:lang w:eastAsia="en-GB"/>
              </w:rPr>
              <w:t>&lt;unchanged text omitted&gt;</w:t>
            </w:r>
          </w:p>
          <w:p>
            <w:pPr>
              <w:spacing w:before="0" w:after="0" w:line="240" w:lineRule="auto"/>
              <w:jc w:val="both"/>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pPr>
              <w:spacing w:before="0" w:after="0" w:line="240" w:lineRule="auto"/>
              <w:jc w:val="both"/>
              <w:rPr>
                <w:color w:val="C00000"/>
                <w:u w:val="single"/>
                <w:lang w:eastAsia="en-GB"/>
              </w:rPr>
            </w:pPr>
            <w:r>
              <w:rPr>
                <w:color w:val="C00000"/>
                <w:u w:val="single"/>
                <w:lang w:eastAsia="en-GB"/>
              </w:rPr>
              <w:t>If the carrier frequencies of target MCG and souce MCG are inter-frequency</w:t>
            </w:r>
          </w:p>
          <w:p>
            <w:pPr>
              <w:pStyle w:val="88"/>
              <w:spacing w:before="0" w:after="0" w:line="240" w:lineRule="auto"/>
              <w:ind w:left="560" w:hanging="276"/>
              <w:jc w:val="both"/>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pPr>
              <w:pStyle w:val="88"/>
              <w:spacing w:before="0" w:after="0" w:line="240" w:lineRule="auto"/>
              <w:ind w:left="560" w:hanging="276"/>
              <w:jc w:val="both"/>
              <w:rPr>
                <w:color w:val="C00000"/>
                <w:u w:val="single"/>
                <w:lang w:val="en-GB"/>
              </w:rPr>
            </w:pPr>
            <w:r>
              <w:rPr>
                <w:color w:val="C00000"/>
                <w:u w:val="single"/>
                <w:lang w:val="en-GB"/>
              </w:rPr>
              <w:t xml:space="preserve">-   if UE transmissions on the target cell and the source cell are in overlapping time resources , </w:t>
            </w:r>
          </w:p>
          <w:p>
            <w:pPr>
              <w:pStyle w:val="88"/>
              <w:spacing w:before="0" w:after="0" w:line="240" w:lineRule="auto"/>
              <w:ind w:left="560" w:hanging="276"/>
              <w:jc w:val="both"/>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pPr>
              <w:pStyle w:val="88"/>
              <w:spacing w:before="0" w:after="0" w:line="240" w:lineRule="auto"/>
              <w:ind w:left="560" w:hanging="276"/>
              <w:jc w:val="both"/>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pPr>
              <w:pStyle w:val="88"/>
              <w:spacing w:before="0" w:after="0" w:line="240" w:lineRule="auto"/>
              <w:ind w:left="560" w:hanging="276"/>
              <w:jc w:val="both"/>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pPr>
              <w:spacing w:before="0" w:after="0" w:line="240" w:lineRule="auto"/>
              <w:jc w:val="both"/>
              <w:rPr>
                <w:strike/>
                <w:color w:val="0432FF"/>
              </w:rPr>
            </w:pPr>
            <w:r>
              <w:rPr>
                <w:strike/>
                <w:color w:val="0432FF"/>
              </w:rPr>
              <w:t xml:space="preserve">If </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 xml:space="preserve">the UE does not provide </w:t>
            </w:r>
            <w:r>
              <w:rPr>
                <w:bCs/>
                <w:i/>
                <w:iCs/>
                <w:strike/>
                <w:color w:val="0432FF"/>
                <w:lang w:eastAsia="ko-KR"/>
              </w:rPr>
              <w:t>UplinkPowerSharingDAPS-HO</w:t>
            </w:r>
            <w:r>
              <w:rPr>
                <w:strike/>
                <w:color w:val="0432FF"/>
              </w:rPr>
              <w:t xml:space="preserve">, and </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 xml:space="preserve">UE transmissions on the target cell and the source cell overlap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strike/>
                <w:color w:val="0432FF"/>
              </w:rPr>
            </w:pPr>
            <w:r>
              <w:rPr>
                <w:strike/>
                <w:color w:val="0432FF"/>
              </w:rPr>
              <w:t>UE transmissions on the target cell and the source cell overlap if they are in</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overlapping time resources if the carrier frequencies for the target MCG and the source MCG are intra-frequency and intra-band</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overlapping time resources and overlapping frequency resources if the carrier frequencies for the target MCG and the source MCG are not intra-frequency and intra-band</w:t>
            </w:r>
          </w:p>
        </w:tc>
      </w:tr>
    </w:tbl>
    <w:p>
      <w:pPr>
        <w:rPr>
          <w:color w:val="000000"/>
        </w:rPr>
      </w:pPr>
    </w:p>
    <w:p>
      <w:pPr>
        <w:pStyle w:val="115"/>
        <w:numPr>
          <w:ilvl w:val="0"/>
          <w:numId w:val="7"/>
        </w:numPr>
        <w:spacing w:line="256" w:lineRule="auto"/>
        <w:rPr>
          <w:lang w:eastAsia="zh-CN"/>
        </w:rPr>
      </w:pPr>
      <w:r>
        <w:rPr>
          <w:lang w:eastAsia="zh-CN"/>
        </w:rPr>
        <w:t>Proposal from [8]</w:t>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#TP1-8</w:t>
      </w:r>
    </w:p>
    <w:tbl>
      <w:tblPr>
        <w:tblStyle w:val="50"/>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sz w:val="24"/>
                <w:szCs w:val="24"/>
              </w:rPr>
            </w:pPr>
            <w:r>
              <w:rPr>
                <w:sz w:val="24"/>
                <w:szCs w:val="24"/>
              </w:rPr>
              <w:t>15</w:t>
            </w:r>
            <w:r>
              <w:rPr>
                <w:sz w:val="24"/>
                <w:szCs w:val="24"/>
              </w:rPr>
              <w:tab/>
            </w:r>
            <w:r>
              <w:rPr>
                <w:sz w:val="24"/>
                <w:szCs w:val="24"/>
              </w:rPr>
              <w:t>Dual active protocol stack based handover</w:t>
            </w:r>
          </w:p>
          <w:p>
            <w:pPr>
              <w:spacing w:before="0" w:after="0" w:line="240" w:lineRule="auto"/>
              <w:jc w:val="center"/>
            </w:pPr>
            <w:r>
              <w:t>&lt;unchanged text omitted&gt;</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0" w:after="0" w:line="240" w:lineRule="auto"/>
              <w:jc w:val="both"/>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pPr>
              <w:spacing w:before="0" w:after="0" w:line="240" w:lineRule="auto"/>
              <w:jc w:val="center"/>
            </w:pPr>
            <w:r>
              <w:t>&lt;unchanged text omitted&gt;</w:t>
            </w:r>
          </w:p>
          <w:p>
            <w:pPr>
              <w:spacing w:before="0" w:after="0" w:line="240" w:lineRule="auto"/>
              <w:jc w:val="both"/>
              <w:rPr>
                <w:color w:val="FF0000"/>
                <w:u w:val="single"/>
              </w:rPr>
            </w:pPr>
            <w:r>
              <w:rPr>
                <w:color w:val="FF0000"/>
                <w:u w:val="single"/>
              </w:rPr>
              <w:t xml:space="preserve">If </w:t>
            </w:r>
          </w:p>
          <w:p>
            <w:pPr>
              <w:pStyle w:val="115"/>
              <w:numPr>
                <w:ilvl w:val="0"/>
                <w:numId w:val="10"/>
              </w:numPr>
              <w:overflowPunct w:val="0"/>
              <w:autoSpaceDE w:val="0"/>
              <w:autoSpaceDN w:val="0"/>
              <w:adjustRightInd w:val="0"/>
              <w:spacing w:before="0" w:line="240" w:lineRule="auto"/>
              <w:contextualSpacing/>
              <w:jc w:val="both"/>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pPr>
              <w:pStyle w:val="115"/>
              <w:numPr>
                <w:ilvl w:val="0"/>
                <w:numId w:val="10"/>
              </w:numPr>
              <w:overflowPunct w:val="0"/>
              <w:autoSpaceDE w:val="0"/>
              <w:autoSpaceDN w:val="0"/>
              <w:adjustRightInd w:val="0"/>
              <w:spacing w:before="0" w:line="240" w:lineRule="auto"/>
              <w:contextualSpacing/>
              <w:jc w:val="both"/>
              <w:textAlignment w:val="baseline"/>
            </w:pPr>
            <w:r>
              <w:rPr>
                <w:color w:val="FF0000"/>
                <w:u w:val="single"/>
              </w:rPr>
              <w:t>UE transmissions on the target cell and the source cell are in overlapping time resources</w:t>
            </w:r>
          </w:p>
          <w:p>
            <w:pPr>
              <w:spacing w:before="0" w:after="0" w:line="240" w:lineRule="auto"/>
              <w:jc w:val="both"/>
            </w:pPr>
            <w:r>
              <w:rPr>
                <w:color w:val="FF0000"/>
                <w:u w:val="single"/>
              </w:rPr>
              <w:t xml:space="preserve">Or </w:t>
            </w:r>
            <w:r>
              <w:rPr>
                <w:strike/>
                <w:color w:val="0070C0"/>
              </w:rPr>
              <w:t>I</w:t>
            </w:r>
            <w:r>
              <w:rPr>
                <w:color w:val="FF0000"/>
                <w:u w:val="single"/>
              </w:rPr>
              <w:t>i</w:t>
            </w:r>
            <w:r>
              <w:t xml:space="preserve">f </w:t>
            </w:r>
          </w:p>
          <w:p>
            <w:pPr>
              <w:pStyle w:val="88"/>
              <w:spacing w:before="0" w:after="0" w:line="240" w:lineRule="auto"/>
              <w:ind w:left="560" w:hanging="276"/>
              <w:jc w:val="both"/>
            </w:pPr>
            <w:r>
              <w:t>-</w:t>
            </w:r>
            <w:r>
              <w:tab/>
            </w:r>
            <w:r>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pPr>
              <w:pStyle w:val="88"/>
              <w:spacing w:before="0" w:after="0" w:line="240" w:lineRule="auto"/>
              <w:ind w:left="560" w:hanging="276"/>
              <w:jc w:val="both"/>
            </w:pPr>
            <w:r>
              <w:t>-</w:t>
            </w:r>
            <w:r>
              <w:tab/>
            </w:r>
            <w:r>
              <w:t>UE transmissions on the target cell and the source cell overlap</w:t>
            </w:r>
            <w:r>
              <w:rPr>
                <w:color w:val="FF0000"/>
                <w:u w:val="single"/>
              </w:rPr>
              <w:t>,</w:t>
            </w:r>
            <w:r>
              <w:t xml:space="preserve">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pPr>
            <w:r>
              <w:t>-</w:t>
            </w:r>
            <w:r>
              <w:tab/>
            </w:r>
            <w:r>
              <w:t>overlapping time resources and overlapping frequency resources if the carrier frequencies for the target MCG and the source MCG are not intra-frequency and intra-band</w:t>
            </w:r>
          </w:p>
          <w:p>
            <w:pPr>
              <w:spacing w:before="0" w:after="0" w:line="240" w:lineRule="auto"/>
              <w:jc w:val="center"/>
            </w:pPr>
            <w:r>
              <w:t>&lt;unchanged text omitted&gt;</w:t>
            </w:r>
          </w:p>
        </w:tc>
      </w:tr>
    </w:tbl>
    <w:p/>
    <w:p>
      <w:pPr>
        <w:pStyle w:val="32"/>
        <w:spacing w:after="0"/>
        <w:rPr>
          <w:rFonts w:ascii="Times New Roman" w:hAnsi="Times New Roman"/>
          <w:sz w:val="22"/>
          <w:szCs w:val="22"/>
          <w:lang w:eastAsia="zh-CN"/>
        </w:rPr>
      </w:pPr>
    </w:p>
    <w:p>
      <w:pPr>
        <w:pStyle w:val="3"/>
        <w:rPr>
          <w:lang w:val="en-US"/>
        </w:rPr>
      </w:pPr>
      <w:r>
        <w:t>Issue #4) DAPS HO with m-TRP [3]</w:t>
      </w:r>
    </w:p>
    <w:p>
      <w:pPr>
        <w:pStyle w:val="32"/>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Proposal from [3]</w:t>
      </w:r>
    </w:p>
    <w:p>
      <w:pPr>
        <w:pStyle w:val="115"/>
        <w:numPr>
          <w:ilvl w:val="1"/>
          <w:numId w:val="7"/>
        </w:numPr>
        <w:spacing w:line="256" w:lineRule="auto"/>
        <w:rPr>
          <w:lang w:eastAsia="zh-CN"/>
        </w:rPr>
      </w:pPr>
      <w:r>
        <w:rPr>
          <w:lang w:eastAsia="zh-CN"/>
        </w:rPr>
        <w:t xml:space="preserve">During DAPS-HO, </w:t>
      </w:r>
    </w:p>
    <w:p>
      <w:pPr>
        <w:pStyle w:val="115"/>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pPr>
        <w:pStyle w:val="115"/>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#TP1-9</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tcBorders>
              <w:top w:val="single" w:color="auto" w:sz="4" w:space="0"/>
              <w:left w:val="single" w:color="auto" w:sz="4" w:space="0"/>
              <w:bottom w:val="single" w:color="auto" w:sz="4" w:space="0"/>
              <w:right w:val="single" w:color="auto" w:sz="4" w:space="0"/>
            </w:tcBorders>
          </w:tcPr>
          <w:p>
            <w:pPr>
              <w:pStyle w:val="45"/>
              <w:spacing w:before="0" w:beforeAutospacing="0" w:after="0" w:afterAutospacing="0" w:line="240" w:lineRule="auto"/>
              <w:jc w:val="both"/>
              <w:rPr>
                <w:b/>
                <w:sz w:val="28"/>
                <w:szCs w:val="20"/>
              </w:rPr>
            </w:pPr>
            <w:r>
              <w:rPr>
                <w:b/>
                <w:sz w:val="28"/>
                <w:szCs w:val="20"/>
              </w:rPr>
              <w:t>15</w:t>
            </w:r>
            <w:r>
              <w:rPr>
                <w:b/>
                <w:color w:val="000000"/>
                <w:sz w:val="28"/>
                <w:szCs w:val="20"/>
              </w:rPr>
              <w:tab/>
            </w:r>
            <w:r>
              <w:rPr>
                <w:b/>
                <w:sz w:val="28"/>
                <w:szCs w:val="20"/>
              </w:rPr>
              <w:t>Dual active protocol stack based handover</w:t>
            </w:r>
          </w:p>
          <w:p>
            <w:pPr>
              <w:spacing w:before="0" w:after="0" w:line="240" w:lineRule="auto"/>
              <w:jc w:val="left"/>
              <w:rPr>
                <w:color w:val="FF0000"/>
              </w:rPr>
            </w:pPr>
            <w:r>
              <w:rPr>
                <w:color w:val="FF0000"/>
              </w:rPr>
              <w:t>&lt; Unchanged parts are omitted &gt;</w:t>
            </w:r>
          </w:p>
          <w:p>
            <w:pPr>
              <w:spacing w:before="0" w:after="0" w:line="240" w:lineRule="auto"/>
              <w:jc w:val="both"/>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hAnsi="Cambria Math" w:eastAsia="DengXian"/>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hAnsi="Cambria Math" w:eastAsia="DengXian"/>
                </w:rPr>
                <m:t>N</m:t>
              </m:r>
            </m:oMath>
            <w:r>
              <w:t xml:space="preserve"> symbols from a last or a first symbol, respectively, of a PRACH transmission on the source MCG.  </w:t>
            </w:r>
            <m:oMath>
              <m:r>
                <w:rPr>
                  <w:rFonts w:ascii="Cambria Math" w:hAnsi="Cambria Math" w:eastAsia="DengXian"/>
                </w:rPr>
                <m:t>N=2</m:t>
              </m:r>
            </m:oMath>
            <w:r>
              <w:t xml:space="preserve"> for </w:t>
            </w:r>
            <m:oMath>
              <m:r>
                <w:rPr>
                  <w:rFonts w:ascii="Cambria Math" w:hAnsi="Cambria Math" w:eastAsia="DengXian"/>
                </w:rPr>
                <m:t>μ</m:t>
              </m:r>
              <m:r>
                <w:rPr>
                  <w:rFonts w:ascii="Cambria Math" w:hAnsi="Cambria Math"/>
                </w:rPr>
                <m:t>=0</m:t>
              </m:r>
            </m:oMath>
            <w:r>
              <w:t xml:space="preserve"> or </w:t>
            </w:r>
            <m:oMath>
              <m:r>
                <w:rPr>
                  <w:rFonts w:ascii="Cambria Math" w:hAnsi="Cambria Math" w:eastAsia="DengXian"/>
                </w:rPr>
                <m:t>μ</m:t>
              </m:r>
              <m:r>
                <w:rPr>
                  <w:rFonts w:ascii="Cambria Math" w:hAnsi="Cambria Math"/>
                </w:rPr>
                <m:t>=1</m:t>
              </m:r>
            </m:oMath>
            <w:r>
              <w:t xml:space="preserve">, </w:t>
            </w:r>
            <m:oMath>
              <m:r>
                <w:rPr>
                  <w:rFonts w:ascii="Cambria Math" w:hAnsi="Cambria Math" w:eastAsia="DengXian"/>
                </w:rPr>
                <m:t>N=4</m:t>
              </m:r>
            </m:oMath>
            <w:r>
              <w:t xml:space="preserve"> for </w:t>
            </w:r>
            <m:oMath>
              <m:r>
                <w:rPr>
                  <w:rFonts w:ascii="Cambria Math" w:hAnsi="Cambria Math" w:eastAsia="DengXian"/>
                </w:rPr>
                <m:t>μ</m:t>
              </m:r>
              <m:r>
                <w:rPr>
                  <w:rFonts w:ascii="Cambria Math" w:hAnsi="Cambria Math"/>
                </w:rPr>
                <m:t>=2</m:t>
              </m:r>
            </m:oMath>
            <w:r>
              <w:t xml:space="preserve"> or </w:t>
            </w:r>
            <m:oMath>
              <m:r>
                <w:rPr>
                  <w:rFonts w:ascii="Cambria Math" w:hAnsi="Cambria Math" w:eastAsia="DengXian"/>
                </w:rPr>
                <m:t>μ</m:t>
              </m:r>
              <m:r>
                <w:rPr>
                  <w:rFonts w:ascii="Cambria Math" w:hAnsi="Cambria Math"/>
                </w:rPr>
                <m:t>=3</m:t>
              </m:r>
            </m:oMath>
            <w:r>
              <w:t xml:space="preserve">, and </w:t>
            </w:r>
            <m:oMath>
              <m:r>
                <w:rPr>
                  <w:rFonts w:ascii="Cambria Math" w:hAnsi="Cambria Math" w:eastAsia="DengXian"/>
                </w:rPr>
                <m:t>μ</m:t>
              </m:r>
            </m:oMath>
            <w:r>
              <w:t xml:space="preserve"> is the SCS configuration of the active UL BWP for the PUSCH/PUCCH/SRS transmission to source MCG. </w:t>
            </w:r>
          </w:p>
          <w:p>
            <w:pPr>
              <w:spacing w:before="0" w:after="0" w:line="240" w:lineRule="auto"/>
              <w:jc w:val="both"/>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pPr>
        <w:rPr>
          <w:lang w:eastAsia="zh-CN"/>
        </w:rPr>
      </w:pPr>
    </w:p>
    <w:p>
      <w:pPr>
        <w:rPr>
          <w:lang w:eastAsia="zh-CN"/>
        </w:rPr>
      </w:pPr>
    </w:p>
    <w:p>
      <w:pPr>
        <w:pStyle w:val="3"/>
        <w:rPr>
          <w:lang w:val="en-US"/>
        </w:rPr>
      </w:pPr>
      <w:r>
        <w:t>Issue #7) Correcting DAPS for half duplex operations [8]</w:t>
      </w:r>
    </w:p>
    <w:p>
      <w:pPr>
        <w:pStyle w:val="32"/>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Proposed TP from [8]:</w:t>
      </w:r>
    </w:p>
    <w:p>
      <w:pPr>
        <w:pStyle w:val="4"/>
        <w:rPr>
          <w:lang w:eastAsia="zh-CN"/>
        </w:rPr>
      </w:pPr>
      <w:r>
        <w:rPr>
          <w:lang w:eastAsia="zh-CN"/>
        </w:rPr>
        <w:t>#TP1-10</w:t>
      </w:r>
    </w:p>
    <w:tbl>
      <w:tblPr>
        <w:tblStyle w:val="50"/>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sz w:val="24"/>
                <w:szCs w:val="24"/>
              </w:rPr>
            </w:pPr>
            <w:r>
              <w:rPr>
                <w:sz w:val="24"/>
                <w:szCs w:val="24"/>
              </w:rPr>
              <w:t>15</w:t>
            </w:r>
            <w:r>
              <w:rPr>
                <w:sz w:val="24"/>
                <w:szCs w:val="24"/>
              </w:rPr>
              <w:tab/>
            </w:r>
            <w:r>
              <w:rPr>
                <w:sz w:val="24"/>
                <w:szCs w:val="24"/>
              </w:rPr>
              <w:t>Dual active protocol stack based handover</w:t>
            </w:r>
          </w:p>
          <w:p>
            <w:pPr>
              <w:spacing w:before="0" w:after="0" w:line="240" w:lineRule="auto"/>
              <w:jc w:val="center"/>
            </w:pPr>
            <w:r>
              <w:t>&lt;unchanged text omitted&gt;</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UE does not provide </w:t>
            </w:r>
            <w:r>
              <w:rPr>
                <w:bCs/>
                <w:i/>
                <w:iCs/>
                <w:lang w:eastAsia="ko-KR"/>
              </w:rPr>
              <w:t>UplinkPowerSharingDAPS-HO</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color w:val="FF0000"/>
                      <w:u w:val="single"/>
                    </w:rPr>
                    <m:t>Rx-Tx</m:t>
                  </m:r>
                  <m:ctrlPr>
                    <w:rPr>
                      <w:rFonts w:ascii="Cambria Math" w:hAnsi="Cambria Math"/>
                      <w:i/>
                      <w:color w:val="FF0000"/>
                      <w:u w:val="single"/>
                    </w:rPr>
                  </m:ctrlPr>
                </m:sub>
              </m:sSub>
              <m:sSub>
                <m:sSubPr>
                  <m:ctrlPr>
                    <w:rPr>
                      <w:rFonts w:ascii="Cambria Math" w:hAnsi="Cambria Math"/>
                      <w:i/>
                      <w:color w:val="FF0000"/>
                      <w:u w:val="single"/>
                    </w:rPr>
                  </m:ctrlPr>
                </m:sSubPr>
                <m:e>
                  <m:r>
                    <w:rPr>
                      <w:rFonts w:ascii="Cambria Math" w:hAnsi="Cambria Math"/>
                      <w:color w:val="FF0000"/>
                      <w:u w:val="single"/>
                    </w:rPr>
                    <m:t>T</m:t>
                  </m:r>
                  <m:ctrlPr>
                    <w:rPr>
                      <w:rFonts w:ascii="Cambria Math" w:hAnsi="Cambria Math"/>
                      <w:i/>
                      <w:color w:val="FF0000"/>
                      <w:u w:val="single"/>
                    </w:rPr>
                  </m:ctrlPr>
                </m:e>
                <m:sub>
                  <m:r>
                    <m:rPr>
                      <m:nor/>
                      <m:sty m:val="p"/>
                    </m:rPr>
                    <w:rPr>
                      <w:color w:val="FF0000"/>
                      <w:u w:val="single"/>
                    </w:rPr>
                    <m:t>c</m:t>
                  </m:r>
                  <m:ctrlPr>
                    <w:rPr>
                      <w:rFonts w:ascii="Cambria Math" w:hAnsi="Cambria Math"/>
                      <w:i/>
                      <w:color w:val="FF0000"/>
                      <w:u w:val="single"/>
                    </w:rPr>
                  </m:ctrlP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color w:val="FF0000"/>
                      <w:u w:val="single"/>
                    </w:rPr>
                    <m:t>Rx-Tx</m:t>
                  </m:r>
                  <m:ctrlPr>
                    <w:rPr>
                      <w:rFonts w:ascii="Cambria Math" w:hAnsi="Cambria Math"/>
                      <w:i/>
                      <w:color w:val="FF0000"/>
                      <w:u w:val="single"/>
                    </w:rPr>
                  </m:ctrlPr>
                </m:sub>
              </m:sSub>
            </m:oMath>
            <w:r>
              <w:rPr>
                <w:color w:val="FF0000"/>
                <w:u w:val="single"/>
              </w:rPr>
              <w:t xml:space="preserve"> is given by Table 4.3.2-3 in TS 38.211. </w:t>
            </w:r>
          </w:p>
          <w:p>
            <w:pPr>
              <w:spacing w:before="0" w:after="0" w:line="240" w:lineRule="auto"/>
              <w:jc w:val="both"/>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color w:val="FF0000"/>
                      <w:u w:val="single"/>
                    </w:rPr>
                    <m:t>Tx-Rx</m:t>
                  </m:r>
                  <m:ctrlPr>
                    <w:rPr>
                      <w:rFonts w:ascii="Cambria Math" w:hAnsi="Cambria Math"/>
                      <w:i/>
                      <w:color w:val="FF0000"/>
                      <w:u w:val="single"/>
                    </w:rPr>
                  </m:ctrlPr>
                </m:sub>
              </m:sSub>
              <m:sSub>
                <m:sSubPr>
                  <m:ctrlPr>
                    <w:rPr>
                      <w:rFonts w:ascii="Cambria Math" w:hAnsi="Cambria Math"/>
                      <w:i/>
                      <w:color w:val="FF0000"/>
                      <w:u w:val="single"/>
                    </w:rPr>
                  </m:ctrlPr>
                </m:sSubPr>
                <m:e>
                  <m:r>
                    <w:rPr>
                      <w:rFonts w:ascii="Cambria Math" w:hAnsi="Cambria Math"/>
                      <w:color w:val="FF0000"/>
                      <w:u w:val="single"/>
                    </w:rPr>
                    <m:t>T</m:t>
                  </m:r>
                  <m:ctrlPr>
                    <w:rPr>
                      <w:rFonts w:ascii="Cambria Math" w:hAnsi="Cambria Math"/>
                      <w:i/>
                      <w:color w:val="FF0000"/>
                      <w:u w:val="single"/>
                    </w:rPr>
                  </m:ctrlPr>
                </m:e>
                <m:sub>
                  <m:r>
                    <m:rPr>
                      <m:nor/>
                      <m:sty m:val="p"/>
                    </m:rPr>
                    <w:rPr>
                      <w:color w:val="FF0000"/>
                      <w:u w:val="single"/>
                    </w:rPr>
                    <m:t>c</m:t>
                  </m:r>
                  <m:ctrlPr>
                    <w:rPr>
                      <w:rFonts w:ascii="Cambria Math" w:hAnsi="Cambria Math"/>
                      <w:i/>
                      <w:color w:val="FF0000"/>
                      <w:u w:val="single"/>
                    </w:rPr>
                  </m:ctrlP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color w:val="FF0000"/>
                      <w:u w:val="single"/>
                    </w:rPr>
                    <m:t>Tx-Rx</m:t>
                  </m:r>
                  <m:ctrlPr>
                    <w:rPr>
                      <w:rFonts w:ascii="Cambria Math" w:hAnsi="Cambria Math"/>
                      <w:i/>
                      <w:color w:val="FF0000"/>
                      <w:u w:val="single"/>
                    </w:rPr>
                  </m:ctrlPr>
                </m:sub>
              </m:sSub>
            </m:oMath>
            <w:r>
              <w:rPr>
                <w:color w:val="FF0000"/>
                <w:u w:val="single"/>
              </w:rPr>
              <w:t xml:space="preserve"> is given by Table 4.3.2-3 in TS 38.211.</w:t>
            </w:r>
          </w:p>
          <w:p>
            <w:pPr>
              <w:spacing w:before="0" w:after="0" w:line="240" w:lineRule="auto"/>
              <w:jc w:val="center"/>
            </w:pPr>
            <w:r>
              <w:t>&lt;unchanged text omitted&gt;</w:t>
            </w:r>
          </w:p>
        </w:tc>
      </w:tr>
    </w:tbl>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 xml:space="preserve">Discussions </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#2)</w:t>
      </w:r>
    </w:p>
    <w:p>
      <w:pPr>
        <w:pStyle w:val="32"/>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pPr>
        <w:pStyle w:val="32"/>
        <w:spacing w:after="0"/>
        <w:rPr>
          <w:rFonts w:ascii="Times New Roman" w:hAnsi="Times New Roman"/>
          <w:sz w:val="22"/>
          <w:szCs w:val="22"/>
          <w:lang w:eastAsia="zh-CN"/>
        </w:rPr>
      </w:pPr>
    </w:p>
    <w:tbl>
      <w:tblPr>
        <w:tblStyle w:val="5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2424"/>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848"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Power Sharing Mode</w:t>
            </w:r>
          </w:p>
          <w:p>
            <w:pPr>
              <w:spacing w:before="12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No Power Sharing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DAPS Scenario</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pPr>
              <w:spacing w:before="0" w:after="0" w:line="240" w:lineRule="auto"/>
              <w:jc w:val="center"/>
              <w:rPr>
                <w:rFonts w:eastAsiaTheme="minorEastAsia"/>
                <w:i/>
              </w:rPr>
            </w:pPr>
            <w:r>
              <w:rPr>
                <w:rFonts w:eastAsiaTheme="minorEastAsia"/>
                <w:i/>
              </w:rPr>
              <w:t>&amp;</w:t>
            </w:r>
          </w:p>
          <w:p>
            <w:pPr>
              <w:spacing w:before="0" w:after="0" w:line="240" w:lineRule="auto"/>
              <w:jc w:val="center"/>
              <w:rPr>
                <w:rFonts w:eastAsiaTheme="minorEastAsia"/>
                <w:iCs/>
              </w:rPr>
            </w:pPr>
            <w:r>
              <w:rPr>
                <w:rFonts w:eastAsiaTheme="minorEastAsia"/>
                <w:iCs/>
              </w:rPr>
              <w:t xml:space="preserve">(Assumes UE provided one or more of power sharing mode) </w:t>
            </w:r>
          </w:p>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pPr>
              <w:spacing w:before="0" w:after="0" w:line="240" w:lineRule="auto"/>
              <w:jc w:val="center"/>
              <w:rPr>
                <w:lang w:eastAsia="en-GB"/>
              </w:rPr>
            </w:pPr>
            <w:r>
              <w:rPr>
                <w:lang w:eastAsia="en-GB"/>
              </w:rPr>
              <w:t>OR</w:t>
            </w:r>
          </w:p>
          <w:p>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Intra-frequency DAPS</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(1)</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restart"/>
            <w:tcBorders>
              <w:top w:val="single" w:color="auto" w:sz="4" w:space="0"/>
              <w:left w:val="single" w:color="auto" w:sz="4" w:space="0"/>
              <w:right w:val="single" w:color="auto" w:sz="4" w:space="0"/>
            </w:tcBorders>
          </w:tcPr>
          <w:p>
            <w:pPr>
              <w:spacing w:before="0" w:after="0" w:line="240" w:lineRule="auto"/>
              <w:jc w:val="center"/>
              <w:rPr>
                <w:rFonts w:eastAsiaTheme="minorEastAsia"/>
              </w:rPr>
            </w:pPr>
            <w:r>
              <w:rPr>
                <w:rFonts w:eastAsiaTheme="minorEastAsia"/>
              </w:rPr>
              <w:t>Intra-band Inter-frequency DAPS</w:t>
            </w:r>
          </w:p>
          <w:p>
            <w:pPr>
              <w:spacing w:before="0" w:after="0" w:line="240" w:lineRule="auto"/>
              <w:jc w:val="center"/>
              <w:rPr>
                <w:rFonts w:eastAsiaTheme="minorEastAsia"/>
              </w:rPr>
            </w:pPr>
            <w:r>
              <w:rPr>
                <w:rFonts w:eastAsiaTheme="minorEastAsia"/>
              </w:rPr>
              <w:t>&amp;</w:t>
            </w:r>
          </w:p>
          <w:p>
            <w:pPr>
              <w:spacing w:before="0" w:after="0" w:line="240" w:lineRule="auto"/>
              <w:jc w:val="center"/>
              <w:rPr>
                <w:rFonts w:eastAsiaTheme="minorEastAsia"/>
              </w:rPr>
            </w:pPr>
            <w:r>
              <w:rPr>
                <w:rFonts w:eastAsiaTheme="minorEastAsia"/>
              </w:rPr>
              <w:t>Inter-band inter-frequency DAPS</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color="auto" w:sz="4" w:space="0"/>
              <w:left w:val="single" w:color="auto" w:sz="4" w:space="0"/>
              <w:bottom w:val="single" w:color="auto" w:sz="4" w:space="0"/>
              <w:right w:val="single" w:color="auto" w:sz="4" w:space="0"/>
            </w:tcBorders>
          </w:tcPr>
          <w:p>
            <w:pPr>
              <w:widowControl w:val="0"/>
              <w:snapToGrid w:val="0"/>
              <w:spacing w:before="0" w:after="0" w:line="240" w:lineRule="auto"/>
              <w:jc w:val="center"/>
            </w:pPr>
            <w:r>
              <w:rPr>
                <w:rFonts w:eastAsiaTheme="minorEastAsia"/>
              </w:rPr>
              <w:t>case (3)</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continue"/>
            <w:tcBorders>
              <w:left w:val="single" w:color="auto" w:sz="4" w:space="0"/>
              <w:right w:val="single" w:color="auto" w:sz="4" w:space="0"/>
            </w:tcBorders>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(5)</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(6)</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pPr>
              <w:spacing w:after="0"/>
            </w:pPr>
            <w:r>
              <w:rPr>
                <w:rStyle w:val="53"/>
                <w:color w:val="000000"/>
              </w:rPr>
              <w:t>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Example</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Case (1) – behavior C</w:t>
            </w:r>
          </w:p>
          <w:p>
            <w:pPr>
              <w:overflowPunct/>
              <w:autoSpaceDE/>
              <w:autoSpaceDN/>
              <w:adjustRightInd/>
              <w:spacing w:after="0"/>
              <w:textAlignment w:val="auto"/>
              <w:rPr>
                <w:lang w:eastAsia="zh-CN"/>
              </w:rPr>
            </w:pPr>
            <w:r>
              <w:rPr>
                <w:lang w:eastAsia="zh-CN"/>
              </w:rPr>
              <w:t>Case (2) – behavior A</w:t>
            </w:r>
          </w:p>
          <w:p>
            <w:pPr>
              <w:overflowPunct/>
              <w:autoSpaceDE/>
              <w:autoSpaceDN/>
              <w:adjustRightInd/>
              <w:spacing w:after="0"/>
              <w:textAlignment w:val="auto"/>
              <w:rPr>
                <w:lang w:eastAsia="zh-CN"/>
              </w:rPr>
            </w:pPr>
            <w:r>
              <w:rPr>
                <w:lang w:eastAsia="zh-CN"/>
              </w:rPr>
              <w:t>Case (3) – behavior C</w:t>
            </w:r>
          </w:p>
          <w:p>
            <w:pPr>
              <w:overflowPunct/>
              <w:autoSpaceDE/>
              <w:autoSpaceDN/>
              <w:adjustRightInd/>
              <w:spacing w:after="0"/>
              <w:textAlignment w:val="auto"/>
              <w:rPr>
                <w:lang w:eastAsia="zh-CN"/>
              </w:rPr>
            </w:pPr>
            <w:r>
              <w:rPr>
                <w:lang w:eastAsia="zh-CN"/>
              </w:rPr>
              <w:t>Case (4) – behavior B</w:t>
            </w:r>
          </w:p>
          <w:p>
            <w:pPr>
              <w:overflowPunct/>
              <w:autoSpaceDE/>
              <w:autoSpaceDN/>
              <w:adjustRightInd/>
              <w:spacing w:after="0"/>
              <w:textAlignment w:val="auto"/>
              <w:rPr>
                <w:lang w:eastAsia="zh-CN"/>
              </w:rPr>
            </w:pPr>
            <w:r>
              <w:rPr>
                <w:lang w:eastAsia="zh-CN"/>
              </w:rPr>
              <w:t>Case (5) – behavior C</w:t>
            </w:r>
          </w:p>
          <w:p>
            <w:pPr>
              <w:overflowPunct/>
              <w:autoSpaceDE/>
              <w:autoSpaceDN/>
              <w:adjustRightInd/>
              <w:spacing w:after="0"/>
              <w:textAlignment w:val="auto"/>
              <w:rPr>
                <w:lang w:eastAsia="zh-CN"/>
              </w:rPr>
            </w:pPr>
            <w:r>
              <w:rPr>
                <w:lang w:eastAsia="zh-CN"/>
              </w:rPr>
              <w:t>Case (6) – behavior A</w:t>
            </w:r>
          </w:p>
          <w:p>
            <w:pPr>
              <w:overflowPunct/>
              <w:autoSpaceDE/>
              <w:autoSpaceDN/>
              <w:adjustRightInd/>
              <w:spacing w:after="0"/>
              <w:textAlignment w:val="auto"/>
              <w:rPr>
                <w:lang w:eastAsia="zh-CN"/>
              </w:rPr>
            </w:pPr>
            <w:r>
              <w:rPr>
                <w:lang w:eastAsia="zh-CN"/>
              </w:rPr>
              <w:t>Additional notes: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vAlign w:val="top"/>
          </w:tcPr>
          <w:p>
            <w:pPr>
              <w:spacing w:after="0"/>
              <w:rPr>
                <w:rFonts w:hint="default" w:ascii="Times New Roman" w:hAnsi="Times New Roman" w:eastAsia="宋体" w:cs="Times New Roman"/>
                <w:lang w:val="en-US" w:eastAsia="zh-CN" w:bidi="ar-SA"/>
              </w:rPr>
            </w:pPr>
            <w:r>
              <w:rPr>
                <w:rFonts w:hint="eastAsia"/>
                <w:lang w:val="en-US" w:eastAsia="zh-CN"/>
              </w:rPr>
              <w:t>ZTE</w:t>
            </w:r>
          </w:p>
        </w:tc>
        <w:tc>
          <w:tcPr>
            <w:tcW w:w="8529" w:type="dxa"/>
            <w:tcMar>
              <w:top w:w="0" w:type="dxa"/>
              <w:left w:w="108" w:type="dxa"/>
              <w:bottom w:w="0" w:type="dxa"/>
              <w:right w:w="108" w:type="dxa"/>
            </w:tcMar>
            <w:vAlign w:val="top"/>
          </w:tcPr>
          <w:p>
            <w:pPr>
              <w:overflowPunct/>
              <w:autoSpaceDE/>
              <w:autoSpaceDN/>
              <w:adjustRightInd/>
              <w:spacing w:after="0"/>
              <w:textAlignment w:val="auto"/>
              <w:rPr>
                <w:rFonts w:hint="eastAsia"/>
                <w:lang w:val="en-US" w:eastAsia="zh-CN"/>
              </w:rPr>
            </w:pPr>
            <w:r>
              <w:rPr>
                <w:rFonts w:hint="eastAsia"/>
                <w:lang w:val="en-US" w:eastAsia="zh-CN"/>
              </w:rPr>
              <w:t>We make some modifications on the UE behavior as shown below.</w:t>
            </w:r>
          </w:p>
          <w:p>
            <w:pPr>
              <w:overflowPunct/>
              <w:autoSpaceDE/>
              <w:autoSpaceDN/>
              <w:adjustRightInd/>
              <w:spacing w:after="0"/>
              <w:textAlignment w:val="auto"/>
              <w:rPr>
                <w:rFonts w:ascii="Times New Roman" w:hAnsi="Times New Roman"/>
                <w:sz w:val="22"/>
                <w:szCs w:val="22"/>
                <w:lang w:eastAsia="zh-CN"/>
              </w:rPr>
            </w:pPr>
            <w:r>
              <w:rPr>
                <w:rFonts w:hint="eastAsia"/>
                <w:b/>
                <w:bCs/>
                <w:lang w:val="en-US" w:eastAsia="zh-CN"/>
              </w:rPr>
              <w:t>UE behavior A:</w:t>
            </w:r>
            <w:r>
              <w:rPr>
                <w:rFonts w:hint="eastAsia"/>
                <w:lang w:val="en-US" w:eastAsia="zh-CN"/>
              </w:rPr>
              <w:t xml:space="preserve"> </w:t>
            </w:r>
            <w:r>
              <w:rPr>
                <w:rFonts w:ascii="Times New Roman" w:hAnsi="Times New Roman"/>
                <w:sz w:val="22"/>
                <w:szCs w:val="22"/>
                <w:lang w:eastAsia="zh-CN"/>
              </w:rPr>
              <w:t>when Tx overlap</w:t>
            </w:r>
            <w:r>
              <w:rPr>
                <w:rFonts w:hint="eastAsia"/>
                <w:sz w:val="22"/>
                <w:szCs w:val="22"/>
                <w:lang w:val="en-US" w:eastAsia="zh-CN"/>
              </w:rPr>
              <w:t>s in the time domain</w:t>
            </w:r>
            <w:r>
              <w:rPr>
                <w:rFonts w:ascii="Times New Roman" w:hAnsi="Times New Roman"/>
                <w:sz w:val="22"/>
                <w:szCs w:val="22"/>
                <w:lang w:eastAsia="zh-CN"/>
              </w:rPr>
              <w:t>, UE transmits only on target cell and drops the source cell transmission (source cell Tx dropping timing/gap agreed apply)</w:t>
            </w:r>
          </w:p>
          <w:p>
            <w:pPr>
              <w:overflowPunct/>
              <w:autoSpaceDE/>
              <w:autoSpaceDN/>
              <w:adjustRightInd/>
              <w:spacing w:after="0"/>
              <w:textAlignment w:val="auto"/>
              <w:rPr>
                <w:rFonts w:hint="default" w:ascii="Times New Roman" w:hAnsi="Times New Roman"/>
                <w:sz w:val="22"/>
                <w:szCs w:val="22"/>
                <w:lang w:val="en-US" w:eastAsia="zh-CN"/>
              </w:rPr>
            </w:pPr>
            <w:r>
              <w:rPr>
                <w:rFonts w:hint="eastAsia"/>
                <w:b/>
                <w:bCs/>
                <w:sz w:val="22"/>
                <w:szCs w:val="22"/>
                <w:lang w:val="en-US" w:eastAsia="zh-CN"/>
              </w:rPr>
              <w:t>UE behavior E:</w:t>
            </w:r>
            <w:r>
              <w:rPr>
                <w:rFonts w:hint="eastAsia"/>
                <w:sz w:val="22"/>
                <w:szCs w:val="22"/>
                <w:lang w:val="en-US" w:eastAsia="zh-CN"/>
              </w:rPr>
              <w:t xml:space="preserve"> </w:t>
            </w:r>
            <w:r>
              <w:rPr>
                <w:rFonts w:ascii="Times New Roman" w:hAnsi="Times New Roman"/>
                <w:sz w:val="22"/>
                <w:szCs w:val="22"/>
                <w:lang w:eastAsia="zh-CN"/>
              </w:rPr>
              <w:t>when Tx overlap</w:t>
            </w:r>
            <w:r>
              <w:rPr>
                <w:rFonts w:hint="eastAsia"/>
                <w:sz w:val="22"/>
                <w:szCs w:val="22"/>
                <w:lang w:val="en-US" w:eastAsia="zh-CN"/>
              </w:rPr>
              <w:t>s in the time domain and frequency domain</w:t>
            </w:r>
            <w:r>
              <w:rPr>
                <w:rFonts w:ascii="Times New Roman" w:hAnsi="Times New Roman"/>
                <w:sz w:val="22"/>
                <w:szCs w:val="22"/>
                <w:lang w:eastAsia="zh-CN"/>
              </w:rPr>
              <w:t>, UE transmits only on target cell and drops the source cell transmission (source cell Tx dropping timing/gap agreed apply)</w:t>
            </w:r>
          </w:p>
          <w:p>
            <w:pPr>
              <w:overflowPunct/>
              <w:autoSpaceDE/>
              <w:autoSpaceDN/>
              <w:adjustRightInd/>
              <w:spacing w:after="0"/>
              <w:textAlignment w:val="auto"/>
              <w:rPr>
                <w:rFonts w:hint="eastAsia"/>
                <w:lang w:val="en-US" w:eastAsia="zh-CN"/>
              </w:rPr>
            </w:pPr>
            <w:r>
              <w:rPr>
                <w:rFonts w:hint="eastAsia"/>
                <w:lang w:val="en-US" w:eastAsia="zh-CN"/>
              </w:rPr>
              <w:t>Case (1) - behavior A</w:t>
            </w:r>
          </w:p>
          <w:p>
            <w:pPr>
              <w:overflowPunct/>
              <w:autoSpaceDE/>
              <w:autoSpaceDN/>
              <w:adjustRightInd/>
              <w:spacing w:after="0"/>
              <w:textAlignment w:val="auto"/>
              <w:rPr>
                <w:rFonts w:hint="eastAsia"/>
                <w:lang w:val="en-US" w:eastAsia="zh-CN"/>
              </w:rPr>
            </w:pPr>
            <w:r>
              <w:rPr>
                <w:rFonts w:hint="eastAsia"/>
                <w:lang w:val="en-US" w:eastAsia="zh-CN"/>
              </w:rPr>
              <w:t>Case (2) - behavior A</w:t>
            </w:r>
          </w:p>
          <w:p>
            <w:pPr>
              <w:overflowPunct/>
              <w:autoSpaceDE/>
              <w:autoSpaceDN/>
              <w:adjustRightInd/>
              <w:spacing w:after="0"/>
              <w:textAlignment w:val="auto"/>
              <w:rPr>
                <w:rFonts w:hint="default"/>
                <w:lang w:val="en-US" w:eastAsia="zh-CN"/>
              </w:rPr>
            </w:pPr>
            <w:r>
              <w:rPr>
                <w:rFonts w:hint="eastAsia"/>
                <w:lang w:val="en-US" w:eastAsia="zh-CN"/>
              </w:rPr>
              <w:t xml:space="preserve">Case (3) - behavior C </w:t>
            </w:r>
          </w:p>
          <w:p>
            <w:pPr>
              <w:overflowPunct/>
              <w:autoSpaceDE/>
              <w:autoSpaceDN/>
              <w:adjustRightInd/>
              <w:spacing w:after="0"/>
              <w:textAlignment w:val="auto"/>
              <w:rPr>
                <w:rFonts w:hint="eastAsia"/>
                <w:lang w:val="en-US" w:eastAsia="zh-CN"/>
              </w:rPr>
            </w:pPr>
            <w:r>
              <w:rPr>
                <w:rFonts w:hint="eastAsia"/>
                <w:lang w:val="en-US" w:eastAsia="zh-CN"/>
              </w:rPr>
              <w:t>Case (4) - behavior B</w:t>
            </w:r>
          </w:p>
          <w:p>
            <w:pPr>
              <w:overflowPunct/>
              <w:autoSpaceDE/>
              <w:autoSpaceDN/>
              <w:adjustRightInd/>
              <w:spacing w:after="0"/>
              <w:textAlignment w:val="auto"/>
              <w:rPr>
                <w:rFonts w:hint="default"/>
                <w:lang w:val="en-US" w:eastAsia="zh-CN"/>
              </w:rPr>
            </w:pPr>
            <w:r>
              <w:rPr>
                <w:rFonts w:hint="eastAsia"/>
                <w:lang w:val="en-US" w:eastAsia="zh-CN"/>
              </w:rPr>
              <w:t>Case (5) - behavior C or behavior E</w:t>
            </w:r>
          </w:p>
          <w:p>
            <w:pPr>
              <w:overflowPunct/>
              <w:autoSpaceDE/>
              <w:autoSpaceDN/>
              <w:adjustRightInd/>
              <w:spacing w:after="0"/>
              <w:textAlignment w:val="auto"/>
              <w:rPr>
                <w:rFonts w:hint="default" w:ascii="Times New Roman" w:hAnsi="Times New Roman" w:eastAsia="宋体" w:cs="Times New Roman"/>
                <w:lang w:val="en-US" w:eastAsia="zh-CN" w:bidi="ar-SA"/>
              </w:rPr>
            </w:pPr>
            <w:r>
              <w:rPr>
                <w:rFonts w:hint="eastAsia"/>
                <w:lang w:val="en-US" w:eastAsia="zh-CN"/>
              </w:rPr>
              <w:t>Case (6) - behavior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#4)</w:t>
      </w:r>
    </w:p>
    <w:p>
      <w:pPr>
        <w:pStyle w:val="32"/>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pPr>
        <w:pStyle w:val="32"/>
        <w:spacing w:after="0"/>
        <w:rPr>
          <w:rFonts w:ascii="Times New Roman" w:hAnsi="Times New Roman"/>
          <w:sz w:val="22"/>
          <w:szCs w:val="22"/>
          <w:lang w:eastAsia="zh-CN"/>
        </w:rPr>
      </w:pPr>
    </w:p>
    <w:tbl>
      <w:tblPr>
        <w:tblStyle w:val="49"/>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5"/>
        <w:gridCol w:w="1689"/>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1595" w:type="dxa"/>
            <w:shd w:val="clear" w:color="auto" w:fill="FBE4D5"/>
            <w:tcMar>
              <w:top w:w="0" w:type="dxa"/>
              <w:left w:w="108" w:type="dxa"/>
              <w:bottom w:w="0" w:type="dxa"/>
              <w:right w:w="108" w:type="dxa"/>
            </w:tcMar>
          </w:tcPr>
          <w:p>
            <w:pPr>
              <w:spacing w:after="0" w:line="240" w:lineRule="auto"/>
              <w:rPr>
                <w:b/>
                <w:bCs/>
                <w:lang w:eastAsia="ko-KR"/>
              </w:rPr>
            </w:pPr>
            <w:r>
              <w:t> </w:t>
            </w:r>
            <w:r>
              <w:rPr>
                <w:b/>
                <w:bCs/>
              </w:rPr>
              <w:t>Company</w:t>
            </w:r>
          </w:p>
        </w:tc>
        <w:tc>
          <w:tcPr>
            <w:tcW w:w="1689" w:type="dxa"/>
            <w:shd w:val="clear" w:color="auto" w:fill="FBE4D5"/>
          </w:tcPr>
          <w:p>
            <w:pPr>
              <w:spacing w:after="0" w:line="240" w:lineRule="auto"/>
              <w:rPr>
                <w:rStyle w:val="53"/>
                <w:color w:val="000000"/>
              </w:rPr>
            </w:pPr>
            <w:r>
              <w:rPr>
                <w:rStyle w:val="53"/>
                <w:color w:val="000000"/>
              </w:rPr>
              <w:t>TP#1-9 agreeable? (Yes/No/Need more information)</w:t>
            </w:r>
          </w:p>
        </w:tc>
        <w:tc>
          <w:tcPr>
            <w:tcW w:w="6415" w:type="dxa"/>
            <w:shd w:val="clear" w:color="auto" w:fill="FBE4D5"/>
            <w:tcMar>
              <w:top w:w="0" w:type="dxa"/>
              <w:left w:w="108" w:type="dxa"/>
              <w:bottom w:w="0" w:type="dxa"/>
              <w:right w:w="108" w:type="dxa"/>
            </w:tcMar>
          </w:tcPr>
          <w:p>
            <w:pPr>
              <w:spacing w:after="0" w:line="240" w:lineRule="auto"/>
            </w:pPr>
            <w:r>
              <w:rPr>
                <w:rStyle w:val="53"/>
                <w:color w:val="000000"/>
              </w:rPr>
              <w:t>Comments for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vAlign w:val="top"/>
          </w:tcPr>
          <w:p>
            <w:pPr>
              <w:spacing w:after="0" w:line="240" w:lineRule="auto"/>
              <w:rPr>
                <w:rFonts w:hint="default" w:ascii="Times New Roman" w:hAnsi="Times New Roman" w:eastAsia="宋体" w:cs="Times New Roman"/>
                <w:lang w:val="en-US" w:eastAsia="zh-CN" w:bidi="ar-SA"/>
              </w:rPr>
            </w:pPr>
            <w:r>
              <w:rPr>
                <w:rFonts w:hint="eastAsia"/>
                <w:lang w:val="en-US" w:eastAsia="zh-CN"/>
              </w:rPr>
              <w:t>ZTE</w:t>
            </w:r>
          </w:p>
        </w:tc>
        <w:tc>
          <w:tcPr>
            <w:tcW w:w="1689" w:type="dxa"/>
            <w:vAlign w:val="top"/>
          </w:tcPr>
          <w:p>
            <w:pPr>
              <w:overflowPunct/>
              <w:autoSpaceDE/>
              <w:autoSpaceDN/>
              <w:adjustRightInd/>
              <w:spacing w:after="0" w:line="240" w:lineRule="auto"/>
              <w:textAlignment w:val="auto"/>
              <w:rPr>
                <w:rFonts w:hint="default" w:ascii="Times New Roman" w:hAnsi="Times New Roman" w:eastAsia="宋体" w:cs="Times New Roman"/>
                <w:lang w:val="en-US" w:eastAsia="zh-CN" w:bidi="ar-SA"/>
              </w:rPr>
            </w:pPr>
            <w:r>
              <w:rPr>
                <w:rFonts w:hint="eastAsia"/>
                <w:lang w:val="en-US" w:eastAsia="zh-CN"/>
              </w:rPr>
              <w:t>No</w:t>
            </w:r>
          </w:p>
        </w:tc>
        <w:tc>
          <w:tcPr>
            <w:tcW w:w="6415" w:type="dxa"/>
            <w:tcMar>
              <w:top w:w="0" w:type="dxa"/>
              <w:left w:w="108" w:type="dxa"/>
              <w:bottom w:w="0" w:type="dxa"/>
              <w:right w:w="108" w:type="dxa"/>
            </w:tcMar>
            <w:vAlign w:val="top"/>
          </w:tcPr>
          <w:p>
            <w:pPr>
              <w:overflowPunct/>
              <w:autoSpaceDE/>
              <w:autoSpaceDN/>
              <w:adjustRightInd/>
              <w:spacing w:after="0" w:line="240" w:lineRule="auto"/>
              <w:textAlignment w:val="auto"/>
              <w:rPr>
                <w:rFonts w:hint="default" w:ascii="Times New Roman" w:hAnsi="Times New Roman" w:eastAsia="宋体" w:cs="Times New Roman"/>
                <w:lang w:val="en-US" w:eastAsia="zh-CN" w:bidi="ar-SA"/>
              </w:rPr>
            </w:pPr>
            <w:r>
              <w:rPr>
                <w:rFonts w:hint="eastAsia"/>
                <w:lang w:val="en-US"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pPr>
          </w:p>
        </w:tc>
        <w:tc>
          <w:tcPr>
            <w:tcW w:w="1689" w:type="dxa"/>
          </w:tcPr>
          <w:p>
            <w:pPr>
              <w:overflowPunct/>
              <w:autoSpaceDE/>
              <w:autoSpaceDN/>
              <w:adjustRightInd/>
              <w:spacing w:after="0" w:line="240" w:lineRule="auto"/>
              <w:textAlignment w:val="auto"/>
              <w:rPr>
                <w:lang w:eastAsia="zh-CN"/>
              </w:rPr>
            </w:pP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pPr>
          </w:p>
        </w:tc>
        <w:tc>
          <w:tcPr>
            <w:tcW w:w="1689" w:type="dxa"/>
          </w:tcPr>
          <w:p>
            <w:pPr>
              <w:overflowPunct/>
              <w:autoSpaceDE/>
              <w:autoSpaceDN/>
              <w:adjustRightInd/>
              <w:spacing w:after="0" w:line="240" w:lineRule="auto"/>
              <w:textAlignment w:val="auto"/>
              <w:rPr>
                <w:lang w:eastAsia="zh-CN"/>
              </w:rPr>
            </w:pP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pPr>
          </w:p>
        </w:tc>
        <w:tc>
          <w:tcPr>
            <w:tcW w:w="1689" w:type="dxa"/>
          </w:tcPr>
          <w:p>
            <w:pPr>
              <w:overflowPunct/>
              <w:autoSpaceDE/>
              <w:autoSpaceDN/>
              <w:adjustRightInd/>
              <w:spacing w:after="0" w:line="240" w:lineRule="auto"/>
              <w:textAlignment w:val="auto"/>
              <w:rPr>
                <w:lang w:eastAsia="zh-CN"/>
              </w:rPr>
            </w:pP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#7)</w:t>
      </w:r>
    </w:p>
    <w:p>
      <w:pPr>
        <w:pStyle w:val="32"/>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0"/>
        <w:gridCol w:w="171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1620" w:type="dxa"/>
            <w:shd w:val="clear" w:color="auto" w:fill="FBE4D5"/>
            <w:tcMar>
              <w:top w:w="0" w:type="dxa"/>
              <w:left w:w="108" w:type="dxa"/>
              <w:bottom w:w="0" w:type="dxa"/>
              <w:right w:w="108" w:type="dxa"/>
            </w:tcMar>
          </w:tcPr>
          <w:p>
            <w:pPr>
              <w:spacing w:after="0" w:line="240" w:lineRule="auto"/>
              <w:rPr>
                <w:b/>
                <w:bCs/>
                <w:lang w:eastAsia="ko-KR"/>
              </w:rPr>
            </w:pPr>
            <w:r>
              <w:t> </w:t>
            </w:r>
            <w:r>
              <w:rPr>
                <w:b/>
                <w:bCs/>
              </w:rPr>
              <w:t>Company</w:t>
            </w:r>
          </w:p>
        </w:tc>
        <w:tc>
          <w:tcPr>
            <w:tcW w:w="1715" w:type="dxa"/>
            <w:shd w:val="clear" w:color="auto" w:fill="FBE4D5"/>
          </w:tcPr>
          <w:p>
            <w:pPr>
              <w:spacing w:after="0" w:line="240" w:lineRule="auto"/>
              <w:rPr>
                <w:rStyle w:val="53"/>
                <w:color w:val="000000"/>
              </w:rPr>
            </w:pPr>
            <w:r>
              <w:rPr>
                <w:rStyle w:val="53"/>
                <w:color w:val="000000"/>
              </w:rPr>
              <w:t>TP#1-10 agreeable? (Yes/No/Need more information)</w:t>
            </w:r>
          </w:p>
        </w:tc>
        <w:tc>
          <w:tcPr>
            <w:tcW w:w="6515" w:type="dxa"/>
            <w:shd w:val="clear" w:color="auto" w:fill="FBE4D5"/>
            <w:tcMar>
              <w:top w:w="0" w:type="dxa"/>
              <w:left w:w="108" w:type="dxa"/>
              <w:bottom w:w="0" w:type="dxa"/>
              <w:right w:w="108" w:type="dxa"/>
            </w:tcMar>
          </w:tcPr>
          <w:p>
            <w:pPr>
              <w:spacing w:after="0" w:line="240" w:lineRule="auto"/>
            </w:pPr>
            <w:r>
              <w:rPr>
                <w:rStyle w:val="53"/>
                <w:color w:val="000000"/>
              </w:rPr>
              <w:t>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vAlign w:val="top"/>
          </w:tcPr>
          <w:p>
            <w:pPr>
              <w:spacing w:after="0" w:line="240" w:lineRule="auto"/>
              <w:rPr>
                <w:rFonts w:hint="default" w:ascii="Times New Roman" w:hAnsi="Times New Roman" w:eastAsia="宋体" w:cs="Times New Roman"/>
                <w:lang w:val="en-US" w:eastAsia="zh-CN" w:bidi="ar-SA"/>
              </w:rPr>
            </w:pPr>
            <w:bookmarkStart w:id="0" w:name="_GoBack" w:colFirst="0" w:colLast="2"/>
            <w:r>
              <w:rPr>
                <w:rFonts w:hint="eastAsia"/>
                <w:lang w:val="en-US" w:eastAsia="zh-CN"/>
              </w:rPr>
              <w:t>ZTE</w:t>
            </w:r>
          </w:p>
        </w:tc>
        <w:tc>
          <w:tcPr>
            <w:tcW w:w="1715" w:type="dxa"/>
            <w:vAlign w:val="top"/>
          </w:tcPr>
          <w:p>
            <w:pPr>
              <w:overflowPunct/>
              <w:autoSpaceDE/>
              <w:autoSpaceDN/>
              <w:adjustRightInd/>
              <w:spacing w:after="0" w:line="240" w:lineRule="auto"/>
              <w:textAlignment w:val="auto"/>
              <w:rPr>
                <w:rFonts w:hint="default" w:ascii="Times New Roman" w:hAnsi="Times New Roman" w:eastAsia="宋体" w:cs="Times New Roman"/>
                <w:lang w:val="en-US" w:eastAsia="zh-CN" w:bidi="ar-SA"/>
              </w:rPr>
            </w:pPr>
            <w:r>
              <w:rPr>
                <w:rFonts w:hint="eastAsia"/>
                <w:lang w:val="en-US" w:eastAsia="zh-CN"/>
              </w:rPr>
              <w:t>Need more information</w:t>
            </w:r>
          </w:p>
        </w:tc>
        <w:tc>
          <w:tcPr>
            <w:tcW w:w="6515" w:type="dxa"/>
            <w:tcMar>
              <w:top w:w="0" w:type="dxa"/>
              <w:left w:w="108" w:type="dxa"/>
              <w:bottom w:w="0" w:type="dxa"/>
              <w:right w:w="108" w:type="dxa"/>
            </w:tcMar>
            <w:vAlign w:val="top"/>
          </w:tcPr>
          <w:p>
            <w:pPr>
              <w:overflowPunct/>
              <w:autoSpaceDE/>
              <w:autoSpaceDN/>
              <w:adjustRightInd/>
              <w:spacing w:after="0" w:line="240" w:lineRule="auto"/>
              <w:textAlignment w:val="auto"/>
              <w:rPr>
                <w:rFonts w:hint="default" w:ascii="Times New Roman" w:hAnsi="Times New Roman" w:eastAsia="宋体" w:cs="Times New Roman"/>
                <w:lang w:val="en-US" w:eastAsia="zh-CN" w:bidi="ar-SA"/>
              </w:rPr>
            </w:pPr>
            <w:r>
              <w:rPr>
                <w:rFonts w:hint="eastAsia"/>
                <w:lang w:val="en-US"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p>
        </w:tc>
        <w:tc>
          <w:tcPr>
            <w:tcW w:w="1715" w:type="dxa"/>
          </w:tcPr>
          <w:p>
            <w:pPr>
              <w:overflowPunct/>
              <w:autoSpaceDE/>
              <w:autoSpaceDN/>
              <w:adjustRightInd/>
              <w:spacing w:after="0" w:line="240" w:lineRule="auto"/>
              <w:textAlignment w:val="auto"/>
              <w:rPr>
                <w:lang w:eastAsia="zh-CN"/>
              </w:rPr>
            </w:pP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p>
        </w:tc>
        <w:tc>
          <w:tcPr>
            <w:tcW w:w="1715" w:type="dxa"/>
          </w:tcPr>
          <w:p>
            <w:pPr>
              <w:overflowPunct/>
              <w:autoSpaceDE/>
              <w:autoSpaceDN/>
              <w:adjustRightInd/>
              <w:spacing w:after="0" w:line="240" w:lineRule="auto"/>
              <w:textAlignment w:val="auto"/>
              <w:rPr>
                <w:lang w:eastAsia="zh-CN"/>
              </w:rPr>
            </w:pP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p>
        </w:tc>
        <w:tc>
          <w:tcPr>
            <w:tcW w:w="1715" w:type="dxa"/>
          </w:tcPr>
          <w:p>
            <w:pPr>
              <w:overflowPunct/>
              <w:autoSpaceDE/>
              <w:autoSpaceDN/>
              <w:adjustRightInd/>
              <w:spacing w:after="0" w:line="240" w:lineRule="auto"/>
              <w:textAlignment w:val="auto"/>
              <w:rPr>
                <w:lang w:eastAsia="zh-CN"/>
              </w:rPr>
            </w:pP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11"/>
        </w:numPr>
        <w:ind w:left="450" w:hanging="450"/>
        <w:rPr>
          <w:rFonts w:eastAsia="Calibri"/>
          <w:lang w:eastAsia="zh-CN"/>
        </w:rPr>
      </w:pPr>
      <w:r>
        <w:rPr>
          <w:rFonts w:eastAsia="Calibri"/>
          <w:lang w:eastAsia="zh-CN"/>
        </w:rPr>
        <w:t>R1-2005422, “Remaining issues on NR mobility enhancements in physical layer,” ZTE</w:t>
      </w:r>
    </w:p>
    <w:p>
      <w:pPr>
        <w:pStyle w:val="115"/>
        <w:numPr>
          <w:ilvl w:val="0"/>
          <w:numId w:val="11"/>
        </w:numPr>
        <w:ind w:left="450" w:hanging="450"/>
        <w:rPr>
          <w:rFonts w:eastAsia="Calibri"/>
          <w:lang w:eastAsia="zh-CN"/>
        </w:rPr>
      </w:pPr>
      <w:r>
        <w:rPr>
          <w:rFonts w:eastAsia="Calibri"/>
          <w:lang w:eastAsia="zh-CN"/>
        </w:rPr>
        <w:t>R1-2005627, “Remaining issues on Rel-16 mobility enhancement,” MediaTek Inc.</w:t>
      </w:r>
    </w:p>
    <w:p>
      <w:pPr>
        <w:pStyle w:val="115"/>
        <w:numPr>
          <w:ilvl w:val="0"/>
          <w:numId w:val="11"/>
        </w:numPr>
        <w:ind w:left="450" w:hanging="450"/>
        <w:rPr>
          <w:rFonts w:eastAsia="Calibri"/>
          <w:lang w:eastAsia="zh-CN"/>
        </w:rPr>
      </w:pPr>
      <w:r>
        <w:rPr>
          <w:rFonts w:eastAsia="Calibri"/>
          <w:lang w:eastAsia="zh-CN"/>
        </w:rPr>
        <w:t>R1-2005794, “Remaining issues on DAPS-HO,” Huawei, HiSilicon</w:t>
      </w:r>
    </w:p>
    <w:p>
      <w:pPr>
        <w:pStyle w:val="115"/>
        <w:numPr>
          <w:ilvl w:val="0"/>
          <w:numId w:val="11"/>
        </w:numPr>
        <w:ind w:left="450" w:hanging="450"/>
        <w:rPr>
          <w:rFonts w:eastAsia="Calibri"/>
          <w:lang w:eastAsia="zh-CN"/>
        </w:rPr>
      </w:pPr>
      <w:r>
        <w:rPr>
          <w:rFonts w:eastAsia="Calibri"/>
          <w:lang w:eastAsia="zh-CN"/>
        </w:rPr>
        <w:t>R1-2005843, “Remaining issues on mobility enhancements,” Ericsson</w:t>
      </w:r>
    </w:p>
    <w:p>
      <w:pPr>
        <w:pStyle w:val="115"/>
        <w:numPr>
          <w:ilvl w:val="0"/>
          <w:numId w:val="11"/>
        </w:numPr>
        <w:ind w:left="450" w:hanging="450"/>
        <w:rPr>
          <w:rFonts w:eastAsia="Calibri"/>
          <w:lang w:eastAsia="zh-CN"/>
        </w:rPr>
      </w:pPr>
      <w:r>
        <w:rPr>
          <w:rFonts w:eastAsia="Calibri"/>
          <w:lang w:eastAsia="zh-CN"/>
        </w:rPr>
        <w:t>R1-2005855, “corrections to NR mobility enhancements,” Intel Corporation</w:t>
      </w:r>
    </w:p>
    <w:p>
      <w:pPr>
        <w:pStyle w:val="115"/>
        <w:numPr>
          <w:ilvl w:val="0"/>
          <w:numId w:val="11"/>
        </w:numPr>
        <w:ind w:left="450" w:hanging="450"/>
        <w:rPr>
          <w:rFonts w:eastAsia="Calibri"/>
          <w:lang w:eastAsia="zh-CN"/>
        </w:rPr>
      </w:pPr>
      <w:r>
        <w:rPr>
          <w:rFonts w:eastAsia="Calibri"/>
          <w:lang w:eastAsia="zh-CN"/>
        </w:rPr>
        <w:t>R1-2006121, “Remaining issues on NR Mobility Enhancements,” Samsung</w:t>
      </w:r>
    </w:p>
    <w:p>
      <w:pPr>
        <w:pStyle w:val="115"/>
        <w:numPr>
          <w:ilvl w:val="0"/>
          <w:numId w:val="11"/>
        </w:numPr>
        <w:ind w:left="450" w:hanging="450"/>
        <w:rPr>
          <w:rFonts w:eastAsia="Calibri"/>
          <w:lang w:eastAsia="zh-CN"/>
        </w:rPr>
      </w:pPr>
      <w:r>
        <w:rPr>
          <w:rFonts w:eastAsia="Calibri"/>
          <w:lang w:eastAsia="zh-CN"/>
        </w:rPr>
        <w:t>R1-2006498, “Remaining issue on NR mobility enhancements,” Apple</w:t>
      </w:r>
    </w:p>
    <w:p>
      <w:pPr>
        <w:pStyle w:val="115"/>
        <w:numPr>
          <w:ilvl w:val="0"/>
          <w:numId w:val="11"/>
        </w:numPr>
        <w:ind w:left="450" w:hanging="450"/>
        <w:rPr>
          <w:rFonts w:eastAsia="Calibri"/>
          <w:lang w:eastAsia="zh-CN"/>
        </w:rPr>
      </w:pPr>
      <w:r>
        <w:rPr>
          <w:rFonts w:eastAsia="Calibri"/>
          <w:lang w:eastAsia="zh-CN"/>
        </w:rPr>
        <w:t>R1-2006785, “Maintenance on NR mobility enhancements,” Qualcomm Incorporated</w:t>
      </w:r>
    </w:p>
    <w:p>
      <w:pPr>
        <w:pStyle w:val="115"/>
        <w:numPr>
          <w:ilvl w:val="0"/>
          <w:numId w:val="11"/>
        </w:numPr>
        <w:ind w:left="450" w:hanging="450"/>
        <w:rPr>
          <w:lang w:eastAsia="zh-CN"/>
        </w:rPr>
      </w:pPr>
      <w:r>
        <w:rPr>
          <w:rFonts w:eastAsia="Calibri"/>
          <w:lang w:eastAsia="zh-CN"/>
        </w:rPr>
        <w:t>R1-2006895, “Remaining physical layer aspects of dual active protocol stack based HO,” Nokia, Nokia Shanghai Bell</w:t>
      </w:r>
    </w:p>
    <w:p>
      <w:pPr>
        <w:pStyle w:val="115"/>
        <w:numPr>
          <w:ilvl w:val="0"/>
          <w:numId w:val="11"/>
        </w:numPr>
        <w:ind w:left="450" w:hanging="450"/>
        <w:rPr>
          <w:lang w:eastAsia="zh-CN"/>
        </w:rPr>
      </w:pPr>
      <w:r>
        <w:rPr>
          <w:lang w:eastAsia="zh-CN"/>
        </w:rPr>
        <w:t>R1-2005942, “Issue Summary for NR Mobility Enhancements,” Moderator (Intel Corporation)</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15</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B9D1C3F"/>
    <w:multiLevelType w:val="multilevel"/>
    <w:tmpl w:val="1B9D1C3F"/>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3">
    <w:nsid w:val="2AF076C1"/>
    <w:multiLevelType w:val="multilevel"/>
    <w:tmpl w:val="2AF076C1"/>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5">
    <w:nsid w:val="392913ED"/>
    <w:multiLevelType w:val="multilevel"/>
    <w:tmpl w:val="392913ED"/>
    <w:lvl w:ilvl="0" w:tentative="0">
      <w:start w:val="1"/>
      <w:numFmt w:val="decimal"/>
      <w:lvlText w:val="%1)"/>
      <w:lvlJc w:val="left"/>
      <w:pPr>
        <w:ind w:left="0" w:firstLine="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B3B4A88"/>
    <w:multiLevelType w:val="multilevel"/>
    <w:tmpl w:val="7B3B4A88"/>
    <w:lvl w:ilvl="0" w:tentative="0">
      <w:start w:val="1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67C2AE4"/>
    <w:rsid w:val="26E94CAB"/>
    <w:rsid w:val="29881A68"/>
    <w:rsid w:val="299863A3"/>
    <w:rsid w:val="31EA69E7"/>
    <w:rsid w:val="4848629F"/>
    <w:rsid w:val="4B493F9E"/>
    <w:rsid w:val="4CBA4D92"/>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uiPriority w:val="0"/>
    <w:rPr>
      <w:rFonts w:ascii="Arial" w:hAnsi="Arial"/>
      <w:color w:val="FF0000"/>
      <w:sz w:val="24"/>
    </w:rPr>
  </w:style>
  <w:style w:type="paragraph" w:customStyle="1" w:styleId="95">
    <w:name w:val="Bulleted o 1"/>
    <w:basedOn w:val="1"/>
    <w:uiPriority w:val="0"/>
    <w:pPr>
      <w:numPr>
        <w:ilvl w:val="0"/>
        <w:numId w:val="1"/>
      </w:numPr>
    </w:pPr>
  </w:style>
  <w:style w:type="paragraph" w:customStyle="1" w:styleId="96">
    <w:name w:val="text"/>
    <w:basedOn w:val="1"/>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uiPriority w:val="0"/>
    <w:rPr>
      <w:rFonts w:ascii="Times New Roman" w:hAnsi="Times New Roman"/>
      <w:lang w:eastAsia="en-US"/>
    </w:rPr>
  </w:style>
  <w:style w:type="paragraph" w:customStyle="1" w:styleId="145">
    <w:name w:val="References"/>
    <w:basedOn w:val="1"/>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
    <w:hidden/>
    <w:semiHidden/>
    <w:qFormat/>
    <w:uiPriority w:val="99"/>
    <w:pPr>
      <w:spacing w:after="0" w:line="240" w:lineRule="auto"/>
    </w:pPr>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654A7C-D942-4BBE-BF66-B0C3E2A562AE}">
  <ds:schemaRefs/>
</ds:datastoreItem>
</file>

<file path=customXml/itemProps3.xml><?xml version="1.0" encoding="utf-8"?>
<ds:datastoreItem xmlns:ds="http://schemas.openxmlformats.org/officeDocument/2006/customXml" ds:itemID="{4CEA8B02-AF04-46B9-9D48-332183249308}">
  <ds:schemaRefs/>
</ds:datastoreItem>
</file>

<file path=customXml/itemProps4.xml><?xml version="1.0" encoding="utf-8"?>
<ds:datastoreItem xmlns:ds="http://schemas.openxmlformats.org/officeDocument/2006/customXml" ds:itemID="{987F052F-6C84-4997-89B2-B6B7AEC33AEA}">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10</Pages>
  <Words>4477</Words>
  <Characters>23492</Characters>
  <Lines>541</Lines>
  <Paragraphs>265</Paragraphs>
  <TotalTime>0</TotalTime>
  <ScaleCrop>false</ScaleCrop>
  <LinksUpToDate>false</LinksUpToDate>
  <CharactersWithSpaces>27878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#102-e</cp:category>
  <dcterms:created xsi:type="dcterms:W3CDTF">2020-08-12T08:35:00Z</dcterms:created>
  <dc:creator>Daewon Lee</dc:creator>
  <dc:description>e-Meeting, August 17th – 28th, 2020</dc:description>
  <cp:keywords>CTPClassification=CTP_PUBLIC:VisualMarkings=, CTPClassification=CTP_NT</cp:keywords>
  <cp:lastModifiedBy>ZTE</cp:lastModifiedBy>
  <cp:lastPrinted>2011-11-09T07:49:00Z</cp:lastPrinted>
  <dcterms:modified xsi:type="dcterms:W3CDTF">2020-08-18T02:55:49Z</dcterms:modified>
  <dc:subject>R1-200xxxx</dc:subject>
  <dc:title>Discussion summary of [102-e-NR-Mob-Enh-01]</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2020-08-17 15:06:42Z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