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7A934" w14:textId="77777777" w:rsidR="00590E43" w:rsidRDefault="00157B27" w:rsidP="00A020F1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a5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70F206F7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r>
              <w:rPr>
                <w:rFonts w:ascii="Calibri" w:hAnsi="Calibri" w:cs="Calibri"/>
                <w:i/>
                <w:sz w:val="22"/>
              </w:rPr>
              <w:t>sl-LengthSymbols</w:t>
            </w:r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618171F9" w14:textId="77777777" w:rsidTr="00CB2710">
        <w:tc>
          <w:tcPr>
            <w:tcW w:w="1226" w:type="dxa"/>
          </w:tcPr>
          <w:p w14:paraId="5CD6F328" w14:textId="1BFC5E59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D3B34F3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379F6C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For the first sub-bullet, we share view with NTT DOCOMO</w:t>
            </w:r>
          </w:p>
          <w:p w14:paraId="236B2BF1" w14:textId="7674E97B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agree with the second sub-bullet</w:t>
            </w:r>
          </w:p>
        </w:tc>
      </w:tr>
      <w:tr w:rsidR="005856FC" w14:paraId="3DFC6487" w14:textId="77777777" w:rsidTr="00CB2710">
        <w:tc>
          <w:tcPr>
            <w:tcW w:w="1226" w:type="dxa"/>
          </w:tcPr>
          <w:p w14:paraId="6A763103" w14:textId="73A18490" w:rsidR="005856FC" w:rsidRPr="005856FC" w:rsidRDefault="005856FC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534323AB" w14:textId="5C13C879" w:rsidR="005856FC" w:rsidRPr="005856FC" w:rsidRDefault="005856FC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1BC4052" w14:textId="77777777" w:rsidR="005856FC" w:rsidRDefault="005856FC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0472" w14:paraId="7B3A5816" w14:textId="77777777" w:rsidTr="00CB2710">
        <w:tc>
          <w:tcPr>
            <w:tcW w:w="1226" w:type="dxa"/>
          </w:tcPr>
          <w:p w14:paraId="55C47F97" w14:textId="306A6109" w:rsidR="00420472" w:rsidRDefault="00442AE9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Qualcomm</w:t>
            </w:r>
          </w:p>
        </w:tc>
        <w:tc>
          <w:tcPr>
            <w:tcW w:w="1463" w:type="dxa"/>
          </w:tcPr>
          <w:p w14:paraId="6E5F97FF" w14:textId="0F92A378" w:rsidR="00420472" w:rsidRDefault="00442AE9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Agree</w:t>
            </w:r>
          </w:p>
        </w:tc>
        <w:tc>
          <w:tcPr>
            <w:tcW w:w="6327" w:type="dxa"/>
          </w:tcPr>
          <w:p w14:paraId="6457112A" w14:textId="77777777" w:rsidR="00420472" w:rsidRDefault="00420472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40DC" w14:paraId="7F391A00" w14:textId="77777777" w:rsidTr="00CB2710">
        <w:tc>
          <w:tcPr>
            <w:tcW w:w="1226" w:type="dxa"/>
          </w:tcPr>
          <w:p w14:paraId="1C6641E9" w14:textId="0C579F1F" w:rsidR="007F40DC" w:rsidRDefault="007F40DC" w:rsidP="007F40DC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9FB49A9" w14:textId="18802495" w:rsidR="007F40DC" w:rsidRDefault="007F40DC" w:rsidP="007F40DC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58458CD8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EE00A2" w14:paraId="65119388" w14:textId="77777777" w:rsidTr="00CB2710">
        <w:tc>
          <w:tcPr>
            <w:tcW w:w="1226" w:type="dxa"/>
          </w:tcPr>
          <w:p w14:paraId="08BF687C" w14:textId="0B7ACCDC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3218074F" w14:textId="0111CF92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EDD2642" w14:textId="77777777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Following Uu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5079FFB3" w14:textId="77777777" w:rsidTr="008A6EA1">
        <w:tc>
          <w:tcPr>
            <w:tcW w:w="1226" w:type="dxa"/>
          </w:tcPr>
          <w:p w14:paraId="3DA2A57C" w14:textId="595A8C49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Samsung</w:t>
            </w:r>
          </w:p>
        </w:tc>
        <w:tc>
          <w:tcPr>
            <w:tcW w:w="1463" w:type="dxa"/>
          </w:tcPr>
          <w:p w14:paraId="23B36655" w14:textId="7B88FE76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34698E04" w14:textId="61BF84F6" w:rsidR="000E2E71" w:rsidRPr="000E2E71" w:rsidRDefault="000E2E71" w:rsidP="000E2E71">
            <w:pPr>
              <w:pStyle w:val="0Maintext"/>
              <w:ind w:firstLine="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U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nlike NR Uu link, </w:t>
            </w:r>
            <w:r w:rsidRPr="006B533F">
              <w:rPr>
                <w:rFonts w:eastAsiaTheme="minorEastAsia"/>
                <w:sz w:val="22"/>
                <w:lang w:eastAsia="ko-KR"/>
              </w:rPr>
              <w:t xml:space="preserve">sidelink CSI-RS is confined within the PSSCH transmission </w:t>
            </w:r>
            <w:r>
              <w:rPr>
                <w:rFonts w:eastAsiaTheme="minorEastAsia"/>
                <w:sz w:val="22"/>
                <w:lang w:eastAsia="ko-KR"/>
              </w:rPr>
              <w:t xml:space="preserve">always </w:t>
            </w:r>
            <w:r w:rsidRPr="006B533F">
              <w:rPr>
                <w:rFonts w:eastAsiaTheme="minorEastAsia"/>
                <w:sz w:val="22"/>
                <w:lang w:eastAsia="ko-KR"/>
              </w:rPr>
              <w:t>and only aperiodic CSI reporting is supported</w:t>
            </w:r>
            <w:r>
              <w:rPr>
                <w:rFonts w:eastAsia="宋体"/>
                <w:sz w:val="22"/>
                <w:szCs w:val="22"/>
                <w:lang w:eastAsia="zh-CN"/>
              </w:rPr>
              <w:t>. Therefore, UE can simply use the resource configuration and transmission parameters applied in the sidelink CSI reference resource.</w:t>
            </w:r>
          </w:p>
        </w:tc>
      </w:tr>
      <w:tr w:rsidR="005856FC" w14:paraId="3F16A876" w14:textId="77777777" w:rsidTr="008A6EA1">
        <w:tc>
          <w:tcPr>
            <w:tcW w:w="1226" w:type="dxa"/>
          </w:tcPr>
          <w:p w14:paraId="42FD57E9" w14:textId="0D95B8B5" w:rsidR="005856FC" w:rsidRPr="005856FC" w:rsidRDefault="005856FC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0C226DB9" w14:textId="2A858BC8" w:rsidR="005856FC" w:rsidRPr="005856FC" w:rsidRDefault="005856FC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FD81126" w14:textId="77777777" w:rsidR="005856FC" w:rsidRDefault="005856FC" w:rsidP="000E2E71">
            <w:pPr>
              <w:pStyle w:val="0Maintext"/>
              <w:ind w:firstLine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D3711A" w14:paraId="71A2ED21" w14:textId="77777777" w:rsidTr="008A6EA1">
        <w:tc>
          <w:tcPr>
            <w:tcW w:w="1226" w:type="dxa"/>
          </w:tcPr>
          <w:p w14:paraId="29056B30" w14:textId="30D00E8C" w:rsidR="00D3711A" w:rsidRDefault="00D3711A" w:rsidP="00D3711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4FEDE3C2" w14:textId="38CAD784" w:rsidR="00D3711A" w:rsidRDefault="00D3711A" w:rsidP="00D3711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44762B7" w14:textId="77777777" w:rsidR="00D3711A" w:rsidRDefault="00D3711A" w:rsidP="00D3711A">
            <w:pPr>
              <w:pStyle w:val="0Maintext"/>
              <w:ind w:firstLine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7F40DC" w14:paraId="6FDD081A" w14:textId="77777777" w:rsidTr="008A6EA1">
        <w:tc>
          <w:tcPr>
            <w:tcW w:w="1226" w:type="dxa"/>
          </w:tcPr>
          <w:p w14:paraId="308A9A6F" w14:textId="030338BE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Apple </w:t>
            </w:r>
          </w:p>
        </w:tc>
        <w:tc>
          <w:tcPr>
            <w:tcW w:w="1463" w:type="dxa"/>
          </w:tcPr>
          <w:p w14:paraId="5053580F" w14:textId="2DA485D9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8661915" w14:textId="77777777" w:rsidR="007F40DC" w:rsidRDefault="007F40DC" w:rsidP="007F40DC">
            <w:pPr>
              <w:pStyle w:val="0Maintext"/>
              <w:ind w:firstLine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EE00A2" w14:paraId="0DCF2091" w14:textId="77777777" w:rsidTr="008A6EA1">
        <w:tc>
          <w:tcPr>
            <w:tcW w:w="1226" w:type="dxa"/>
          </w:tcPr>
          <w:p w14:paraId="4E260993" w14:textId="5E8910CA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244A1D54" w14:textId="4B560F37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4A53D996" w14:textId="77777777" w:rsidR="00EE00A2" w:rsidRDefault="00EE00A2" w:rsidP="00EE00A2">
            <w:pPr>
              <w:pStyle w:val="0Maintext"/>
              <w:ind w:firstLine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5D02A55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5"/>
        <w:gridCol w:w="938"/>
        <w:gridCol w:w="7023"/>
      </w:tblGrid>
      <w:tr w:rsidR="006A6528" w14:paraId="74B07BB7" w14:textId="77777777" w:rsidTr="007F40DC">
        <w:tc>
          <w:tcPr>
            <w:tcW w:w="1055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938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7023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7F40DC">
        <w:tc>
          <w:tcPr>
            <w:tcW w:w="1055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938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7023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3EB6E5AC" w14:textId="77777777" w:rsidTr="007F40DC">
        <w:tc>
          <w:tcPr>
            <w:tcW w:w="1055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938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7023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6DFA41AF" w14:textId="77777777" w:rsidTr="007F40DC">
        <w:tc>
          <w:tcPr>
            <w:tcW w:w="1055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938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7023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7F40DC">
        <w:tc>
          <w:tcPr>
            <w:tcW w:w="1055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938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they  will be from a more accurate base.</w:t>
            </w:r>
          </w:p>
        </w:tc>
      </w:tr>
      <w:tr w:rsidR="00A020F1" w14:paraId="52BBDE44" w14:textId="77777777" w:rsidTr="007F40DC">
        <w:tc>
          <w:tcPr>
            <w:tcW w:w="1055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938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7F40DC">
        <w:tc>
          <w:tcPr>
            <w:tcW w:w="1055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938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7F40DC">
        <w:tc>
          <w:tcPr>
            <w:tcW w:w="1055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938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  <w:tr w:rsidR="000E2E71" w14:paraId="45D61A7B" w14:textId="77777777" w:rsidTr="007F40DC">
        <w:tc>
          <w:tcPr>
            <w:tcW w:w="1055" w:type="dxa"/>
          </w:tcPr>
          <w:p w14:paraId="4567A311" w14:textId="70AE6FDB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938" w:type="dxa"/>
          </w:tcPr>
          <w:p w14:paraId="33E79945" w14:textId="584D2F24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56EFBA97" w14:textId="19582155" w:rsidR="000E2E71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5856FC" w14:paraId="14800640" w14:textId="77777777" w:rsidTr="007F40DC">
        <w:tc>
          <w:tcPr>
            <w:tcW w:w="1055" w:type="dxa"/>
          </w:tcPr>
          <w:p w14:paraId="19EE5C0B" w14:textId="5AB20AEB" w:rsidR="005856FC" w:rsidRPr="005856FC" w:rsidRDefault="005856FC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938" w:type="dxa"/>
          </w:tcPr>
          <w:p w14:paraId="684DD9C6" w14:textId="7F098DC7" w:rsidR="005856FC" w:rsidRPr="005856FC" w:rsidRDefault="005856FC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7023" w:type="dxa"/>
          </w:tcPr>
          <w:p w14:paraId="0DA88196" w14:textId="18DDA835" w:rsidR="005856FC" w:rsidRPr="005856FC" w:rsidRDefault="005856FC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It is possible that TX UE can change the transmission resource pool. A default assumption of PSCCH </w:t>
            </w:r>
            <w:r w:rsidR="00B93AD9">
              <w:rPr>
                <w:rFonts w:ascii="Calibri" w:eastAsia="宋体" w:hAnsi="Calibri" w:cs="Calibri"/>
                <w:sz w:val="22"/>
                <w:lang w:eastAsia="zh-CN"/>
              </w:rPr>
              <w:t xml:space="preserve">resource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can be used for CSI reporting. How to modify it based on actual</w:t>
            </w:r>
            <w:r w:rsidR="00B93AD9">
              <w:rPr>
                <w:rFonts w:ascii="Calibri" w:eastAsia="宋体" w:hAnsi="Calibri" w:cs="Calibri"/>
                <w:sz w:val="22"/>
                <w:lang w:eastAsia="zh-CN"/>
              </w:rPr>
              <w:t xml:space="preserve"> PSCCH resource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is up to TX UE</w:t>
            </w:r>
          </w:p>
        </w:tc>
      </w:tr>
      <w:tr w:rsidR="00D65DC9" w14:paraId="46C34C96" w14:textId="77777777" w:rsidTr="007F40DC">
        <w:tc>
          <w:tcPr>
            <w:tcW w:w="1055" w:type="dxa"/>
          </w:tcPr>
          <w:p w14:paraId="33F5DD00" w14:textId="46E266A9" w:rsidR="00D65DC9" w:rsidRDefault="00D65DC9" w:rsidP="00D65DC9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938" w:type="dxa"/>
          </w:tcPr>
          <w:p w14:paraId="7A2C1ECA" w14:textId="768938E8" w:rsidR="00D65DC9" w:rsidRDefault="00D65DC9" w:rsidP="00D65DC9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7023" w:type="dxa"/>
          </w:tcPr>
          <w:p w14:paraId="09A62AC4" w14:textId="0959227B" w:rsidR="00D65DC9" w:rsidRDefault="00D65DC9" w:rsidP="00D65DC9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Following NR Uu, having a fixed assumption implies lower UE implementation complexity</w:t>
            </w:r>
          </w:p>
        </w:tc>
      </w:tr>
      <w:tr w:rsidR="007F40DC" w14:paraId="370EF0CD" w14:textId="77777777" w:rsidTr="007F40DC">
        <w:tc>
          <w:tcPr>
            <w:tcW w:w="1055" w:type="dxa"/>
          </w:tcPr>
          <w:p w14:paraId="1AB41C47" w14:textId="7EE00203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938" w:type="dxa"/>
          </w:tcPr>
          <w:p w14:paraId="0AAD8213" w14:textId="72BA3934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7023" w:type="dxa"/>
          </w:tcPr>
          <w:p w14:paraId="3D63C1CF" w14:textId="6D317381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Both “</w:t>
            </w:r>
            <w:r w:rsidRPr="006B607F">
              <w:rPr>
                <w:rFonts w:ascii="Calibri" w:hAnsi="Calibri" w:cs="Calibri"/>
                <w:sz w:val="22"/>
              </w:rPr>
              <w:t>timeResourcePSCCH</w:t>
            </w:r>
            <w:r>
              <w:rPr>
                <w:rFonts w:ascii="Calibri" w:hAnsi="Calibri" w:cs="Calibri"/>
                <w:sz w:val="22"/>
              </w:rPr>
              <w:t>” and “</w:t>
            </w:r>
            <w:r w:rsidRPr="006B607F">
              <w:rPr>
                <w:rFonts w:ascii="Calibri" w:hAnsi="Calibri" w:cs="Calibri"/>
                <w:sz w:val="22"/>
              </w:rPr>
              <w:t>frequencyResourcePSCCH</w:t>
            </w:r>
            <w:r>
              <w:rPr>
                <w:rFonts w:ascii="Calibri" w:hAnsi="Calibri" w:cs="Calibri"/>
                <w:sz w:val="22"/>
              </w:rPr>
              <w:t xml:space="preserve">” are resource pool configuration, which is semi-static and easy to capture. </w:t>
            </w:r>
          </w:p>
        </w:tc>
      </w:tr>
      <w:tr w:rsidR="00EE00A2" w14:paraId="62F61812" w14:textId="77777777" w:rsidTr="007F40DC">
        <w:tc>
          <w:tcPr>
            <w:tcW w:w="1055" w:type="dxa"/>
          </w:tcPr>
          <w:p w14:paraId="78554D6A" w14:textId="3B3FF8C6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ivo</w:t>
            </w:r>
          </w:p>
        </w:tc>
        <w:tc>
          <w:tcPr>
            <w:tcW w:w="938" w:type="dxa"/>
          </w:tcPr>
          <w:p w14:paraId="7B87C57E" w14:textId="20379E5F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7023" w:type="dxa"/>
          </w:tcPr>
          <w:p w14:paraId="22B05D40" w14:textId="10C35F35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CSI measurement in one pool can be reported at another pool, to avoid misunderstanding, all the assumptions are not pool specific.</w:t>
            </w: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76F514E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We do not yet understand why a Uu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sidelink.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40274534" w14:textId="77777777" w:rsidTr="008A6EA1">
        <w:tc>
          <w:tcPr>
            <w:tcW w:w="1226" w:type="dxa"/>
          </w:tcPr>
          <w:p w14:paraId="6046BC17" w14:textId="4C4531A3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14AAA948" w14:textId="2844BEEC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722CEA59" w14:textId="5B320DC2" w:rsidR="000E2E71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6367D0EA" w14:textId="77777777" w:rsidTr="008A6EA1">
        <w:tc>
          <w:tcPr>
            <w:tcW w:w="1226" w:type="dxa"/>
          </w:tcPr>
          <w:p w14:paraId="5544D73C" w14:textId="429225FD" w:rsidR="00B93AD9" w:rsidRPr="00B93AD9" w:rsidRDefault="00B93AD9" w:rsidP="00CB772C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4D01F08A" w14:textId="312FCD2E" w:rsidR="00B93AD9" w:rsidRPr="00B93AD9" w:rsidRDefault="00B93AD9" w:rsidP="00CB772C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2</w:t>
            </w:r>
          </w:p>
        </w:tc>
        <w:tc>
          <w:tcPr>
            <w:tcW w:w="6327" w:type="dxa"/>
          </w:tcPr>
          <w:p w14:paraId="5E75AC82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9378FF1" w14:textId="77777777" w:rsidTr="008A6EA1">
        <w:tc>
          <w:tcPr>
            <w:tcW w:w="1226" w:type="dxa"/>
          </w:tcPr>
          <w:p w14:paraId="0DEB55E5" w14:textId="703AA56F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84AF9AD" w14:textId="14E9878A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F592044" w14:textId="5E01887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Uu, having a fixed assumption implies lower UE implementation complexity </w:t>
            </w:r>
          </w:p>
        </w:tc>
      </w:tr>
      <w:tr w:rsidR="007F40DC" w14:paraId="7AB89F6D" w14:textId="77777777" w:rsidTr="008A6EA1">
        <w:tc>
          <w:tcPr>
            <w:tcW w:w="1226" w:type="dxa"/>
          </w:tcPr>
          <w:p w14:paraId="174CEE66" w14:textId="37F42D0A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7D626A82" w14:textId="2D70B65F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5</w:t>
            </w:r>
          </w:p>
        </w:tc>
        <w:tc>
          <w:tcPr>
            <w:tcW w:w="6327" w:type="dxa"/>
          </w:tcPr>
          <w:p w14:paraId="581116E7" w14:textId="678325A2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 long as PSFCH resources are configured (i.e., “sl-PSFCH-Period-r16”</w:t>
            </w:r>
            <w:r w:rsidRPr="004D68D7">
              <w:rPr>
                <w:rFonts w:ascii="Calibri" w:hAnsi="Calibri" w:cs="Calibri"/>
                <w:sz w:val="22"/>
              </w:rPr>
              <w:t xml:space="preserve"> =</w:t>
            </w:r>
            <w:r>
              <w:rPr>
                <w:rFonts w:ascii="Calibri" w:hAnsi="Calibri" w:cs="Calibri"/>
                <w:sz w:val="22"/>
              </w:rPr>
              <w:t xml:space="preserve"> 1,2,4 slots), we could assume PSSCH symbol number is equal to “sl-L</w:t>
            </w:r>
            <w:r w:rsidRPr="00957347">
              <w:rPr>
                <w:rFonts w:ascii="Calibri" w:hAnsi="Calibri" w:cs="Calibri"/>
                <w:sz w:val="22"/>
              </w:rPr>
              <w:t xml:space="preserve">engthSymbols ‒ </w:t>
            </w:r>
            <w:r>
              <w:rPr>
                <w:rFonts w:ascii="Calibri" w:hAnsi="Calibri" w:cs="Calibri"/>
                <w:sz w:val="22"/>
              </w:rPr>
              <w:t>5”. Hence, we prefer</w:t>
            </w:r>
          </w:p>
          <w:p w14:paraId="22A88532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  <w:p w14:paraId="37F14869" w14:textId="48BADCF0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“sl-L</w:t>
            </w:r>
            <w:r w:rsidRPr="00957347">
              <w:rPr>
                <w:rFonts w:ascii="Calibri" w:hAnsi="Calibri" w:cs="Calibri"/>
                <w:sz w:val="22"/>
              </w:rPr>
              <w:t xml:space="preserve">engthSymbols ‒ </w:t>
            </w:r>
            <w:r>
              <w:rPr>
                <w:rFonts w:ascii="Calibri" w:hAnsi="Calibri" w:cs="Calibri"/>
                <w:sz w:val="22"/>
              </w:rPr>
              <w:t>2” if “sl-PSFCH-Period-r16”</w:t>
            </w:r>
            <w:r w:rsidRPr="004D68D7">
              <w:rPr>
                <w:rFonts w:ascii="Calibri" w:hAnsi="Calibri" w:cs="Calibri"/>
                <w:sz w:val="22"/>
              </w:rPr>
              <w:t xml:space="preserve"> = </w:t>
            </w:r>
            <w:r>
              <w:rPr>
                <w:rFonts w:ascii="Calibri" w:hAnsi="Calibri" w:cs="Calibri"/>
                <w:sz w:val="22"/>
              </w:rPr>
              <w:t>0; Otherwise, “sl-L</w:t>
            </w:r>
            <w:r w:rsidRPr="00957347">
              <w:rPr>
                <w:rFonts w:ascii="Calibri" w:hAnsi="Calibri" w:cs="Calibri"/>
                <w:sz w:val="22"/>
              </w:rPr>
              <w:t xml:space="preserve">engthSymbols ‒ </w:t>
            </w:r>
            <w:r>
              <w:rPr>
                <w:rFonts w:ascii="Calibri" w:hAnsi="Calibri" w:cs="Calibri"/>
                <w:sz w:val="22"/>
              </w:rPr>
              <w:t>5”</w:t>
            </w:r>
          </w:p>
          <w:p w14:paraId="7D992278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  <w:p w14:paraId="439D0AEB" w14:textId="1564B79E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This approach is based on resource pool configuration and achieves the balance between implementation complexity and performance. </w:t>
            </w:r>
          </w:p>
        </w:tc>
      </w:tr>
      <w:tr w:rsidR="00EE00A2" w14:paraId="09B1634E" w14:textId="77777777" w:rsidTr="008A6EA1">
        <w:tc>
          <w:tcPr>
            <w:tcW w:w="1226" w:type="dxa"/>
          </w:tcPr>
          <w:p w14:paraId="44D09D3C" w14:textId="0CE8D263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Vivo</w:t>
            </w:r>
          </w:p>
        </w:tc>
        <w:tc>
          <w:tcPr>
            <w:tcW w:w="1463" w:type="dxa"/>
          </w:tcPr>
          <w:p w14:paraId="122CD76C" w14:textId="5ADBE98B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5D510ECB" w14:textId="419B6192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 principle</w:t>
            </w: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128EC86B" w14:textId="77777777" w:rsidTr="008A6EA1">
        <w:tc>
          <w:tcPr>
            <w:tcW w:w="1226" w:type="dxa"/>
          </w:tcPr>
          <w:p w14:paraId="684EEC09" w14:textId="13CA80E2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6C201EB" w14:textId="32CA86BA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4BD05662" w14:textId="2A46B19B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049BB8E4" w14:textId="77777777" w:rsidTr="008A6EA1">
        <w:tc>
          <w:tcPr>
            <w:tcW w:w="1226" w:type="dxa"/>
          </w:tcPr>
          <w:p w14:paraId="7399B955" w14:textId="476C4A8D" w:rsidR="00B93AD9" w:rsidRPr="00B93AD9" w:rsidRDefault="00B93AD9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6B67EDA8" w14:textId="7B35AAA7" w:rsidR="00B93AD9" w:rsidRPr="00B93AD9" w:rsidRDefault="00B93AD9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0D1548EF" w14:textId="77777777" w:rsidR="00B93AD9" w:rsidRDefault="00B93AD9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7CDB801" w14:textId="77777777" w:rsidTr="008A6EA1">
        <w:tc>
          <w:tcPr>
            <w:tcW w:w="1226" w:type="dxa"/>
          </w:tcPr>
          <w:p w14:paraId="5ECC914B" w14:textId="0B640762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68EEC2CF" w14:textId="177BE5D7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AB473DD" w14:textId="072D152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7F40DC" w14:paraId="1FE8C813" w14:textId="77777777" w:rsidTr="008A6EA1">
        <w:tc>
          <w:tcPr>
            <w:tcW w:w="1226" w:type="dxa"/>
          </w:tcPr>
          <w:p w14:paraId="51148B05" w14:textId="3A77A0B9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C26124A" w14:textId="1A5DB945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B9861B1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EE00A2" w14:paraId="250B7A7B" w14:textId="77777777" w:rsidTr="008A6EA1">
        <w:tc>
          <w:tcPr>
            <w:tcW w:w="1226" w:type="dxa"/>
          </w:tcPr>
          <w:p w14:paraId="0DE2D4AF" w14:textId="7E16F251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520601E8" w14:textId="515B0DDA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B84144C" w14:textId="2D2F4AEC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7DB87BF" w14:textId="77777777" w:rsidTr="008A6EA1">
        <w:tc>
          <w:tcPr>
            <w:tcW w:w="1226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8A6EA1">
        <w:tc>
          <w:tcPr>
            <w:tcW w:w="1226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8A6EA1">
        <w:tc>
          <w:tcPr>
            <w:tcW w:w="1226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634632" w14:textId="77777777" w:rsidTr="008A6EA1">
        <w:tc>
          <w:tcPr>
            <w:tcW w:w="1226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8A6EA1">
        <w:tc>
          <w:tcPr>
            <w:tcW w:w="1226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What does “re use NR Uu” mean, when there is no concept of 2nd SCI?</w:t>
            </w:r>
          </w:p>
        </w:tc>
      </w:tr>
      <w:tr w:rsidR="00A020F1" w14:paraId="0D42814A" w14:textId="77777777" w:rsidTr="008A6EA1">
        <w:tc>
          <w:tcPr>
            <w:tcW w:w="1226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8A6EA1">
        <w:tc>
          <w:tcPr>
            <w:tcW w:w="1226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8A6EA1">
        <w:tc>
          <w:tcPr>
            <w:tcW w:w="1226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5CEB5ACF" w14:textId="77777777" w:rsidTr="008A6EA1">
        <w:tc>
          <w:tcPr>
            <w:tcW w:w="1226" w:type="dxa"/>
          </w:tcPr>
          <w:p w14:paraId="3A31B537" w14:textId="66FD7E25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Samsung</w:t>
            </w:r>
          </w:p>
        </w:tc>
        <w:tc>
          <w:tcPr>
            <w:tcW w:w="1463" w:type="dxa"/>
          </w:tcPr>
          <w:p w14:paraId="2001C38B" w14:textId="34F38740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3</w:t>
            </w:r>
          </w:p>
        </w:tc>
        <w:tc>
          <w:tcPr>
            <w:tcW w:w="6327" w:type="dxa"/>
          </w:tcPr>
          <w:p w14:paraId="7EB766B0" w14:textId="4C078E31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B93AD9" w14:paraId="70CF08DD" w14:textId="77777777" w:rsidTr="008A6EA1">
        <w:tc>
          <w:tcPr>
            <w:tcW w:w="1226" w:type="dxa"/>
          </w:tcPr>
          <w:p w14:paraId="369234C2" w14:textId="5E2F6907" w:rsidR="00B93AD9" w:rsidRPr="00B93AD9" w:rsidRDefault="00B93AD9" w:rsidP="00CB772C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21FED796" w14:textId="24C7C6B9" w:rsidR="00B93AD9" w:rsidRPr="00B93AD9" w:rsidRDefault="00B93AD9" w:rsidP="00CB772C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48A1588E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50B06A78" w14:textId="77777777" w:rsidTr="008A6EA1">
        <w:tc>
          <w:tcPr>
            <w:tcW w:w="1226" w:type="dxa"/>
          </w:tcPr>
          <w:p w14:paraId="2445BF73" w14:textId="4608C284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22CE69DC" w14:textId="591B199E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3BFD08C" w14:textId="7FB2B02A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</w:t>
            </w:r>
          </w:p>
        </w:tc>
      </w:tr>
      <w:tr w:rsidR="007F40DC" w14:paraId="71A11EE2" w14:textId="77777777" w:rsidTr="008A6EA1">
        <w:tc>
          <w:tcPr>
            <w:tcW w:w="1226" w:type="dxa"/>
          </w:tcPr>
          <w:p w14:paraId="0B216C48" w14:textId="43C485E3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C43C4B9" w14:textId="04A266FF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EDEBA61" w14:textId="77777777" w:rsidR="007F40DC" w:rsidRDefault="007F40DC" w:rsidP="007F180A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EE00A2" w14:paraId="20651C44" w14:textId="77777777" w:rsidTr="008A6EA1">
        <w:tc>
          <w:tcPr>
            <w:tcW w:w="1226" w:type="dxa"/>
          </w:tcPr>
          <w:p w14:paraId="031BC2BC" w14:textId="09202CA0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5B0A64C9" w14:textId="325CADA6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8C95F98" w14:textId="287E83A3" w:rsidR="00EE00A2" w:rsidRDefault="00EE00A2" w:rsidP="00EE00A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</w:t>
            </w: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682CECE0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076D1138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07C78A0" w14:textId="312F87AE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322C6C6A" w14:textId="7D986741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  <w:tr w:rsidR="00FA72D8" w14:paraId="60EB9022" w14:textId="77777777" w:rsidTr="008A6EA1">
        <w:tc>
          <w:tcPr>
            <w:tcW w:w="1226" w:type="dxa"/>
          </w:tcPr>
          <w:p w14:paraId="1EC20B19" w14:textId="39628DD2" w:rsidR="00FA72D8" w:rsidRPr="00FA72D8" w:rsidRDefault="00FA72D8" w:rsidP="00FF0B4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153070E3" w14:textId="63CEEBB6" w:rsidR="00FA72D8" w:rsidRPr="00FA72D8" w:rsidRDefault="00FA72D8" w:rsidP="00FF0B4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7E676DC8" w14:textId="77777777" w:rsidR="00FA72D8" w:rsidRDefault="00FA72D8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19CC16A7" w14:textId="77777777" w:rsidTr="008A6EA1">
        <w:tc>
          <w:tcPr>
            <w:tcW w:w="1226" w:type="dxa"/>
          </w:tcPr>
          <w:p w14:paraId="7076504C" w14:textId="2BCA8A51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05F359F7" w14:textId="14291B5F" w:rsidR="007F180A" w:rsidRDefault="007F180A" w:rsidP="007F180A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63CF1100" w14:textId="080BCC1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Sharp this also needs to follow NR Uu definition, i.e., no overhead for DMRS</w:t>
            </w:r>
          </w:p>
        </w:tc>
      </w:tr>
      <w:tr w:rsidR="007F40DC" w14:paraId="0156CA6F" w14:textId="77777777" w:rsidTr="008A6EA1">
        <w:tc>
          <w:tcPr>
            <w:tcW w:w="1226" w:type="dxa"/>
          </w:tcPr>
          <w:p w14:paraId="1DE730D0" w14:textId="457EC74E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49486CB6" w14:textId="79AE24F8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A7F5117" w14:textId="77777777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EE00A2" w14:paraId="3ED961AB" w14:textId="77777777" w:rsidTr="008A6EA1">
        <w:tc>
          <w:tcPr>
            <w:tcW w:w="1226" w:type="dxa"/>
          </w:tcPr>
          <w:p w14:paraId="3CACCBBE" w14:textId="5BAD1DAF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bookmarkStart w:id="0" w:name="_GoBack" w:colFirst="0" w:colLast="-1"/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4C110606" w14:textId="1B58A45C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32A61279" w14:textId="77777777" w:rsidR="00EE00A2" w:rsidRDefault="00EE00A2" w:rsidP="00EE00A2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CSI measurement in one pool can be reported at another pool, to avoid misunderstanding, all the assumptions are not pool specific.</w:t>
            </w:r>
          </w:p>
          <w:p w14:paraId="4420F164" w14:textId="281F7683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Sharp and QC, i.e., no overhead for DMRS</w:t>
            </w:r>
          </w:p>
        </w:tc>
      </w:tr>
      <w:bookmarkEnd w:id="0"/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Huawei, HiSilicon</w:t>
            </w:r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assumption on precoding matrix needs specifying, as in the Uu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Huawei/HiSilicon</w:t>
            </w:r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3565DE98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6B1080F5" w14:textId="47EF708F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733030E9" w14:textId="080E2942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7F180A" w14:paraId="2CEF3081" w14:textId="77777777" w:rsidTr="008A6EA1">
        <w:tc>
          <w:tcPr>
            <w:tcW w:w="1226" w:type="dxa"/>
          </w:tcPr>
          <w:p w14:paraId="69E5279D" w14:textId="63C27343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72DB05E" w14:textId="35CCD032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4ED3C311" w14:textId="5C454E08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Assumption for the PSSCH power to NZP CSI-RS power needs to be specified as well</w:t>
            </w:r>
            <w:r w:rsidR="00655044"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40CAFC15" w14:textId="77777777" w:rsidTr="008A6EA1">
        <w:tc>
          <w:tcPr>
            <w:tcW w:w="1226" w:type="dxa"/>
          </w:tcPr>
          <w:p w14:paraId="6F2489B8" w14:textId="2DE59E82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7C455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2083AF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7816A" w14:textId="77777777" w:rsidR="00F63212" w:rsidRDefault="00F63212" w:rsidP="00590E43">
      <w:r>
        <w:separator/>
      </w:r>
    </w:p>
  </w:endnote>
  <w:endnote w:type="continuationSeparator" w:id="0">
    <w:p w14:paraId="0BC6B1D5" w14:textId="77777777" w:rsidR="00F63212" w:rsidRDefault="00F63212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8B8B9" w14:textId="77777777" w:rsidR="00F63212" w:rsidRDefault="00F63212" w:rsidP="00590E43">
      <w:r>
        <w:separator/>
      </w:r>
    </w:p>
  </w:footnote>
  <w:footnote w:type="continuationSeparator" w:id="0">
    <w:p w14:paraId="7531AFAB" w14:textId="77777777" w:rsidR="00F63212" w:rsidRDefault="00F63212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33828"/>
    <w:rsid w:val="00057D0C"/>
    <w:rsid w:val="00096C98"/>
    <w:rsid w:val="000A2334"/>
    <w:rsid w:val="000A51CD"/>
    <w:rsid w:val="000B2934"/>
    <w:rsid w:val="000D6626"/>
    <w:rsid w:val="000E2E71"/>
    <w:rsid w:val="000F3F44"/>
    <w:rsid w:val="00107338"/>
    <w:rsid w:val="001127C3"/>
    <w:rsid w:val="00135B8D"/>
    <w:rsid w:val="00157B27"/>
    <w:rsid w:val="001D7FAB"/>
    <w:rsid w:val="00213705"/>
    <w:rsid w:val="002429AB"/>
    <w:rsid w:val="0029261C"/>
    <w:rsid w:val="002B5263"/>
    <w:rsid w:val="002E2C00"/>
    <w:rsid w:val="00311A9A"/>
    <w:rsid w:val="003312D3"/>
    <w:rsid w:val="00362458"/>
    <w:rsid w:val="00394919"/>
    <w:rsid w:val="003A51D5"/>
    <w:rsid w:val="003C0571"/>
    <w:rsid w:val="003C14A6"/>
    <w:rsid w:val="003D0598"/>
    <w:rsid w:val="003D276E"/>
    <w:rsid w:val="00404206"/>
    <w:rsid w:val="00420472"/>
    <w:rsid w:val="00437B27"/>
    <w:rsid w:val="00442AE9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856FC"/>
    <w:rsid w:val="00590E43"/>
    <w:rsid w:val="005A0CE5"/>
    <w:rsid w:val="005A3863"/>
    <w:rsid w:val="005C699C"/>
    <w:rsid w:val="00655044"/>
    <w:rsid w:val="00661F36"/>
    <w:rsid w:val="006A070C"/>
    <w:rsid w:val="006A6528"/>
    <w:rsid w:val="00701ACC"/>
    <w:rsid w:val="00733B65"/>
    <w:rsid w:val="0075324F"/>
    <w:rsid w:val="00765D9B"/>
    <w:rsid w:val="007A133E"/>
    <w:rsid w:val="007A3033"/>
    <w:rsid w:val="007E0E3F"/>
    <w:rsid w:val="007E5FAE"/>
    <w:rsid w:val="007F180A"/>
    <w:rsid w:val="007F40DC"/>
    <w:rsid w:val="00831DCB"/>
    <w:rsid w:val="00863038"/>
    <w:rsid w:val="008815FE"/>
    <w:rsid w:val="00887350"/>
    <w:rsid w:val="008B1D31"/>
    <w:rsid w:val="008C11B8"/>
    <w:rsid w:val="008D6C72"/>
    <w:rsid w:val="009127E7"/>
    <w:rsid w:val="009211D0"/>
    <w:rsid w:val="0096668D"/>
    <w:rsid w:val="00986389"/>
    <w:rsid w:val="00994122"/>
    <w:rsid w:val="00997CE3"/>
    <w:rsid w:val="009A0D76"/>
    <w:rsid w:val="009F088D"/>
    <w:rsid w:val="009F4838"/>
    <w:rsid w:val="00A020F1"/>
    <w:rsid w:val="00A36524"/>
    <w:rsid w:val="00AC407A"/>
    <w:rsid w:val="00B16FB4"/>
    <w:rsid w:val="00B21DD8"/>
    <w:rsid w:val="00B63AF7"/>
    <w:rsid w:val="00B7389E"/>
    <w:rsid w:val="00B93AD9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3711A"/>
    <w:rsid w:val="00D65DC9"/>
    <w:rsid w:val="00D86BC2"/>
    <w:rsid w:val="00E52A1B"/>
    <w:rsid w:val="00EB4ED8"/>
    <w:rsid w:val="00EE00A2"/>
    <w:rsid w:val="00EE684D"/>
    <w:rsid w:val="00F63212"/>
    <w:rsid w:val="00F836EA"/>
    <w:rsid w:val="00FA72D8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590E43"/>
  </w:style>
  <w:style w:type="character" w:customStyle="1" w:styleId="1Char">
    <w:name w:val="标题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5"/>
    <w:uiPriority w:val="34"/>
    <w:qFormat/>
    <w:rsid w:val="00590E43"/>
    <w:rPr>
      <w:rFonts w:ascii="Malgun Gothic" w:eastAsia="Malgun Gothic" w:hAnsi="Malgun Gothic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Char5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Char5">
    <w:name w:val="文档结构图 Char"/>
    <w:basedOn w:val="a0"/>
    <w:link w:val="ab"/>
    <w:uiPriority w:val="99"/>
    <w:semiHidden/>
    <w:rsid w:val="00A020F1"/>
    <w:rPr>
      <w:rFonts w:ascii="Tahoma" w:eastAsia="Batang" w:hAnsi="Tahoma" w:cs="Tahoma"/>
      <w:sz w:val="16"/>
      <w:szCs w:val="16"/>
    </w:rPr>
  </w:style>
  <w:style w:type="paragraph" w:customStyle="1" w:styleId="0Maintext">
    <w:name w:val="0 Main text"/>
    <w:basedOn w:val="a"/>
    <w:link w:val="0MaintextChar"/>
    <w:qFormat/>
    <w:rsid w:val="000E2E71"/>
    <w:pPr>
      <w:widowControl/>
      <w:wordWrap/>
      <w:autoSpaceDE/>
      <w:autoSpaceDN/>
      <w:spacing w:before="100" w:beforeAutospacing="1" w:after="100" w:afterAutospacing="1"/>
      <w:ind w:firstLine="360"/>
    </w:pPr>
    <w:rPr>
      <w:rFonts w:ascii="Times New Roman" w:eastAsia="Malgun Gothic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0E2E71"/>
    <w:rPr>
      <w:rFonts w:ascii="Times New Roman" w:eastAsia="Malgun Gothic" w:hAnsi="Times New Roman" w:cs="Batang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王欢</cp:lastModifiedBy>
  <cp:revision>4</cp:revision>
  <dcterms:created xsi:type="dcterms:W3CDTF">2020-08-18T03:21:00Z</dcterms:created>
  <dcterms:modified xsi:type="dcterms:W3CDTF">2020-08-18T04:12:00Z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D:\3GPPMeeting102-e\PHY procedure\SL PHY procedure thread #02 v008_Intel_FTW.docx</vt:lpwstr>
  </property>
</Properties>
</file>