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1638"/>
        <w:gridCol w:w="1051"/>
        <w:gridCol w:w="6327"/>
      </w:tblGrid>
      <w:tr w:rsidR="00CB2710" w14:paraId="647F73C8" w14:textId="77777777" w:rsidTr="007C61E9">
        <w:tc>
          <w:tcPr>
            <w:tcW w:w="163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051"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6327"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7C61E9">
        <w:tc>
          <w:tcPr>
            <w:tcW w:w="163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1051"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7C61E9">
        <w:tc>
          <w:tcPr>
            <w:tcW w:w="163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1051"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7C61E9">
        <w:tc>
          <w:tcPr>
            <w:tcW w:w="163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1051"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6327"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7C61E9">
        <w:tc>
          <w:tcPr>
            <w:tcW w:w="163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051"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327"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7C61E9">
        <w:tc>
          <w:tcPr>
            <w:tcW w:w="163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1051"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6327"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7C61E9">
        <w:tc>
          <w:tcPr>
            <w:tcW w:w="163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1051"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6327"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7C61E9">
        <w:tc>
          <w:tcPr>
            <w:tcW w:w="1638" w:type="dxa"/>
          </w:tcPr>
          <w:p w14:paraId="21390E69" w14:textId="34A9E46D" w:rsidR="007C61E9" w:rsidRPr="0029302B" w:rsidRDefault="0029302B"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051" w:type="dxa"/>
          </w:tcPr>
          <w:p w14:paraId="24EA919C" w14:textId="1ADAAD89" w:rsidR="007C61E9" w:rsidRPr="0029302B" w:rsidRDefault="0029302B"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55E0E1BE" w14:textId="50D57DC6" w:rsidR="0029302B" w:rsidRPr="0029302B" w:rsidRDefault="0029302B" w:rsidP="007C61E9">
            <w:pPr>
              <w:widowControl/>
              <w:rPr>
                <w:rFonts w:ascii="Calibri" w:eastAsia="宋体" w:hAnsi="Calibri" w:cs="Calibri" w:hint="eastAsia"/>
                <w:sz w:val="22"/>
                <w:lang w:eastAsia="zh-CN"/>
              </w:rPr>
            </w:pPr>
            <w:r>
              <w:rPr>
                <w:rFonts w:ascii="Calibri" w:eastAsia="宋体" w:hAnsi="Calibri" w:cs="Calibri"/>
                <w:sz w:val="22"/>
                <w:lang w:eastAsia="zh-CN"/>
              </w:rPr>
              <w:t xml:space="preserve">Similar view as NTT DOCOMO. </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 xml:space="preserve">f 2-B </w:t>
            </w:r>
            <w:proofErr w:type="gramStart"/>
            <w:r>
              <w:rPr>
                <w:rFonts w:ascii="Calibri" w:eastAsia="MS Mincho" w:hAnsi="Calibri" w:cs="Calibri" w:hint="eastAsia"/>
                <w:sz w:val="22"/>
                <w:lang w:eastAsia="ja-JP"/>
              </w:rPr>
              <w:t>is used,</w:t>
            </w:r>
            <w:proofErr w:type="gramEnd"/>
            <w:r>
              <w:rPr>
                <w:rFonts w:ascii="Calibri" w:eastAsia="MS Mincho" w:hAnsi="Calibri" w:cs="Calibri" w:hint="eastAsia"/>
                <w:sz w:val="22"/>
                <w:lang w:eastAsia="ja-JP"/>
              </w:rPr>
              <w:t xml:space="preserve">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lastRenderedPageBreak/>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7C61E9" w14:paraId="7801887F" w14:textId="77777777" w:rsidTr="007C61E9">
        <w:tc>
          <w:tcPr>
            <w:tcW w:w="1458" w:type="dxa"/>
          </w:tcPr>
          <w:p w14:paraId="6B35E0B6" w14:textId="77777777" w:rsidR="007C61E9" w:rsidRDefault="007C61E9" w:rsidP="007C61E9">
            <w:pPr>
              <w:widowControl/>
              <w:rPr>
                <w:rFonts w:ascii="Calibri" w:hAnsi="Calibri" w:cs="Calibri"/>
                <w:sz w:val="22"/>
              </w:rPr>
            </w:pPr>
          </w:p>
        </w:tc>
        <w:tc>
          <w:tcPr>
            <w:tcW w:w="1260" w:type="dxa"/>
          </w:tcPr>
          <w:p w14:paraId="0CFA9E88" w14:textId="77777777" w:rsidR="007C61E9" w:rsidRDefault="007C61E9" w:rsidP="007C61E9">
            <w:pPr>
              <w:widowControl/>
              <w:rPr>
                <w:rFonts w:ascii="Calibri" w:hAnsi="Calibri" w:cs="Calibri"/>
                <w:sz w:val="22"/>
              </w:rPr>
            </w:pPr>
          </w:p>
        </w:tc>
        <w:tc>
          <w:tcPr>
            <w:tcW w:w="6298" w:type="dxa"/>
          </w:tcPr>
          <w:p w14:paraId="05A076FD" w14:textId="77777777" w:rsidR="007C61E9" w:rsidRDefault="007C61E9" w:rsidP="007C61E9">
            <w:pPr>
              <w:widowControl/>
              <w:rPr>
                <w:rFonts w:ascii="Calibri" w:hAnsi="Calibri" w:cs="Calibri"/>
                <w:sz w:val="22"/>
              </w:rPr>
            </w:pP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 xml:space="preserve">ode 1 and </w:t>
            </w:r>
            <w:proofErr w:type="gramStart"/>
            <w:r>
              <w:rPr>
                <w:rFonts w:ascii="Calibri" w:eastAsia="宋体" w:hAnsi="Calibri" w:cs="Calibri"/>
                <w:sz w:val="22"/>
                <w:lang w:eastAsia="zh-CN"/>
              </w:rPr>
              <w:t>2, and</w:t>
            </w:r>
            <w:proofErr w:type="gramEnd"/>
            <w:r>
              <w:rPr>
                <w:rFonts w:ascii="Calibri" w:eastAsia="宋体" w:hAnsi="Calibri" w:cs="Calibri"/>
                <w:sz w:val="22"/>
                <w:lang w:eastAsia="zh-CN"/>
              </w:rPr>
              <w:t xml:space="preserve">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1060"/>
        <w:gridCol w:w="1002"/>
        <w:gridCol w:w="6954"/>
      </w:tblGrid>
      <w:tr w:rsidR="009E4A33" w:rsidRPr="009E4A33" w14:paraId="4C175820" w14:textId="77777777" w:rsidTr="007C61E9">
        <w:tc>
          <w:tcPr>
            <w:tcW w:w="1226"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lastRenderedPageBreak/>
              <w:t>Company</w:t>
            </w:r>
          </w:p>
        </w:tc>
        <w:tc>
          <w:tcPr>
            <w:tcW w:w="1463"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327"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7C61E9">
        <w:tc>
          <w:tcPr>
            <w:tcW w:w="1226"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327"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7C61E9">
        <w:tc>
          <w:tcPr>
            <w:tcW w:w="1226"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7C61E9">
        <w:tc>
          <w:tcPr>
            <w:tcW w:w="1226"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63"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327"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7C61E9">
        <w:tc>
          <w:tcPr>
            <w:tcW w:w="1226"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463"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327"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proofErr w:type="spellStart"/>
            <w:r>
              <w:rPr>
                <w:i/>
              </w:rPr>
              <w:t>numConsecutiveDTX</w:t>
            </w:r>
            <w:proofErr w:type="spellEnd"/>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7C61E9">
        <w:tc>
          <w:tcPr>
            <w:tcW w:w="1226"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63"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327"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7C61E9">
        <w:tc>
          <w:tcPr>
            <w:tcW w:w="1226"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63"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327"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7C61E9">
        <w:tc>
          <w:tcPr>
            <w:tcW w:w="1226" w:type="dxa"/>
          </w:tcPr>
          <w:p w14:paraId="3F70F0DA" w14:textId="62590F77" w:rsidR="00D71476" w:rsidRPr="00302AAA" w:rsidRDefault="00302AAA" w:rsidP="002033E3">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6AD4BA0D" w14:textId="0935E46F" w:rsidR="00D71476" w:rsidRPr="00302AAA" w:rsidRDefault="00302AAA" w:rsidP="002033E3">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327"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hint="eastAsia"/>
                <w:sz w:val="22"/>
                <w:lang w:eastAsia="zh-CN"/>
              </w:rPr>
            </w:pPr>
            <w:proofErr w:type="gramStart"/>
            <w:r>
              <w:rPr>
                <w:rFonts w:ascii="Calibri" w:eastAsia="宋体"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w:t>
            </w:r>
            <w:r w:rsidRPr="00302AAA">
              <w:rPr>
                <w:rFonts w:ascii="Calibri" w:hAnsi="Calibri" w:cs="Calibri"/>
                <w:color w:val="FF0000"/>
                <w:sz w:val="22"/>
              </w:rPr>
              <w:t>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proofErr w:type="spellStart"/>
            <w:r w:rsidRPr="004A46B5">
              <w:rPr>
                <w:rFonts w:ascii="Calibri" w:eastAsia="宋体" w:hAnsi="Calibri" w:cs="Calibri"/>
                <w:i/>
                <w:sz w:val="22"/>
                <w:lang w:eastAsia="zh-CN"/>
              </w:rPr>
              <w:t>MinTimeGapPSFCH</w:t>
            </w:r>
            <w:proofErr w:type="spellEnd"/>
            <w:r>
              <w:rPr>
                <w:rFonts w:ascii="Calibri" w:eastAsia="宋体" w:hAnsi="Calibri" w:cs="Calibri"/>
                <w:sz w:val="22"/>
                <w:lang w:eastAsia="zh-CN"/>
              </w:rPr>
              <w:t xml:space="preserve"> should also be </w:t>
            </w:r>
            <w:proofErr w:type="gramStart"/>
            <w:r>
              <w:rPr>
                <w:rFonts w:ascii="Calibri" w:eastAsia="宋体" w:hAnsi="Calibri" w:cs="Calibri"/>
                <w:sz w:val="22"/>
                <w:lang w:eastAsia="zh-CN"/>
              </w:rPr>
              <w:t>taken into account</w:t>
            </w:r>
            <w:proofErr w:type="gramEnd"/>
            <w:r>
              <w:rPr>
                <w:rFonts w:ascii="Calibri" w:eastAsia="宋体" w:hAnsi="Calibri" w:cs="Calibri"/>
                <w:sz w:val="22"/>
                <w:lang w:eastAsia="zh-CN"/>
              </w:rPr>
              <w: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宋体"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7C61E9">
        <w:tc>
          <w:tcPr>
            <w:tcW w:w="122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4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w:t>
            </w:r>
            <w:proofErr w:type="gramStart"/>
            <w:r>
              <w:rPr>
                <w:rFonts w:ascii="Calibri" w:eastAsia="宋体" w:hAnsi="Calibri" w:cs="Calibri"/>
                <w:sz w:val="22"/>
                <w:lang w:eastAsia="zh-CN"/>
              </w:rPr>
              <w:t>have to</w:t>
            </w:r>
            <w:proofErr w:type="gramEnd"/>
            <w:r>
              <w:rPr>
                <w:rFonts w:ascii="Calibri" w:eastAsia="宋体" w:hAnsi="Calibri" w:cs="Calibri"/>
                <w:sz w:val="22"/>
                <w:lang w:eastAsia="zh-CN"/>
              </w:rPr>
              <w:t xml:space="preserve">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xml:space="preserve">. For example, on some slots, there could only be transmissions with no associated </w:t>
            </w:r>
            <w:r w:rsidR="007540E7">
              <w:rPr>
                <w:rFonts w:ascii="Calibri" w:hAnsi="Calibri" w:cs="Calibri"/>
                <w:sz w:val="22"/>
              </w:rPr>
              <w:lastRenderedPageBreak/>
              <w:t>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宋体" w:hAnsi="Calibri" w:cs="Calibri"/>
                <w:sz w:val="22"/>
                <w:lang w:eastAsia="zh-CN"/>
              </w:rPr>
              <w:t>is</w:t>
            </w:r>
            <w:proofErr w:type="gramEnd"/>
            <w:r w:rsidR="00BE11EE">
              <w:rPr>
                <w:rFonts w:ascii="Calibri" w:eastAsia="宋体" w:hAnsi="Calibri" w:cs="Calibri"/>
                <w:sz w:val="22"/>
                <w:lang w:eastAsia="zh-CN"/>
              </w:rPr>
              <w:t xml:space="preserve"> repeated in the time domain. Once it is configured, the logical slots of the RP will repeat in time domain until it is re-configured. There is no obvious stating time and ending time of the RP. </w:t>
            </w:r>
            <w:bookmarkStart w:id="0" w:name="_GoBack"/>
            <w:bookmarkEnd w:id="0"/>
          </w:p>
          <w:p w14:paraId="7BA16D4B" w14:textId="68831EBC" w:rsidR="00BE11EE" w:rsidRPr="00FF0388" w:rsidRDefault="00BE11EE" w:rsidP="007C61E9">
            <w:pPr>
              <w:widowControl/>
              <w:rPr>
                <w:rFonts w:ascii="Calibri" w:eastAsia="宋体" w:hAnsi="Calibri" w:cs="Calibri" w:hint="eastAsia"/>
                <w:sz w:val="22"/>
                <w:lang w:eastAsia="zh-CN"/>
              </w:rPr>
            </w:pP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F3CC" w14:textId="77777777" w:rsidR="00D47FE2" w:rsidRDefault="00D47FE2" w:rsidP="00590E43">
      <w:r>
        <w:separator/>
      </w:r>
    </w:p>
  </w:endnote>
  <w:endnote w:type="continuationSeparator" w:id="0">
    <w:p w14:paraId="506E8478" w14:textId="77777777" w:rsidR="00D47FE2" w:rsidRDefault="00D47FE2"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AAE1" w14:textId="77777777" w:rsidR="00D47FE2" w:rsidRDefault="00D47FE2" w:rsidP="00590E43">
      <w:r>
        <w:separator/>
      </w:r>
    </w:p>
  </w:footnote>
  <w:footnote w:type="continuationSeparator" w:id="0">
    <w:p w14:paraId="5DC55836" w14:textId="77777777" w:rsidR="00D47FE2" w:rsidRDefault="00D47FE2"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13A33"/>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B5263"/>
    <w:rsid w:val="002E2C00"/>
    <w:rsid w:val="002F4791"/>
    <w:rsid w:val="00302AAA"/>
    <w:rsid w:val="00304E80"/>
    <w:rsid w:val="0032769A"/>
    <w:rsid w:val="00336B37"/>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70147B"/>
    <w:rsid w:val="0071055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A28AD"/>
    <w:rsid w:val="00AC407A"/>
    <w:rsid w:val="00AD735B"/>
    <w:rsid w:val="00AF6EBD"/>
    <w:rsid w:val="00B153E5"/>
    <w:rsid w:val="00B21DD8"/>
    <w:rsid w:val="00B47733"/>
    <w:rsid w:val="00B91757"/>
    <w:rsid w:val="00B93CB5"/>
    <w:rsid w:val="00BB394F"/>
    <w:rsid w:val="00BC16A3"/>
    <w:rsid w:val="00BC5859"/>
    <w:rsid w:val="00BE11EE"/>
    <w:rsid w:val="00C4484E"/>
    <w:rsid w:val="00C97638"/>
    <w:rsid w:val="00CB2710"/>
    <w:rsid w:val="00CD07A4"/>
    <w:rsid w:val="00CE6166"/>
    <w:rsid w:val="00D34E97"/>
    <w:rsid w:val="00D46CEB"/>
    <w:rsid w:val="00D47FE2"/>
    <w:rsid w:val="00D707A5"/>
    <w:rsid w:val="00D71476"/>
    <w:rsid w:val="00DE462A"/>
    <w:rsid w:val="00E140B5"/>
    <w:rsid w:val="00E23361"/>
    <w:rsid w:val="00E70FF4"/>
    <w:rsid w:val="00E82C42"/>
    <w:rsid w:val="00E854F9"/>
    <w:rsid w:val="00EB46DD"/>
    <w:rsid w:val="00ED36AA"/>
    <w:rsid w:val="00EE684D"/>
    <w:rsid w:val="00F6019E"/>
    <w:rsid w:val="00F80792"/>
    <w:rsid w:val="00F836E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1778</Words>
  <Characters>10140</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zhaozhenshan</cp:lastModifiedBy>
  <cp:revision>4</cp:revision>
  <dcterms:created xsi:type="dcterms:W3CDTF">2020-08-17T19:58:00Z</dcterms:created>
  <dcterms:modified xsi:type="dcterms:W3CDTF">2020-08-18T01:24:00Z</dcterms:modified>
</cp:coreProperties>
</file>