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DC351A">
      <w:pPr>
        <w:pStyle w:val="af7"/>
        <w:numPr>
          <w:ilvl w:val="0"/>
          <w:numId w:val="16"/>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DC351A">
      <w:pPr>
        <w:pStyle w:val="af7"/>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DC351A">
      <w:pPr>
        <w:pStyle w:val="af7"/>
        <w:numPr>
          <w:ilvl w:val="0"/>
          <w:numId w:val="15"/>
        </w:numPr>
        <w:rPr>
          <w:lang w:val="en-GB"/>
        </w:rPr>
      </w:pPr>
      <w:r w:rsidRPr="003530C3">
        <w:rPr>
          <w:lang w:val="en-GB"/>
        </w:rPr>
        <w:t>Cells on which the UE monitors DCI formats 3_0 and 3_1.</w:t>
      </w:r>
    </w:p>
    <w:p w14:paraId="0D5C8C3A" w14:textId="3DE11CA8" w:rsidR="00D37555" w:rsidRDefault="00D37555" w:rsidP="00D37555">
      <w:pPr>
        <w:pStyle w:val="21"/>
      </w:pPr>
      <w:r>
        <w:t>1.</w:t>
      </w:r>
      <w:r w:rsidR="00A9627F">
        <w:t>3</w:t>
      </w:r>
      <w:r>
        <w:tab/>
        <w:t>HARQ reporting to gNB</w:t>
      </w:r>
    </w:p>
    <w:p w14:paraId="3C0C4ECC" w14:textId="735B1F88" w:rsidR="00042F29" w:rsidRPr="003E3488" w:rsidRDefault="008D20BC" w:rsidP="00DC351A">
      <w:pPr>
        <w:pStyle w:val="af7"/>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DC351A">
      <w:pPr>
        <w:pStyle w:val="af7"/>
        <w:numPr>
          <w:ilvl w:val="0"/>
          <w:numId w:val="17"/>
        </w:numPr>
        <w:rPr>
          <w:lang w:val="en-GB"/>
        </w:rPr>
      </w:pPr>
      <w:r>
        <w:rPr>
          <w:lang w:val="en-GB"/>
        </w:rPr>
        <w:t>Other exceptional reports to the gNB (e.g., nothing to transmit for DG, etc.)</w:t>
      </w:r>
    </w:p>
    <w:p w14:paraId="07BADB9F" w14:textId="5B9428F6" w:rsidR="00B61A92" w:rsidRDefault="001938E8" w:rsidP="00DC351A">
      <w:pPr>
        <w:pStyle w:val="af7"/>
        <w:numPr>
          <w:ilvl w:val="0"/>
          <w:numId w:val="17"/>
        </w:numPr>
        <w:rPr>
          <w:lang w:val="en-GB"/>
        </w:rPr>
      </w:pPr>
      <w:r>
        <w:rPr>
          <w:lang w:val="en-GB"/>
        </w:rPr>
        <w:t>Corrections/clarifications for c</w:t>
      </w:r>
      <w:r w:rsidR="00B61A92">
        <w:rPr>
          <w:lang w:val="en-GB"/>
        </w:rPr>
        <w:t>odebook configuration</w:t>
      </w:r>
    </w:p>
    <w:p w14:paraId="4746A6F5" w14:textId="4A6B4AF2" w:rsidR="00B61A92" w:rsidRDefault="001938E8" w:rsidP="00DC351A">
      <w:pPr>
        <w:pStyle w:val="af7"/>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DC351A">
      <w:pPr>
        <w:pStyle w:val="af7"/>
        <w:numPr>
          <w:ilvl w:val="0"/>
          <w:numId w:val="17"/>
        </w:numPr>
        <w:rPr>
          <w:lang w:val="en-GB"/>
        </w:rPr>
      </w:pPr>
      <w:r>
        <w:rPr>
          <w:lang w:val="en-GB"/>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DC351A">
      <w:pPr>
        <w:pStyle w:val="af7"/>
        <w:numPr>
          <w:ilvl w:val="0"/>
          <w:numId w:val="18"/>
        </w:numPr>
        <w:rPr>
          <w:lang w:val="en-GB"/>
        </w:rPr>
      </w:pPr>
      <w:r>
        <w:rPr>
          <w:lang w:val="en-GB"/>
        </w:rPr>
        <w:t>Processing time for SL CG type-2</w:t>
      </w:r>
    </w:p>
    <w:p w14:paraId="63102195" w14:textId="24B99F35" w:rsidR="000653DC" w:rsidRDefault="00F61D63" w:rsidP="00DC351A">
      <w:pPr>
        <w:pStyle w:val="af7"/>
        <w:numPr>
          <w:ilvl w:val="0"/>
          <w:numId w:val="18"/>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DC351A">
      <w:pPr>
        <w:pStyle w:val="af7"/>
        <w:numPr>
          <w:ilvl w:val="0"/>
          <w:numId w:val="19"/>
        </w:numPr>
        <w:rPr>
          <w:lang w:val="en-GB"/>
        </w:rPr>
      </w:pPr>
      <w:r>
        <w:rPr>
          <w:lang w:val="en-GB"/>
        </w:rPr>
        <w:t xml:space="preserve">TS 38.213 </w:t>
      </w:r>
    </w:p>
    <w:p w14:paraId="6268D488" w14:textId="77777777" w:rsidR="00F61D63" w:rsidRDefault="00A4423B" w:rsidP="00DC351A">
      <w:pPr>
        <w:pStyle w:val="af7"/>
        <w:numPr>
          <w:ilvl w:val="1"/>
          <w:numId w:val="19"/>
        </w:numPr>
        <w:rPr>
          <w:lang w:val="en-GB"/>
        </w:rPr>
      </w:pPr>
      <w:r>
        <w:rPr>
          <w:lang w:val="en-GB"/>
        </w:rPr>
        <w:t>Clause 10.1</w:t>
      </w:r>
    </w:p>
    <w:p w14:paraId="68A6BEF0" w14:textId="4123038A" w:rsidR="00A4423B" w:rsidRDefault="00A4423B" w:rsidP="00DC351A">
      <w:pPr>
        <w:pStyle w:val="af7"/>
        <w:numPr>
          <w:ilvl w:val="2"/>
          <w:numId w:val="19"/>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DC351A">
      <w:pPr>
        <w:pStyle w:val="af7"/>
        <w:numPr>
          <w:ilvl w:val="1"/>
          <w:numId w:val="19"/>
        </w:numPr>
        <w:rPr>
          <w:lang w:val="en-GB"/>
        </w:rPr>
      </w:pPr>
      <w:r>
        <w:rPr>
          <w:lang w:val="en-GB"/>
        </w:rPr>
        <w:t>Clause 16.4</w:t>
      </w:r>
    </w:p>
    <w:p w14:paraId="571B1D8A" w14:textId="774B9B26" w:rsidR="00F61D63" w:rsidRDefault="00506A11" w:rsidP="00DC351A">
      <w:pPr>
        <w:pStyle w:val="af7"/>
        <w:numPr>
          <w:ilvl w:val="2"/>
          <w:numId w:val="19"/>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DC351A">
      <w:pPr>
        <w:pStyle w:val="af7"/>
        <w:numPr>
          <w:ilvl w:val="3"/>
          <w:numId w:val="19"/>
        </w:numPr>
        <w:rPr>
          <w:lang w:val="en-GB"/>
        </w:rPr>
      </w:pPr>
      <w:r>
        <w:rPr>
          <w:lang w:val="en-GB"/>
        </w:rPr>
        <w:t>Note: there is a similar proposal for modifying 38.214 for CGs</w:t>
      </w:r>
    </w:p>
    <w:p w14:paraId="0FC3B481" w14:textId="77777777" w:rsidR="002E54F3" w:rsidRDefault="006A3508" w:rsidP="00DC351A">
      <w:pPr>
        <w:pStyle w:val="af7"/>
        <w:numPr>
          <w:ilvl w:val="1"/>
          <w:numId w:val="19"/>
        </w:numPr>
        <w:rPr>
          <w:lang w:val="en-GB"/>
        </w:rPr>
      </w:pPr>
      <w:r>
        <w:rPr>
          <w:lang w:val="en-GB"/>
        </w:rPr>
        <w:t>Clause 16.5</w:t>
      </w:r>
    </w:p>
    <w:p w14:paraId="6BD942F4" w14:textId="5CE64F9E" w:rsidR="00F61D63" w:rsidRDefault="00F61D63" w:rsidP="00DC351A">
      <w:pPr>
        <w:pStyle w:val="af7"/>
        <w:numPr>
          <w:ilvl w:val="2"/>
          <w:numId w:val="19"/>
        </w:numPr>
        <w:rPr>
          <w:lang w:val="en-GB"/>
        </w:rPr>
      </w:pPr>
      <w:r>
        <w:rPr>
          <w:lang w:val="en-GB"/>
        </w:rPr>
        <w:t>Alignment of names of RRC parameters</w:t>
      </w:r>
    </w:p>
    <w:p w14:paraId="0FCC41D4" w14:textId="5F8350AE" w:rsidR="00F61D63" w:rsidRDefault="00F61D63" w:rsidP="00DC351A">
      <w:pPr>
        <w:pStyle w:val="af7"/>
        <w:numPr>
          <w:ilvl w:val="2"/>
          <w:numId w:val="19"/>
        </w:numPr>
        <w:rPr>
          <w:lang w:val="en-GB"/>
        </w:rPr>
      </w:pPr>
      <w:r>
        <w:rPr>
          <w:lang w:val="en-GB"/>
        </w:rPr>
        <w:t>Clarifications</w:t>
      </w:r>
    </w:p>
    <w:p w14:paraId="4B963B29" w14:textId="0C180032" w:rsidR="00F61D63" w:rsidRDefault="00F61D63" w:rsidP="00DC351A">
      <w:pPr>
        <w:pStyle w:val="af7"/>
        <w:numPr>
          <w:ilvl w:val="2"/>
          <w:numId w:val="19"/>
        </w:numPr>
        <w:rPr>
          <w:lang w:val="en-GB"/>
        </w:rPr>
      </w:pPr>
      <w:r>
        <w:rPr>
          <w:lang w:val="en-GB"/>
        </w:rPr>
        <w:t>Editorial</w:t>
      </w:r>
    </w:p>
    <w:p w14:paraId="2BC4352F" w14:textId="77777777" w:rsidR="00E703CE" w:rsidRDefault="00E703CE" w:rsidP="00DC351A">
      <w:pPr>
        <w:pStyle w:val="af7"/>
        <w:numPr>
          <w:ilvl w:val="0"/>
          <w:numId w:val="19"/>
        </w:numPr>
        <w:rPr>
          <w:lang w:val="en-GB"/>
        </w:rPr>
      </w:pPr>
      <w:r>
        <w:rPr>
          <w:lang w:val="en-GB"/>
        </w:rPr>
        <w:t xml:space="preserve">TS 38.214 </w:t>
      </w:r>
    </w:p>
    <w:p w14:paraId="139254C2" w14:textId="77777777" w:rsidR="00F61D63" w:rsidRDefault="00E703CE" w:rsidP="00DC351A">
      <w:pPr>
        <w:pStyle w:val="af7"/>
        <w:numPr>
          <w:ilvl w:val="1"/>
          <w:numId w:val="19"/>
        </w:numPr>
        <w:rPr>
          <w:lang w:val="en-GB"/>
        </w:rPr>
      </w:pPr>
      <w:r>
        <w:rPr>
          <w:lang w:val="en-GB"/>
        </w:rPr>
        <w:t>Clause 8.1.2.1</w:t>
      </w:r>
    </w:p>
    <w:p w14:paraId="2AB8F2ED" w14:textId="6FCA6380" w:rsidR="00B04326" w:rsidRDefault="00F61D63" w:rsidP="00DC351A">
      <w:pPr>
        <w:pStyle w:val="af7"/>
        <w:numPr>
          <w:ilvl w:val="2"/>
          <w:numId w:val="19"/>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DC351A">
      <w:pPr>
        <w:pStyle w:val="af7"/>
        <w:numPr>
          <w:ilvl w:val="2"/>
          <w:numId w:val="19"/>
        </w:numPr>
        <w:rPr>
          <w:lang w:val="en-GB"/>
        </w:rPr>
      </w:pPr>
      <w:r>
        <w:rPr>
          <w:lang w:val="en-GB"/>
        </w:rPr>
        <w:t>Editorial</w:t>
      </w:r>
    </w:p>
    <w:p w14:paraId="30B59CC5" w14:textId="6AB7BCCE" w:rsidR="00F877F1" w:rsidRDefault="00F61D63" w:rsidP="00DC351A">
      <w:pPr>
        <w:pStyle w:val="af7"/>
        <w:numPr>
          <w:ilvl w:val="0"/>
          <w:numId w:val="19"/>
        </w:numPr>
        <w:rPr>
          <w:lang w:val="en-GB"/>
        </w:rPr>
      </w:pPr>
      <w:r>
        <w:rPr>
          <w:lang w:val="en-GB"/>
        </w:rPr>
        <w:t>Use of reservations in Mode 1</w:t>
      </w:r>
    </w:p>
    <w:p w14:paraId="5D705A7E" w14:textId="60583BE7" w:rsidR="003530C3" w:rsidRDefault="003530C3" w:rsidP="003530C3">
      <w:pPr>
        <w:pStyle w:val="21"/>
      </w:pPr>
      <w:r w:rsidRPr="003530C3">
        <w:rPr>
          <w:highlight w:val="yellow"/>
        </w:rPr>
        <w:lastRenderedPageBreak/>
        <w:t>Initial proposal by the feature lead</w:t>
      </w:r>
    </w:p>
    <w:p w14:paraId="3FD22CA4" w14:textId="1F4AC028"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 w14:paraId="33FEEF60" w14:textId="1697277A" w:rsidR="003530C3" w:rsidRDefault="003530C3" w:rsidP="003530C3">
      <w:r>
        <w:t>Thread #1:</w:t>
      </w:r>
    </w:p>
    <w:p w14:paraId="15053034" w14:textId="77777777" w:rsidR="00C07989" w:rsidRPr="00C07989" w:rsidRDefault="00C07989" w:rsidP="00DC351A">
      <w:pPr>
        <w:pStyle w:val="af7"/>
        <w:numPr>
          <w:ilvl w:val="0"/>
          <w:numId w:val="20"/>
        </w:numPr>
        <w:rPr>
          <w:lang w:val="en-GB"/>
        </w:rPr>
      </w:pPr>
      <w:r w:rsidRPr="00C07989">
        <w:rPr>
          <w:lang w:val="en-GB"/>
        </w:rPr>
        <w:t>1.1</w:t>
      </w:r>
      <w:r w:rsidRPr="00C07989">
        <w:rPr>
          <w:lang w:val="en-GB"/>
        </w:rPr>
        <w:tab/>
        <w:t>Remaining issues for configured grant</w:t>
      </w:r>
    </w:p>
    <w:p w14:paraId="03170A05" w14:textId="5E6EE794" w:rsidR="00C07989" w:rsidRDefault="00C07989" w:rsidP="00DC351A">
      <w:pPr>
        <w:pStyle w:val="af7"/>
        <w:numPr>
          <w:ilvl w:val="1"/>
          <w:numId w:val="20"/>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DC351A">
      <w:pPr>
        <w:pStyle w:val="af7"/>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DC351A">
      <w:pPr>
        <w:pStyle w:val="af7"/>
        <w:numPr>
          <w:ilvl w:val="0"/>
          <w:numId w:val="20"/>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DC351A">
      <w:pPr>
        <w:pStyle w:val="af7"/>
        <w:numPr>
          <w:ilvl w:val="1"/>
          <w:numId w:val="20"/>
        </w:numPr>
        <w:rPr>
          <w:lang w:val="en-GB"/>
        </w:rPr>
      </w:pPr>
      <w:r w:rsidRPr="003530C3">
        <w:rPr>
          <w:lang w:val="en-GB"/>
        </w:rPr>
        <w:t>Alignment of DCI format 3_0 with other DCI formats</w:t>
      </w:r>
      <w:r w:rsidR="00C07989">
        <w:rPr>
          <w:lang w:val="en-GB"/>
        </w:rPr>
        <w:t>.</w:t>
      </w:r>
    </w:p>
    <w:p w14:paraId="0EACF04D" w14:textId="6B7D9086" w:rsidR="003530C3" w:rsidRDefault="003530C3" w:rsidP="00DC351A">
      <w:pPr>
        <w:pStyle w:val="af7"/>
        <w:numPr>
          <w:ilvl w:val="1"/>
          <w:numId w:val="20"/>
        </w:numPr>
        <w:rPr>
          <w:lang w:val="en-GB"/>
        </w:rPr>
      </w:pPr>
      <w:r w:rsidRPr="003530C3">
        <w:rPr>
          <w:lang w:val="en-GB"/>
        </w:rPr>
        <w:t>Cells on which the UE monitors DCI formats 3_0 and 3_1.</w:t>
      </w:r>
    </w:p>
    <w:p w14:paraId="2248E334" w14:textId="24079D99" w:rsidR="00C07989" w:rsidRPr="00C07989" w:rsidRDefault="00C07989" w:rsidP="00DC351A">
      <w:pPr>
        <w:pStyle w:val="af7"/>
        <w:numPr>
          <w:ilvl w:val="1"/>
          <w:numId w:val="20"/>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pPr>
      <w:r>
        <w:t>Thread #2:</w:t>
      </w:r>
    </w:p>
    <w:p w14:paraId="29E35065" w14:textId="4FD04E64" w:rsidR="00D54BA4" w:rsidRDefault="00D54BA4" w:rsidP="00DC351A">
      <w:pPr>
        <w:pStyle w:val="af7"/>
        <w:numPr>
          <w:ilvl w:val="0"/>
          <w:numId w:val="20"/>
        </w:numPr>
        <w:rPr>
          <w:lang w:val="en-GB"/>
        </w:rPr>
      </w:pPr>
      <w:r>
        <w:rPr>
          <w:lang w:val="en-GB"/>
        </w:rPr>
        <w:t>1.3</w:t>
      </w:r>
      <w:r>
        <w:rPr>
          <w:lang w:val="en-GB"/>
        </w:rPr>
        <w:tab/>
      </w:r>
      <w:r w:rsidRPr="00D54BA4">
        <w:rPr>
          <w:lang w:val="en-GB"/>
        </w:rPr>
        <w:t>HARQ reporting to gNB</w:t>
      </w:r>
    </w:p>
    <w:p w14:paraId="37D79A04" w14:textId="40E926DE" w:rsidR="003530C3" w:rsidRDefault="003530C3" w:rsidP="00DC351A">
      <w:pPr>
        <w:pStyle w:val="af7"/>
        <w:numPr>
          <w:ilvl w:val="1"/>
          <w:numId w:val="20"/>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DC351A">
      <w:pPr>
        <w:pStyle w:val="af7"/>
        <w:numPr>
          <w:ilvl w:val="1"/>
          <w:numId w:val="20"/>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DC351A">
      <w:pPr>
        <w:pStyle w:val="af7"/>
        <w:numPr>
          <w:ilvl w:val="1"/>
          <w:numId w:val="20"/>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C351A">
      <w:pPr>
        <w:pStyle w:val="af7"/>
        <w:numPr>
          <w:ilvl w:val="0"/>
          <w:numId w:val="20"/>
        </w:numPr>
        <w:rPr>
          <w:lang w:val="en-GB"/>
        </w:rPr>
      </w:pPr>
      <w:r w:rsidRPr="003530C3">
        <w:rPr>
          <w:lang w:val="en-GB"/>
        </w:rPr>
        <w:t>1.4</w:t>
      </w:r>
      <w:r w:rsidRPr="003530C3">
        <w:rPr>
          <w:lang w:val="en-GB"/>
        </w:rPr>
        <w:tab/>
        <w:t>Processing times</w:t>
      </w:r>
    </w:p>
    <w:p w14:paraId="6E7B7DA6" w14:textId="11BA948D" w:rsidR="00D54BA4" w:rsidRDefault="003530C3" w:rsidP="00DC351A">
      <w:pPr>
        <w:pStyle w:val="af7"/>
        <w:numPr>
          <w:ilvl w:val="1"/>
          <w:numId w:val="20"/>
        </w:numPr>
        <w:rPr>
          <w:lang w:val="en-GB"/>
        </w:rPr>
      </w:pPr>
      <w:r w:rsidRPr="00D54BA4">
        <w:rPr>
          <w:lang w:val="en-GB"/>
        </w:rPr>
        <w:t>Processing time for SL CG type-2</w:t>
      </w:r>
      <w:r w:rsidR="003313CB">
        <w:rPr>
          <w:lang w:val="en-GB"/>
        </w:rPr>
        <w:t>.</w:t>
      </w:r>
    </w:p>
    <w:p w14:paraId="4FF4B825" w14:textId="031218A0" w:rsidR="003530C3" w:rsidRDefault="003530C3" w:rsidP="00DC351A">
      <w:pPr>
        <w:pStyle w:val="af7"/>
        <w:numPr>
          <w:ilvl w:val="1"/>
          <w:numId w:val="20"/>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DC351A">
      <w:pPr>
        <w:pStyle w:val="af7"/>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DC351A">
            <w:pPr>
              <w:pStyle w:val="af7"/>
              <w:numPr>
                <w:ilvl w:val="0"/>
                <w:numId w:val="21"/>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3EA6FD9F"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w:t>
            </w:r>
            <w:r>
              <w:rPr>
                <w:rFonts w:eastAsiaTheme="minorEastAsia"/>
                <w:color w:val="00B050"/>
                <w:lang w:val="en-GB"/>
              </w:rPr>
              <w:lastRenderedPageBreak/>
              <w:t xml:space="preserve">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275C94F4" w14:textId="2650F9CA"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his is feasible case in our understanding. gNB does not know details of actual SL communication. (Note that even in Uu, we can see skipUplinkTxDynamic.)</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宋体"/>
                <w:lang w:val="en-GB"/>
              </w:rPr>
            </w:pPr>
            <w:r>
              <w:rPr>
                <w:rFonts w:eastAsia="宋体" w:hint="eastAsia"/>
                <w:lang w:val="en-GB"/>
              </w:rPr>
              <w:t>CATT</w:t>
            </w:r>
          </w:p>
        </w:tc>
        <w:tc>
          <w:tcPr>
            <w:tcW w:w="7933" w:type="dxa"/>
          </w:tcPr>
          <w:p w14:paraId="74BCF832" w14:textId="77777777" w:rsidR="00C25050" w:rsidRDefault="00C25050" w:rsidP="00394668">
            <w:pPr>
              <w:rPr>
                <w:rFonts w:eastAsia="宋体"/>
                <w:lang w:val="en-GB"/>
              </w:rPr>
            </w:pPr>
            <w:r>
              <w:rPr>
                <w:rFonts w:eastAsia="宋体"/>
                <w:lang w:val="en-GB"/>
              </w:rPr>
              <w:t>A</w:t>
            </w:r>
            <w:r>
              <w:rPr>
                <w:rFonts w:eastAsia="宋体" w:hint="eastAsia"/>
                <w:lang w:val="en-GB"/>
              </w:rPr>
              <w:t>gree with FL</w:t>
            </w:r>
            <w:r>
              <w:rPr>
                <w:rFonts w:eastAsia="宋体"/>
                <w:lang w:val="en-GB"/>
              </w:rPr>
              <w:t>’</w:t>
            </w:r>
            <w:r>
              <w:rPr>
                <w:rFonts w:eastAsia="宋体" w:hint="eastAsia"/>
                <w:lang w:val="en-GB"/>
              </w:rPr>
              <w:t>s proposal on the threads.</w:t>
            </w:r>
          </w:p>
          <w:p w14:paraId="108A83F0" w14:textId="77777777" w:rsidR="00C25050" w:rsidRDefault="00C25050" w:rsidP="00394668">
            <w:pPr>
              <w:rPr>
                <w:rFonts w:eastAsia="宋体"/>
                <w:lang w:val="en-GB"/>
              </w:rPr>
            </w:pPr>
            <w:r>
              <w:rPr>
                <w:rFonts w:eastAsia="宋体"/>
                <w:lang w:val="en-GB"/>
              </w:rPr>
              <w:t>F</w:t>
            </w:r>
            <w:r>
              <w:rPr>
                <w:rFonts w:eastAsia="宋体" w:hint="eastAsia"/>
                <w:lang w:val="en-GB"/>
              </w:rPr>
              <w:t>or Thread #1, in 1.1 issues for CG, some other issues need to be addressed for discussion and clarification:</w:t>
            </w:r>
          </w:p>
          <w:p w14:paraId="2CF445B6" w14:textId="48FBCE22" w:rsidR="00C25050" w:rsidRDefault="00C25050" w:rsidP="00DC351A">
            <w:pPr>
              <w:pStyle w:val="af7"/>
              <w:numPr>
                <w:ilvl w:val="0"/>
                <w:numId w:val="21"/>
              </w:numPr>
              <w:rPr>
                <w:rFonts w:eastAsia="宋体"/>
                <w:lang w:val="en-GB"/>
              </w:rPr>
            </w:pPr>
            <w:r>
              <w:rPr>
                <w:rFonts w:eastAsia="宋体" w:hint="eastAsia"/>
                <w:lang w:val="en-GB"/>
              </w:rPr>
              <w:t xml:space="preserve">For a TB in CG, multiple resources (e.g. 9 slots) can be configured in one CG period. CG Type-1 can only configured </w:t>
            </w:r>
            <w:r w:rsidR="00486587">
              <w:rPr>
                <w:rFonts w:eastAsia="宋体"/>
                <w:lang w:val="en-GB"/>
              </w:rPr>
              <w:t>‘</w:t>
            </w:r>
            <w:r>
              <w:rPr>
                <w:rFonts w:eastAsia="宋体" w:hint="eastAsia"/>
                <w:lang w:val="en-GB"/>
              </w:rPr>
              <w:t>N_max</w:t>
            </w:r>
            <w:r w:rsidR="00486587">
              <w:rPr>
                <w:rFonts w:eastAsia="宋体"/>
                <w:lang w:val="en-GB"/>
              </w:rPr>
              <w:t>’</w:t>
            </w:r>
            <w:r>
              <w:rPr>
                <w:rFonts w:eastAsia="宋体" w:hint="eastAsia"/>
                <w:lang w:val="en-GB"/>
              </w:rPr>
              <w:t>=</w:t>
            </w:r>
            <w:r w:rsidR="00486587">
              <w:rPr>
                <w:rFonts w:eastAsia="宋体" w:hint="eastAsia"/>
                <w:lang w:val="en-GB"/>
              </w:rPr>
              <w:t>1/2/</w:t>
            </w:r>
            <w:r>
              <w:rPr>
                <w:rFonts w:eastAsia="宋体" w:hint="eastAsia"/>
                <w:lang w:val="en-GB"/>
              </w:rPr>
              <w:t>3 transmissions for a TB, and how to indicate the rest resources in the period?</w:t>
            </w:r>
          </w:p>
          <w:p w14:paraId="32232172" w14:textId="672040B3" w:rsidR="00C25050" w:rsidRDefault="00C25050" w:rsidP="00DC351A">
            <w:pPr>
              <w:pStyle w:val="af7"/>
              <w:numPr>
                <w:ilvl w:val="0"/>
                <w:numId w:val="21"/>
              </w:numPr>
              <w:rPr>
                <w:rFonts w:eastAsia="宋体"/>
                <w:lang w:val="en-GB"/>
              </w:rPr>
            </w:pPr>
            <w:r>
              <w:rPr>
                <w:rFonts w:eastAsia="宋体"/>
                <w:lang w:val="en-GB"/>
              </w:rPr>
              <w:t>F</w:t>
            </w:r>
            <w:r>
              <w:rPr>
                <w:rFonts w:eastAsia="宋体" w:hint="eastAsia"/>
                <w:lang w:val="en-GB"/>
              </w:rPr>
              <w:t xml:space="preserve">or a TB in CG, the HARQ based re-transmission of this TB is scheduled by DG. </w:t>
            </w:r>
            <w:r>
              <w:rPr>
                <w:rFonts w:eastAsia="宋体"/>
                <w:lang w:val="en-GB"/>
              </w:rPr>
              <w:t>W</w:t>
            </w:r>
            <w:r>
              <w:rPr>
                <w:rFonts w:eastAsia="宋体" w:hint="eastAsia"/>
                <w:lang w:val="en-GB"/>
              </w:rPr>
              <w:t xml:space="preserve">hether the DG scheduled re-Tx resources can </w:t>
            </w:r>
            <w:r w:rsidR="00A11957">
              <w:rPr>
                <w:rFonts w:eastAsia="宋体" w:hint="eastAsia"/>
                <w:lang w:val="en-GB"/>
              </w:rPr>
              <w:t>use</w:t>
            </w:r>
            <w:r>
              <w:rPr>
                <w:rFonts w:eastAsia="宋体" w:hint="eastAsia"/>
                <w:lang w:val="en-GB"/>
              </w:rPr>
              <w:t xml:space="preserve"> the CG resources</w:t>
            </w:r>
            <w:r w:rsidR="00A11957">
              <w:rPr>
                <w:rFonts w:eastAsia="宋体" w:hint="eastAsia"/>
                <w:lang w:val="en-GB"/>
              </w:rPr>
              <w:t xml:space="preserve"> in other period</w:t>
            </w:r>
            <w:r w:rsidR="0020026B">
              <w:rPr>
                <w:rFonts w:eastAsia="宋体" w:hint="eastAsia"/>
                <w:lang w:val="en-GB"/>
              </w:rPr>
              <w:t>s</w:t>
            </w:r>
            <w:r>
              <w:rPr>
                <w:rFonts w:eastAsia="宋体" w:hint="eastAsia"/>
                <w:lang w:val="en-GB"/>
              </w:rPr>
              <w:t>?</w:t>
            </w:r>
            <w:r w:rsidR="00A11957">
              <w:rPr>
                <w:rFonts w:eastAsia="宋体" w:hint="eastAsia"/>
                <w:lang w:val="en-GB"/>
              </w:rPr>
              <w:t xml:space="preserve"> </w:t>
            </w:r>
            <w:r w:rsidR="00A11957">
              <w:rPr>
                <w:rFonts w:eastAsia="宋体"/>
                <w:lang w:val="en-GB"/>
              </w:rPr>
              <w:t>O</w:t>
            </w:r>
            <w:r w:rsidR="00A11957">
              <w:rPr>
                <w:rFonts w:eastAsia="宋体" w:hint="eastAsia"/>
                <w:lang w:val="en-GB"/>
              </w:rPr>
              <w:t>r DG can</w:t>
            </w:r>
            <w:r w:rsidR="00D52A17">
              <w:rPr>
                <w:rFonts w:eastAsia="宋体" w:hint="eastAsia"/>
                <w:lang w:val="en-GB"/>
              </w:rPr>
              <w:t xml:space="preserve"> only use DG-specific resources?</w:t>
            </w:r>
          </w:p>
          <w:p w14:paraId="5B5F0238" w14:textId="33C9D429" w:rsidR="00D52A17" w:rsidRDefault="00D52A17" w:rsidP="00DC351A">
            <w:pPr>
              <w:pStyle w:val="af7"/>
              <w:numPr>
                <w:ilvl w:val="0"/>
                <w:numId w:val="21"/>
              </w:numPr>
              <w:rPr>
                <w:rFonts w:eastAsia="宋体"/>
                <w:lang w:val="en-GB"/>
              </w:rPr>
            </w:pPr>
            <w:r>
              <w:rPr>
                <w:rFonts w:eastAsia="宋体" w:hint="eastAsia"/>
                <w:lang w:val="en-GB"/>
              </w:rPr>
              <w:t xml:space="preserve">How to avoid HPN collision? </w:t>
            </w:r>
            <w:r>
              <w:rPr>
                <w:rFonts w:eastAsia="宋体"/>
                <w:lang w:val="en-GB"/>
              </w:rPr>
              <w:t>W</w:t>
            </w:r>
            <w:r>
              <w:rPr>
                <w:rFonts w:eastAsia="宋体" w:hint="eastAsia"/>
                <w:lang w:val="en-GB"/>
              </w:rPr>
              <w:t xml:space="preserve">e had agreements that HPN collision issue can be handled in RAN2. </w:t>
            </w:r>
            <w:r>
              <w:rPr>
                <w:rFonts w:eastAsia="宋体"/>
                <w:lang w:val="en-GB"/>
              </w:rPr>
              <w:t>H</w:t>
            </w:r>
            <w:r>
              <w:rPr>
                <w:rFonts w:eastAsia="宋体" w:hint="eastAsia"/>
                <w:lang w:val="en-GB"/>
              </w:rPr>
              <w:t>owever, based on the current design in RAN2, this issue can still happen in some cases, e.g. in CG case, DG schedules re-tx for a TB (HPN#2) collides with initial Tx of another TB (HPN#2) in the following CG period.</w:t>
            </w:r>
          </w:p>
          <w:p w14:paraId="08C6F373" w14:textId="77777777" w:rsidR="00C25050" w:rsidRPr="00C66548" w:rsidRDefault="00C25050" w:rsidP="00394668">
            <w:pPr>
              <w:rPr>
                <w:rFonts w:eastAsia="宋体"/>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等线"/>
                <w:lang w:val="en-GB"/>
              </w:rPr>
            </w:pPr>
            <w:r>
              <w:rPr>
                <w:rFonts w:eastAsia="等线" w:hint="eastAsia"/>
                <w:lang w:val="en-GB"/>
              </w:rPr>
              <w:t>O</w:t>
            </w:r>
            <w:r>
              <w:rPr>
                <w:rFonts w:eastAsia="等线"/>
                <w:lang w:val="en-GB"/>
              </w:rPr>
              <w:t>PPO</w:t>
            </w:r>
          </w:p>
        </w:tc>
        <w:tc>
          <w:tcPr>
            <w:tcW w:w="7933" w:type="dxa"/>
          </w:tcPr>
          <w:p w14:paraId="4C411BEF" w14:textId="77777777" w:rsidR="00EA7484" w:rsidRDefault="00772FB2" w:rsidP="00EA7484">
            <w:pPr>
              <w:rPr>
                <w:rFonts w:eastAsia="等线"/>
                <w:lang w:val="en-GB"/>
              </w:rPr>
            </w:pPr>
            <w:r>
              <w:rPr>
                <w:rFonts w:eastAsia="等线" w:hint="eastAsia"/>
                <w:lang w:val="en-GB"/>
              </w:rPr>
              <w:t>A</w:t>
            </w:r>
            <w:r>
              <w:rPr>
                <w:rFonts w:eastAsia="等线"/>
                <w:lang w:val="en-GB"/>
              </w:rPr>
              <w:t>gree with FL’s proposal</w:t>
            </w:r>
          </w:p>
          <w:p w14:paraId="25828577" w14:textId="1B44F714" w:rsidR="00772FB2" w:rsidRDefault="00772FB2" w:rsidP="00EA7484">
            <w:pPr>
              <w:rPr>
                <w:rFonts w:eastAsia="等线"/>
                <w:lang w:val="en-GB"/>
              </w:rPr>
            </w:pPr>
            <w:r>
              <w:rPr>
                <w:rFonts w:eastAsia="等线" w:hint="eastAsia"/>
                <w:lang w:val="en-GB"/>
              </w:rPr>
              <w:t>R</w:t>
            </w:r>
            <w:r>
              <w:rPr>
                <w:rFonts w:eastAsia="等线"/>
                <w:lang w:val="en-GB"/>
              </w:rPr>
              <w:t>egarding issue# 1-3, we share similar view as CATT, some clarification for the number of re-tx using the resource of CG is needed.</w:t>
            </w:r>
          </w:p>
          <w:p w14:paraId="3FC7723D" w14:textId="77777777" w:rsidR="008C54CE" w:rsidRDefault="008C54CE" w:rsidP="00EA7484">
            <w:pPr>
              <w:rPr>
                <w:rFonts w:eastAsia="等线"/>
                <w:lang w:val="en-GB"/>
              </w:rPr>
            </w:pPr>
          </w:p>
          <w:p w14:paraId="3CE060B9" w14:textId="1D0B2118" w:rsidR="00772FB2" w:rsidRDefault="008C54CE" w:rsidP="00EA7484">
            <w:pPr>
              <w:rPr>
                <w:rFonts w:eastAsia="等线"/>
                <w:lang w:val="en-GB"/>
              </w:rPr>
            </w:pPr>
            <w:r>
              <w:rPr>
                <w:rFonts w:eastAsia="等线"/>
                <w:lang w:val="en-GB"/>
              </w:rPr>
              <w:t xml:space="preserve">1. </w:t>
            </w:r>
            <w:r w:rsidR="00772FB2">
              <w:rPr>
                <w:rFonts w:eastAsia="等线"/>
                <w:lang w:val="en-GB"/>
              </w:rPr>
              <w:t>We have the following agreement. For CG, whether the configured number of transmissions of a TB using the resource of CG can across CG period? If yes, that will impact the determination of HPN of TB</w:t>
            </w:r>
            <w:r>
              <w:rPr>
                <w:rFonts w:eastAsia="等线"/>
                <w:lang w:val="en-GB"/>
              </w:rPr>
              <w:t>, which may have RAN2 impact.</w:t>
            </w:r>
          </w:p>
          <w:p w14:paraId="0FC95AA2" w14:textId="77777777" w:rsidR="00772FB2" w:rsidRDefault="00772FB2" w:rsidP="00EA7484">
            <w:pPr>
              <w:rPr>
                <w:rFonts w:eastAsia="等线"/>
                <w:lang w:val="en-GB"/>
              </w:rPr>
            </w:pPr>
          </w:p>
          <w:p w14:paraId="0E87833C" w14:textId="77777777" w:rsidR="00772FB2" w:rsidRDefault="00772FB2" w:rsidP="00772FB2">
            <w:pPr>
              <w:rPr>
                <w:rFonts w:ascii="Times" w:hAnsi="Times"/>
                <w:szCs w:val="20"/>
              </w:rPr>
            </w:pPr>
            <w:r>
              <w:rPr>
                <w:szCs w:val="20"/>
                <w:highlight w:val="green"/>
              </w:rPr>
              <w:t>Agreements</w:t>
            </w:r>
            <w:r>
              <w:rPr>
                <w:szCs w:val="20"/>
              </w:rPr>
              <w:t>:</w:t>
            </w:r>
          </w:p>
          <w:p w14:paraId="7FC256BB" w14:textId="77777777" w:rsidR="00772FB2" w:rsidRDefault="00772FB2" w:rsidP="00DC351A">
            <w:pPr>
              <w:pStyle w:val="af7"/>
              <w:numPr>
                <w:ilvl w:val="0"/>
                <w:numId w:val="22"/>
              </w:numPr>
              <w:spacing w:line="256" w:lineRule="auto"/>
              <w:rPr>
                <w:rFonts w:ascii="Arial" w:hAnsi="Arial" w:cs="Arial"/>
                <w:szCs w:val="20"/>
              </w:rPr>
            </w:pPr>
            <w:r>
              <w:rPr>
                <w:rFonts w:ascii="Arial" w:hAnsi="Arial" w:cs="Arial"/>
                <w:szCs w:val="20"/>
              </w:rPr>
              <w:t>For dynamic grant, the number of retransmissions of a TB is up to the gNB.</w:t>
            </w:r>
          </w:p>
          <w:p w14:paraId="5D863E24" w14:textId="77777777" w:rsidR="00772FB2" w:rsidRPr="00295CBF" w:rsidRDefault="00772FB2" w:rsidP="00DC351A">
            <w:pPr>
              <w:pStyle w:val="af7"/>
              <w:numPr>
                <w:ilvl w:val="0"/>
                <w:numId w:val="22"/>
              </w:numPr>
              <w:spacing w:line="256" w:lineRule="auto"/>
              <w:rPr>
                <w:rFonts w:ascii="Arial" w:hAnsi="Arial" w:cs="Arial"/>
                <w:szCs w:val="20"/>
                <w:highlight w:val="yellow"/>
              </w:rPr>
            </w:pPr>
            <w:bookmarkStart w:id="1"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
            <w:r w:rsidRPr="00E8282D">
              <w:rPr>
                <w:rFonts w:ascii="Arial" w:hAnsi="Arial" w:cs="Arial"/>
                <w:szCs w:val="20"/>
                <w:highlight w:val="yellow"/>
              </w:rPr>
              <w:t>.</w:t>
            </w:r>
          </w:p>
          <w:p w14:paraId="26C388F9" w14:textId="77777777" w:rsidR="00772FB2" w:rsidRPr="00772FB2" w:rsidRDefault="00772FB2" w:rsidP="00EA7484">
            <w:pPr>
              <w:rPr>
                <w:rFonts w:eastAsia="等线"/>
                <w:lang w:val="x-none"/>
              </w:rPr>
            </w:pPr>
          </w:p>
          <w:p w14:paraId="3144A1BD" w14:textId="340A2912" w:rsidR="00772FB2" w:rsidRDefault="008C54CE" w:rsidP="00EA7484">
            <w:pPr>
              <w:rPr>
                <w:rFonts w:eastAsia="等线"/>
                <w:lang w:val="en-GB"/>
              </w:rPr>
            </w:pPr>
            <w:r>
              <w:rPr>
                <w:rFonts w:eastAsia="等线"/>
                <w:lang w:val="en-GB"/>
              </w:rPr>
              <w:t xml:space="preserve">2. </w:t>
            </w:r>
            <w:r w:rsidR="00772FB2">
              <w:rPr>
                <w:rFonts w:eastAsia="等线"/>
                <w:lang w:val="en-GB"/>
              </w:rPr>
              <w:t xml:space="preserve">We also have the following agreement. If re-tx </w:t>
            </w:r>
            <w:r>
              <w:rPr>
                <w:rFonts w:eastAsia="等线"/>
                <w:lang w:val="en-GB"/>
              </w:rPr>
              <w:t xml:space="preserve">resource </w:t>
            </w:r>
            <w:r w:rsidR="00772FB2">
              <w:rPr>
                <w:rFonts w:eastAsia="等线"/>
                <w:lang w:val="en-GB"/>
              </w:rPr>
              <w:t>of a TB whose initial transmission is scheduled by C</w:t>
            </w:r>
            <w:r>
              <w:rPr>
                <w:rFonts w:eastAsia="等线"/>
                <w:lang w:val="en-GB"/>
              </w:rPr>
              <w:t>G can be provided by DG, then the total number of re-tx of the TB is determined by the DG, i.e., up to gNB?</w:t>
            </w:r>
          </w:p>
          <w:p w14:paraId="0E76FF5E" w14:textId="062F6CC7" w:rsidR="00772FB2" w:rsidRDefault="00772FB2" w:rsidP="00EA7484">
            <w:pPr>
              <w:rPr>
                <w:rFonts w:eastAsia="等线"/>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DC351A">
            <w:pPr>
              <w:pStyle w:val="af7"/>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DC351A">
            <w:pPr>
              <w:pStyle w:val="af7"/>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14:paraId="3400242E" w14:textId="77777777" w:rsidR="00772FB2" w:rsidRDefault="00772FB2" w:rsidP="00DC351A">
            <w:pPr>
              <w:pStyle w:val="af7"/>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For interpretation of NDI, the Uu behavior for retransmission scheduled by DCI with CRC scrambled by CS-RNTI is reused.</w:t>
            </w:r>
          </w:p>
          <w:p w14:paraId="29E1C084" w14:textId="77777777" w:rsidR="00772FB2" w:rsidRDefault="00772FB2" w:rsidP="00DC351A">
            <w:pPr>
              <w:pStyle w:val="af7"/>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等线"/>
                <w:lang w:val="en-GB"/>
              </w:rPr>
            </w:pPr>
          </w:p>
          <w:p w14:paraId="4858E627" w14:textId="366A90E0" w:rsidR="00772FB2" w:rsidRPr="00772FB2" w:rsidRDefault="00772FB2" w:rsidP="00EA7484">
            <w:pPr>
              <w:rPr>
                <w:rFonts w:eastAsia="等线"/>
                <w:lang w:val="en-GB"/>
              </w:rPr>
            </w:pPr>
          </w:p>
        </w:tc>
      </w:tr>
      <w:tr w:rsidR="00EA7484" w14:paraId="3F1101E8" w14:textId="77777777" w:rsidTr="00FA1E90">
        <w:tc>
          <w:tcPr>
            <w:tcW w:w="1696" w:type="dxa"/>
          </w:tcPr>
          <w:p w14:paraId="4054649B" w14:textId="2431F059" w:rsidR="00EA7484" w:rsidRDefault="00E63E49" w:rsidP="00EA7484">
            <w:pPr>
              <w:rPr>
                <w:lang w:val="en-GB"/>
              </w:rPr>
            </w:pPr>
            <w:r>
              <w:rPr>
                <w:lang w:val="en-GB"/>
              </w:rPr>
              <w:lastRenderedPageBreak/>
              <w:t>Nokia, NSB</w:t>
            </w:r>
          </w:p>
        </w:tc>
        <w:tc>
          <w:tcPr>
            <w:tcW w:w="7933" w:type="dxa"/>
          </w:tcPr>
          <w:p w14:paraId="00A46DB2" w14:textId="7BA40A8A" w:rsidR="00EA7484" w:rsidRDefault="00E63E49" w:rsidP="00EA7484">
            <w:pPr>
              <w:rPr>
                <w:lang w:val="en-GB"/>
              </w:rPr>
            </w:pPr>
            <w:r>
              <w:rPr>
                <w:lang w:val="en-GB"/>
              </w:rPr>
              <w:t>Agree with FL’s proposal</w:t>
            </w:r>
          </w:p>
        </w:tc>
      </w:tr>
      <w:tr w:rsidR="00EA7484" w14:paraId="606AAD3D" w14:textId="77777777" w:rsidTr="00FA1E90">
        <w:tc>
          <w:tcPr>
            <w:tcW w:w="1696" w:type="dxa"/>
          </w:tcPr>
          <w:p w14:paraId="0A82FCA0" w14:textId="7CE57306" w:rsidR="00EA7484" w:rsidRDefault="00E705CF" w:rsidP="00EA7484">
            <w:pPr>
              <w:rPr>
                <w:lang w:val="en-GB"/>
              </w:rPr>
            </w:pPr>
            <w:r>
              <w:rPr>
                <w:lang w:val="en-GB"/>
              </w:rPr>
              <w:t>Apple</w:t>
            </w:r>
          </w:p>
        </w:tc>
        <w:tc>
          <w:tcPr>
            <w:tcW w:w="7933" w:type="dxa"/>
          </w:tcPr>
          <w:p w14:paraId="5E222ECF" w14:textId="4264F2D1" w:rsidR="00EA7484" w:rsidRDefault="00E705CF" w:rsidP="00EA7484">
            <w:pPr>
              <w:rPr>
                <w:lang w:val="en-GB"/>
              </w:rPr>
            </w:pPr>
            <w:r>
              <w:rPr>
                <w:lang w:val="en-GB"/>
              </w:rPr>
              <w:t xml:space="preserve">Agree with FL’s proposal. </w:t>
            </w:r>
          </w:p>
        </w:tc>
      </w:tr>
      <w:tr w:rsidR="00EA7484" w14:paraId="75392649" w14:textId="77777777" w:rsidTr="00FA1E90">
        <w:tc>
          <w:tcPr>
            <w:tcW w:w="1696" w:type="dxa"/>
          </w:tcPr>
          <w:p w14:paraId="7784E888" w14:textId="35C5890C" w:rsidR="00EA7484" w:rsidRDefault="00A57ACD" w:rsidP="00EA7484">
            <w:pPr>
              <w:rPr>
                <w:lang w:val="en-GB"/>
              </w:rPr>
            </w:pPr>
            <w:r>
              <w:rPr>
                <w:lang w:val="en-GB"/>
              </w:rPr>
              <w:t>Huawei, HiSilicon</w:t>
            </w:r>
          </w:p>
        </w:tc>
        <w:tc>
          <w:tcPr>
            <w:tcW w:w="7933" w:type="dxa"/>
          </w:tcPr>
          <w:p w14:paraId="64821628" w14:textId="77777777" w:rsidR="00A57ACD" w:rsidRDefault="00A57ACD" w:rsidP="00A57ACD">
            <w:pPr>
              <w:rPr>
                <w:rFonts w:ascii="Calibri" w:hAnsi="Calibri" w:cs="Calibri"/>
                <w:kern w:val="0"/>
                <w:sz w:val="22"/>
              </w:rPr>
            </w:pPr>
            <w:r>
              <w:t>We are generally fine with FL’ proposal, however, two additional issues should be also discussed in 1.1 of Thread #1 and 1.3 of Thread #2.</w:t>
            </w:r>
          </w:p>
          <w:p w14:paraId="6D98E02F" w14:textId="77777777" w:rsidR="00A57ACD" w:rsidRDefault="00A57ACD" w:rsidP="00A57ACD"/>
          <w:p w14:paraId="1CDD5B3F" w14:textId="77777777" w:rsidR="00A57ACD" w:rsidRDefault="00A57ACD" w:rsidP="00DC351A">
            <w:pPr>
              <w:pStyle w:val="af7"/>
              <w:widowControl/>
              <w:numPr>
                <w:ilvl w:val="0"/>
                <w:numId w:val="24"/>
              </w:numPr>
              <w:jc w:val="left"/>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14:paraId="73023036" w14:textId="77777777" w:rsidR="00A57ACD" w:rsidRDefault="00A57ACD" w:rsidP="00DC351A">
            <w:pPr>
              <w:pStyle w:val="af7"/>
              <w:widowControl/>
              <w:numPr>
                <w:ilvl w:val="0"/>
                <w:numId w:val="24"/>
              </w:numPr>
              <w:jc w:val="left"/>
            </w:pPr>
            <w:r>
              <w:t>A remaining WA from last meeting for PUCCH resource allocation for dynamic grant reporting SL HARQ to gNB should be further discussed as well. The sparse PUCCH resources allocation, i.e., after the each last resource in the set of resources provided by a dynamic grant, the ACK information for an early transmission cannot be reported to the gNB instantly.</w:t>
            </w:r>
          </w:p>
          <w:p w14:paraId="36008DE4" w14:textId="77777777" w:rsidR="00A57ACD" w:rsidRDefault="00A57ACD" w:rsidP="00A57ACD">
            <w:r>
              <w:t>Therefore, we think the two threads can be updated as following:</w:t>
            </w:r>
          </w:p>
          <w:p w14:paraId="4E502A7C" w14:textId="77777777" w:rsidR="00A57ACD" w:rsidRPr="00E312B7" w:rsidRDefault="00A57ACD" w:rsidP="00A57ACD">
            <w:pPr>
              <w:rPr>
                <w:lang w:eastAsia="ja-JP"/>
              </w:rPr>
            </w:pPr>
            <w:r w:rsidRPr="00E312B7">
              <w:rPr>
                <w:lang w:eastAsia="ja-JP"/>
              </w:rPr>
              <w:t>Thread #1:</w:t>
            </w:r>
          </w:p>
          <w:p w14:paraId="747ABBE6" w14:textId="77777777" w:rsidR="00A57ACD" w:rsidRPr="00E312B7" w:rsidRDefault="00A57ACD" w:rsidP="00DC351A">
            <w:pPr>
              <w:pStyle w:val="af7"/>
              <w:widowControl/>
              <w:numPr>
                <w:ilvl w:val="0"/>
                <w:numId w:val="25"/>
              </w:numPr>
              <w:rPr>
                <w:lang w:eastAsia="ja-JP"/>
              </w:rPr>
            </w:pPr>
            <w:r w:rsidRPr="00E312B7">
              <w:rPr>
                <w:lang w:eastAsia="ja-JP"/>
              </w:rPr>
              <w:t>1.1          Remaining issues for configured grant</w:t>
            </w:r>
          </w:p>
          <w:p w14:paraId="23875321" w14:textId="77777777" w:rsidR="00A57ACD" w:rsidRPr="00E312B7" w:rsidRDefault="00A57ACD" w:rsidP="00DC351A">
            <w:pPr>
              <w:pStyle w:val="af7"/>
              <w:widowControl/>
              <w:numPr>
                <w:ilvl w:val="1"/>
                <w:numId w:val="25"/>
              </w:numPr>
              <w:rPr>
                <w:lang w:eastAsia="ja-JP"/>
              </w:rPr>
            </w:pPr>
            <w:r w:rsidRPr="00E312B7">
              <w:rPr>
                <w:lang w:eastAsia="ja-JP"/>
              </w:rPr>
              <w:t>Whether clarifications for the formula determining the granted slots are necessary and whether the issue should be left to RAN2.</w:t>
            </w:r>
          </w:p>
          <w:p w14:paraId="198CD41C" w14:textId="77777777" w:rsidR="00A57ACD" w:rsidRPr="00E312B7" w:rsidRDefault="00A57ACD" w:rsidP="00DC351A">
            <w:pPr>
              <w:pStyle w:val="af7"/>
              <w:widowControl/>
              <w:numPr>
                <w:ilvl w:val="1"/>
                <w:numId w:val="25"/>
              </w:numPr>
              <w:rPr>
                <w:color w:val="00B050"/>
                <w:lang w:eastAsia="ja-JP"/>
              </w:rPr>
            </w:pPr>
            <w:r w:rsidRPr="00E312B7">
              <w:rPr>
                <w:color w:val="00B050"/>
                <w:lang w:eastAsia="ja-JP"/>
              </w:rPr>
              <w:t>How to support retransmission of configured grant within a period.</w:t>
            </w:r>
          </w:p>
          <w:p w14:paraId="4AB1F5B6" w14:textId="77777777" w:rsidR="00A57ACD" w:rsidRPr="00E312B7" w:rsidRDefault="00A57ACD" w:rsidP="00DC351A">
            <w:pPr>
              <w:pStyle w:val="af7"/>
              <w:widowControl/>
              <w:numPr>
                <w:ilvl w:val="1"/>
                <w:numId w:val="25"/>
              </w:numPr>
              <w:rPr>
                <w:lang w:eastAsia="ja-JP"/>
              </w:rPr>
            </w:pPr>
            <w:r w:rsidRPr="00E312B7">
              <w:rPr>
                <w:lang w:eastAsia="ja-JP"/>
              </w:rPr>
              <w:t>Editorial corrections and clarifications for configured grant (if any).</w:t>
            </w:r>
          </w:p>
          <w:p w14:paraId="282C2228" w14:textId="77777777" w:rsidR="00A57ACD" w:rsidRPr="00E312B7" w:rsidRDefault="00A57ACD" w:rsidP="00A57ACD">
            <w:pPr>
              <w:ind w:left="1080"/>
              <w:rPr>
                <w:lang w:eastAsia="ja-JP"/>
              </w:rPr>
            </w:pPr>
            <w:r w:rsidRPr="00E312B7">
              <w:rPr>
                <w:lang w:eastAsia="ja-JP"/>
              </w:rPr>
              <w:t>…</w:t>
            </w:r>
          </w:p>
          <w:p w14:paraId="4027269B" w14:textId="77777777" w:rsidR="00A57ACD" w:rsidRPr="00E312B7" w:rsidRDefault="00A57ACD" w:rsidP="00A57ACD">
            <w:pPr>
              <w:spacing w:before="240"/>
              <w:rPr>
                <w:lang w:eastAsia="ja-JP"/>
              </w:rPr>
            </w:pPr>
            <w:r w:rsidRPr="00E312B7">
              <w:rPr>
                <w:lang w:eastAsia="ja-JP"/>
              </w:rPr>
              <w:t>Thread #2:</w:t>
            </w:r>
          </w:p>
          <w:p w14:paraId="3900EC7D" w14:textId="77777777" w:rsidR="00A57ACD" w:rsidRPr="00E312B7" w:rsidRDefault="00A57ACD" w:rsidP="00DC351A">
            <w:pPr>
              <w:pStyle w:val="af7"/>
              <w:widowControl/>
              <w:numPr>
                <w:ilvl w:val="0"/>
                <w:numId w:val="25"/>
              </w:numPr>
              <w:rPr>
                <w:lang w:eastAsia="ja-JP"/>
              </w:rPr>
            </w:pPr>
            <w:r w:rsidRPr="00E312B7">
              <w:rPr>
                <w:lang w:eastAsia="ja-JP"/>
              </w:rPr>
              <w:t>1.3          HARQ reporting to gNB</w:t>
            </w:r>
          </w:p>
          <w:p w14:paraId="737D4BA0" w14:textId="77777777" w:rsidR="00A57ACD" w:rsidRPr="00E312B7" w:rsidRDefault="00A57ACD" w:rsidP="00DC351A">
            <w:pPr>
              <w:pStyle w:val="af7"/>
              <w:widowControl/>
              <w:numPr>
                <w:ilvl w:val="1"/>
                <w:numId w:val="25"/>
              </w:numPr>
              <w:rPr>
                <w:lang w:eastAsia="ja-JP"/>
              </w:rPr>
            </w:pPr>
            <w:r w:rsidRPr="00E312B7">
              <w:rPr>
                <w:lang w:eastAsia="ja-JP"/>
              </w:rPr>
              <w:t>Details in the WA from RAN#100-e for the case of reaching the maximum number of HARQ re-transmissions for a TB.</w:t>
            </w:r>
          </w:p>
          <w:p w14:paraId="28CB3F9F" w14:textId="77777777" w:rsidR="00A57ACD" w:rsidRPr="00E312B7" w:rsidRDefault="00A57ACD" w:rsidP="00DC351A">
            <w:pPr>
              <w:pStyle w:val="af7"/>
              <w:widowControl/>
              <w:numPr>
                <w:ilvl w:val="1"/>
                <w:numId w:val="25"/>
              </w:numPr>
              <w:rPr>
                <w:lang w:eastAsia="ja-JP"/>
              </w:rPr>
            </w:pPr>
            <w:r w:rsidRPr="00E312B7">
              <w:rPr>
                <w:lang w:eastAsia="ja-JP"/>
              </w:rPr>
              <w:t>Whether there are other exceptional reports to the gNB (e.g., nothing to transmit for DG, etc.) and, if so, how to address them.</w:t>
            </w:r>
          </w:p>
          <w:p w14:paraId="47C889E5" w14:textId="77777777" w:rsidR="00E312B7" w:rsidRPr="00E312B7" w:rsidRDefault="00A57ACD" w:rsidP="00A57ACD">
            <w:pPr>
              <w:pStyle w:val="af7"/>
              <w:widowControl/>
              <w:numPr>
                <w:ilvl w:val="1"/>
                <w:numId w:val="25"/>
              </w:numPr>
              <w:rPr>
                <w:color w:val="00B050"/>
                <w:lang w:eastAsia="ja-JP"/>
              </w:rPr>
            </w:pPr>
            <w:r w:rsidRPr="00E312B7">
              <w:rPr>
                <w:color w:val="00B050"/>
                <w:lang w:eastAsia="ja-JP"/>
              </w:rPr>
              <w:t>Whether to confirm the WA of PUCCH resource allocation for dynamic grant to report SL HARQ to gNB.</w:t>
            </w:r>
          </w:p>
          <w:p w14:paraId="40D98E69" w14:textId="113FBCB2" w:rsidR="00E312B7" w:rsidRPr="00E312B7" w:rsidRDefault="00A57ACD" w:rsidP="00E312B7">
            <w:pPr>
              <w:pStyle w:val="af7"/>
              <w:widowControl/>
              <w:numPr>
                <w:ilvl w:val="1"/>
                <w:numId w:val="25"/>
              </w:numPr>
              <w:rPr>
                <w:color w:val="FF0000"/>
                <w:lang w:eastAsia="ja-JP"/>
              </w:rPr>
            </w:pPr>
            <w:r w:rsidRPr="00E312B7">
              <w:rPr>
                <w:lang w:eastAsia="ja-JP"/>
              </w:rPr>
              <w:t>Editorial corrections and clarifications for HARQ reporting to gNB (if any).</w:t>
            </w:r>
          </w:p>
        </w:tc>
      </w:tr>
      <w:tr w:rsidR="00EA7484" w14:paraId="60B9E7DA" w14:textId="77777777" w:rsidTr="00FA1E90">
        <w:tc>
          <w:tcPr>
            <w:tcW w:w="1696" w:type="dxa"/>
          </w:tcPr>
          <w:p w14:paraId="2C7EBE0D" w14:textId="7575544A" w:rsidR="00EA7484" w:rsidRPr="00FD5F40" w:rsidRDefault="00FD5F40" w:rsidP="00EA7484">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154DB232" w14:textId="5305DC93" w:rsidR="00EA7484" w:rsidRPr="00FD5F40" w:rsidRDefault="00FD5F40" w:rsidP="00FD5F40">
            <w:pPr>
              <w:rPr>
                <w:rFonts w:eastAsia="等线"/>
                <w:lang w:val="en-GB"/>
              </w:rPr>
            </w:pPr>
            <w:r>
              <w:rPr>
                <w:rFonts w:eastAsia="等线" w:hint="eastAsia"/>
                <w:lang w:val="en-GB"/>
              </w:rPr>
              <w:t>A</w:t>
            </w:r>
            <w:r>
              <w:rPr>
                <w:rFonts w:eastAsia="等线"/>
                <w:lang w:val="en-GB"/>
              </w:rPr>
              <w:t>gree with FL’s proposal. In addition, regarding the number of retx for DG and CG, we have similar view with CATT and OPPO that some clarification is needed.</w:t>
            </w:r>
          </w:p>
        </w:tc>
      </w:tr>
      <w:tr w:rsidR="000F7F03" w14:paraId="3F29B6DB" w14:textId="77777777" w:rsidTr="00FA1E90">
        <w:tc>
          <w:tcPr>
            <w:tcW w:w="1696" w:type="dxa"/>
          </w:tcPr>
          <w:p w14:paraId="57007F2B" w14:textId="61C5ADF4" w:rsidR="000F7F03" w:rsidRDefault="000F7F03" w:rsidP="000F7F03">
            <w:pPr>
              <w:rPr>
                <w:lang w:val="en-GB"/>
              </w:rPr>
            </w:pPr>
            <w:r>
              <w:rPr>
                <w:lang w:val="en-GB"/>
              </w:rPr>
              <w:t>vivo</w:t>
            </w:r>
          </w:p>
        </w:tc>
        <w:tc>
          <w:tcPr>
            <w:tcW w:w="7933" w:type="dxa"/>
          </w:tcPr>
          <w:p w14:paraId="77AF6259" w14:textId="77777777" w:rsidR="000F7F03" w:rsidRDefault="000F7F03" w:rsidP="000F7F03">
            <w:pPr>
              <w:rPr>
                <w:lang w:val="en-GB"/>
              </w:rPr>
            </w:pPr>
            <w:r>
              <w:rPr>
                <w:lang w:val="en-GB"/>
              </w:rPr>
              <w:t xml:space="preserve">We are in general fine with FL’s proposal, just have one clarification point for issue #1.3-3: </w:t>
            </w:r>
          </w:p>
          <w:p w14:paraId="1E5CE213" w14:textId="77777777" w:rsidR="000F7F03" w:rsidRDefault="000F7F03" w:rsidP="000F7F03">
            <w:pPr>
              <w:rPr>
                <w:lang w:val="en-GB"/>
              </w:rPr>
            </w:pPr>
            <w:r>
              <w:rPr>
                <w:lang w:val="en-GB"/>
              </w:rPr>
              <w:t>“</w:t>
            </w:r>
            <w:r w:rsidRPr="002A7712">
              <w:rPr>
                <w:lang w:val="en-GB"/>
              </w:rPr>
              <w:t>Editorial corrections and clarifications for HARQ reporting to gNB (if any)</w:t>
            </w:r>
            <w:r>
              <w:rPr>
                <w:lang w:val="en-GB"/>
              </w:rPr>
              <w:t>”.</w:t>
            </w:r>
          </w:p>
          <w:p w14:paraId="6C59C28C" w14:textId="77777777" w:rsidR="000F7F03" w:rsidRDefault="000F7F03" w:rsidP="000F7F03">
            <w:pPr>
              <w:rPr>
                <w:lang w:val="en-GB"/>
              </w:rPr>
            </w:pPr>
          </w:p>
          <w:p w14:paraId="4A897849" w14:textId="77777777" w:rsidR="000F7F03" w:rsidRDefault="000F7F03" w:rsidP="000F7F03">
            <w:pPr>
              <w:rPr>
                <w:lang w:val="en-GB"/>
              </w:rPr>
            </w:pPr>
            <w:r>
              <w:rPr>
                <w:lang w:val="en-GB"/>
              </w:rPr>
              <w:t>Our understanding is that it intends to cover the following highlighted issues, would you please confirm?</w:t>
            </w:r>
          </w:p>
          <w:p w14:paraId="16D85313" w14:textId="77777777" w:rsidR="000F7F03" w:rsidRDefault="000F7F03" w:rsidP="000F7F03">
            <w:pPr>
              <w:rPr>
                <w:lang w:val="en-GB"/>
              </w:rPr>
            </w:pPr>
          </w:p>
          <w:p w14:paraId="03F7CF7B" w14:textId="77777777" w:rsidR="000F7F03" w:rsidRDefault="000F7F03" w:rsidP="000F7F03">
            <w:pPr>
              <w:pStyle w:val="21"/>
              <w:outlineLvl w:val="1"/>
            </w:pPr>
            <w:r>
              <w:t>1.3</w:t>
            </w:r>
            <w:r>
              <w:tab/>
              <w:t>HARQ reporting to gNB</w:t>
            </w:r>
          </w:p>
          <w:p w14:paraId="54DF5169" w14:textId="77777777" w:rsidR="000F7F03" w:rsidRPr="003E3488" w:rsidRDefault="000F7F03" w:rsidP="000F7F03">
            <w:pPr>
              <w:pStyle w:val="af7"/>
              <w:numPr>
                <w:ilvl w:val="0"/>
                <w:numId w:val="26"/>
              </w:numPr>
              <w:rPr>
                <w:lang w:val="en-GB"/>
              </w:rPr>
            </w:pPr>
            <w:r w:rsidRPr="003E3488">
              <w:rPr>
                <w:lang w:val="en-GB"/>
              </w:rPr>
              <w:t>Details in the WA from RAN#1</w:t>
            </w:r>
            <w:bookmarkStart w:id="2" w:name="_GoBack"/>
            <w:bookmarkEnd w:id="2"/>
            <w:r w:rsidRPr="003E3488">
              <w:rPr>
                <w:lang w:val="en-GB"/>
              </w:rPr>
              <w:t>00-e for the case of reaching the maximum number of HARQ re-transmissions for a TB.</w:t>
            </w:r>
          </w:p>
          <w:p w14:paraId="16431E09" w14:textId="77777777" w:rsidR="000F7F03" w:rsidRDefault="000F7F03" w:rsidP="000F7F03">
            <w:pPr>
              <w:pStyle w:val="af7"/>
              <w:numPr>
                <w:ilvl w:val="0"/>
                <w:numId w:val="26"/>
              </w:numPr>
              <w:rPr>
                <w:lang w:val="en-GB"/>
              </w:rPr>
            </w:pPr>
            <w:r>
              <w:rPr>
                <w:lang w:val="en-GB"/>
              </w:rPr>
              <w:t>Other exceptional reports to the gNB (e.g., nothing to transmit for DG, etc.)</w:t>
            </w:r>
          </w:p>
          <w:p w14:paraId="27E40089" w14:textId="77777777" w:rsidR="000F7F03" w:rsidRPr="002A7712" w:rsidRDefault="000F7F03" w:rsidP="000F7F03">
            <w:pPr>
              <w:pStyle w:val="af7"/>
              <w:numPr>
                <w:ilvl w:val="0"/>
                <w:numId w:val="26"/>
              </w:numPr>
              <w:rPr>
                <w:highlight w:val="yellow"/>
                <w:lang w:val="en-GB"/>
              </w:rPr>
            </w:pPr>
            <w:r w:rsidRPr="002A7712">
              <w:rPr>
                <w:highlight w:val="yellow"/>
                <w:lang w:val="en-GB"/>
              </w:rPr>
              <w:t>Corrections/clarifications for codebook configuration</w:t>
            </w:r>
          </w:p>
          <w:p w14:paraId="70F54343" w14:textId="77777777" w:rsidR="000F7F03" w:rsidRPr="002A7712" w:rsidRDefault="000F7F03" w:rsidP="000F7F03">
            <w:pPr>
              <w:pStyle w:val="af7"/>
              <w:numPr>
                <w:ilvl w:val="0"/>
                <w:numId w:val="26"/>
              </w:numPr>
              <w:rPr>
                <w:highlight w:val="yellow"/>
                <w:lang w:val="en-GB"/>
              </w:rPr>
            </w:pPr>
            <w:r w:rsidRPr="002A7712">
              <w:rPr>
                <w:highlight w:val="yellow"/>
                <w:lang w:val="en-GB"/>
              </w:rPr>
              <w:t>Corrections for Type-1 codebook</w:t>
            </w:r>
          </w:p>
          <w:p w14:paraId="0C2243B9" w14:textId="77777777" w:rsidR="000F7F03" w:rsidRPr="002A7712" w:rsidRDefault="000F7F03" w:rsidP="000F7F03">
            <w:pPr>
              <w:pStyle w:val="af7"/>
              <w:numPr>
                <w:ilvl w:val="0"/>
                <w:numId w:val="26"/>
              </w:numPr>
              <w:rPr>
                <w:highlight w:val="yellow"/>
                <w:lang w:val="en-GB"/>
              </w:rPr>
            </w:pPr>
            <w:r w:rsidRPr="002A7712">
              <w:rPr>
                <w:highlight w:val="yellow"/>
                <w:lang w:val="en-GB"/>
              </w:rPr>
              <w:t>Clarifications on reporting for PSSCH with multiple associated PSFCH</w:t>
            </w:r>
          </w:p>
          <w:p w14:paraId="491B80D1" w14:textId="77777777" w:rsidR="000F7F03" w:rsidRDefault="000F7F03" w:rsidP="000F7F03">
            <w:pPr>
              <w:rPr>
                <w:lang w:val="en-GB"/>
              </w:rPr>
            </w:pPr>
          </w:p>
        </w:tc>
      </w:tr>
      <w:tr w:rsidR="00EA7484" w14:paraId="4AD91470" w14:textId="77777777" w:rsidTr="00FA1E90">
        <w:tc>
          <w:tcPr>
            <w:tcW w:w="1696" w:type="dxa"/>
          </w:tcPr>
          <w:p w14:paraId="3E58BCBC" w14:textId="77777777" w:rsidR="00EA7484" w:rsidRDefault="00EA7484" w:rsidP="00EA7484">
            <w:pPr>
              <w:rPr>
                <w:lang w:val="en-GB"/>
              </w:rPr>
            </w:pPr>
          </w:p>
        </w:tc>
        <w:tc>
          <w:tcPr>
            <w:tcW w:w="7933" w:type="dxa"/>
          </w:tcPr>
          <w:p w14:paraId="6D4D5595" w14:textId="77777777" w:rsidR="00EA7484" w:rsidRDefault="00EA7484" w:rsidP="00EA7484">
            <w:pPr>
              <w:rPr>
                <w:lang w:val="en-GB"/>
              </w:rPr>
            </w:pP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 w14:paraId="3C864D11" w14:textId="715517AF"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25B4" w14:textId="77777777" w:rsidR="00F029C9" w:rsidRDefault="00F029C9">
      <w:r>
        <w:separator/>
      </w:r>
    </w:p>
  </w:endnote>
  <w:endnote w:type="continuationSeparator" w:id="0">
    <w:p w14:paraId="16BFDB71" w14:textId="77777777" w:rsidR="00F029C9" w:rsidRDefault="00F029C9">
      <w:r>
        <w:continuationSeparator/>
      </w:r>
    </w:p>
  </w:endnote>
  <w:endnote w:type="continuationNotice" w:id="1">
    <w:p w14:paraId="45A9A705" w14:textId="77777777" w:rsidR="00F029C9" w:rsidRDefault="00F0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1FB91" w14:textId="77777777" w:rsidR="00F029C9" w:rsidRDefault="00F029C9">
      <w:r>
        <w:separator/>
      </w:r>
    </w:p>
  </w:footnote>
  <w:footnote w:type="continuationSeparator" w:id="0">
    <w:p w14:paraId="29B07E22" w14:textId="77777777" w:rsidR="00F029C9" w:rsidRDefault="00F029C9">
      <w:r>
        <w:continuationSeparator/>
      </w:r>
    </w:p>
  </w:footnote>
  <w:footnote w:type="continuationNotice" w:id="1">
    <w:p w14:paraId="22F8FA2D" w14:textId="77777777" w:rsidR="00F029C9" w:rsidRDefault="00F029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4"/>
  </w:num>
  <w:num w:numId="11">
    <w:abstractNumId w:val="12"/>
  </w:num>
  <w:num w:numId="12">
    <w:abstractNumId w:val="23"/>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D6D"/>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7F03"/>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F7F0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F7F0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
    <w:name w:val="交底书"/>
    <w:basedOn w:val="a1"/>
    <w:link w:val="Char9"/>
    <w:qFormat/>
    <w:rsid w:val="00E312B7"/>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9705</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11385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2020-08-13T02:45:00Z</dcterms:created>
  <dcterms:modified xsi:type="dcterms:W3CDTF">2020-08-13T02:45:00Z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