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Heading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BodyText"/>
              <w:rPr>
                <w:rFonts w:cs="Arial"/>
                <w:bCs/>
                <w:lang w:val="en-US" w:eastAsia="ja-JP"/>
              </w:rPr>
            </w:pPr>
            <w:r>
              <w:rPr>
                <w:rFonts w:cs="Arial"/>
                <w:bCs/>
                <w:lang w:val="en-US" w:eastAsia="ja-JP"/>
              </w:rPr>
              <w:t>R1-2006020 (p3)</w:t>
            </w:r>
          </w:p>
          <w:p w14:paraId="2E8045DB" w14:textId="77777777" w:rsidR="00531016" w:rsidRDefault="00C253C0">
            <w:pPr>
              <w:pStyle w:val="BodyText"/>
              <w:rPr>
                <w:rFonts w:cs="Arial"/>
                <w:bCs/>
                <w:lang w:val="en-US" w:eastAsia="ja-JP"/>
              </w:rPr>
            </w:pPr>
            <w:r>
              <w:rPr>
                <w:rFonts w:cs="Arial"/>
                <w:bCs/>
                <w:lang w:val="en-US" w:eastAsia="ja-JP"/>
              </w:rPr>
              <w:t>R1-2006095 (p5)</w:t>
            </w:r>
          </w:p>
          <w:p w14:paraId="0A04B402" w14:textId="77777777" w:rsidR="00531016" w:rsidRDefault="00C253C0">
            <w:pPr>
              <w:pStyle w:val="BodyText"/>
              <w:rPr>
                <w:rFonts w:cs="Arial"/>
                <w:bCs/>
                <w:lang w:val="en-US" w:eastAsia="ja-JP"/>
              </w:rPr>
            </w:pPr>
            <w:r>
              <w:rPr>
                <w:rFonts w:cs="Arial"/>
                <w:bCs/>
                <w:lang w:val="en-US" w:eastAsia="ja-JP"/>
              </w:rPr>
              <w:t>R1-2006301 (p1, p2)</w:t>
            </w:r>
          </w:p>
          <w:p w14:paraId="717A7535" w14:textId="77777777" w:rsidR="00531016" w:rsidRDefault="00C253C0">
            <w:pPr>
              <w:pStyle w:val="BodyText"/>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BodyText"/>
              <w:rPr>
                <w:lang w:val="en-US"/>
              </w:rPr>
            </w:pPr>
            <w:r>
              <w:rPr>
                <w:lang w:val="en-US"/>
              </w:rPr>
              <w:t>CP extension and LBT type for semi-static channel access</w:t>
            </w:r>
          </w:p>
        </w:tc>
        <w:tc>
          <w:tcPr>
            <w:tcW w:w="2268" w:type="dxa"/>
          </w:tcPr>
          <w:p w14:paraId="1F63CE85" w14:textId="77777777" w:rsidR="00531016" w:rsidRDefault="00C253C0">
            <w:pPr>
              <w:pStyle w:val="BodyText"/>
              <w:rPr>
                <w:lang w:val="en-US"/>
              </w:rPr>
            </w:pPr>
            <w:r>
              <w:rPr>
                <w:lang w:val="en-US"/>
              </w:rPr>
              <w:t>R1-2005600 (p1)</w:t>
            </w:r>
          </w:p>
          <w:p w14:paraId="52F682CE" w14:textId="77777777" w:rsidR="00531016" w:rsidRDefault="00C253C0">
            <w:pPr>
              <w:pStyle w:val="BodyText"/>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BodyText"/>
              <w:rPr>
                <w:lang w:val="en-US"/>
              </w:rPr>
            </w:pPr>
            <w:r>
              <w:rPr>
                <w:lang w:val="en-US"/>
              </w:rPr>
              <w:t>other CP extension related</w:t>
            </w:r>
          </w:p>
        </w:tc>
        <w:tc>
          <w:tcPr>
            <w:tcW w:w="2268" w:type="dxa"/>
          </w:tcPr>
          <w:p w14:paraId="27B73860" w14:textId="77777777" w:rsidR="00531016" w:rsidRDefault="00C253C0">
            <w:pPr>
              <w:pStyle w:val="BodyText"/>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BodyText"/>
              <w:rPr>
                <w:lang w:val="en-US"/>
              </w:rPr>
            </w:pPr>
            <w:r>
              <w:rPr>
                <w:lang w:val="en-US"/>
              </w:rPr>
              <w:t>CAPC of fallback UL grants</w:t>
            </w:r>
          </w:p>
        </w:tc>
        <w:tc>
          <w:tcPr>
            <w:tcW w:w="2268" w:type="dxa"/>
          </w:tcPr>
          <w:p w14:paraId="61AA9AF6" w14:textId="77777777" w:rsidR="00531016" w:rsidRDefault="00C253C0">
            <w:pPr>
              <w:pStyle w:val="BodyText"/>
              <w:rPr>
                <w:lang w:val="en-US"/>
              </w:rPr>
            </w:pPr>
            <w:r>
              <w:rPr>
                <w:lang w:val="en-US"/>
              </w:rPr>
              <w:t>R1-2006763 (section 2)</w:t>
            </w:r>
          </w:p>
          <w:p w14:paraId="349B01C7" w14:textId="6907ACCD" w:rsidR="005A77D0" w:rsidRDefault="005A77D0">
            <w:pPr>
              <w:pStyle w:val="BodyText"/>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BodyText"/>
              <w:rPr>
                <w:rFonts w:cs="Arial"/>
                <w:bCs/>
                <w:lang w:val="en-US" w:eastAsia="ja-JP"/>
              </w:rPr>
            </w:pPr>
            <w:r>
              <w:rPr>
                <w:rFonts w:cs="Arial"/>
                <w:bCs/>
                <w:lang w:val="en-US" w:eastAsia="ja-JP"/>
              </w:rPr>
              <w:t>R1-2006881 (p4)</w:t>
            </w:r>
          </w:p>
        </w:tc>
      </w:tr>
    </w:tbl>
    <w:p w14:paraId="4CFF21E2" w14:textId="77777777" w:rsidR="00531016" w:rsidRDefault="00531016">
      <w:pPr>
        <w:pStyle w:val="BodyText"/>
        <w:rPr>
          <w:lang w:val="en-US"/>
        </w:rPr>
      </w:pPr>
    </w:p>
    <w:p w14:paraId="72C3C605" w14:textId="77777777" w:rsidR="00531016" w:rsidRDefault="00C253C0">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BodyText"/>
              <w:rPr>
                <w:lang w:val="en-US"/>
              </w:rPr>
            </w:pPr>
            <w:r>
              <w:rPr>
                <w:lang w:val="en-US"/>
              </w:rPr>
              <w:t>Clarifications to UL to DL COT sharing</w:t>
            </w:r>
          </w:p>
        </w:tc>
        <w:tc>
          <w:tcPr>
            <w:tcW w:w="2268" w:type="dxa"/>
          </w:tcPr>
          <w:p w14:paraId="5998DA51" w14:textId="77777777" w:rsidR="00531016" w:rsidRDefault="00C253C0">
            <w:pPr>
              <w:pStyle w:val="BodyText"/>
              <w:rPr>
                <w:rFonts w:cs="Arial"/>
                <w:bCs/>
                <w:lang w:val="en-US" w:eastAsia="ja-JP"/>
              </w:rPr>
            </w:pPr>
            <w:r>
              <w:rPr>
                <w:rFonts w:cs="Arial"/>
                <w:bCs/>
                <w:lang w:val="en-US" w:eastAsia="ja-JP"/>
              </w:rPr>
              <w:t>R1-2005600 (p2)</w:t>
            </w:r>
          </w:p>
          <w:p w14:paraId="57FC3A47" w14:textId="77777777" w:rsidR="00531016" w:rsidRDefault="00C253C0">
            <w:pPr>
              <w:pStyle w:val="BodyText"/>
              <w:rPr>
                <w:rFonts w:cs="Arial"/>
                <w:bCs/>
                <w:lang w:val="en-US" w:eastAsia="ja-JP"/>
              </w:rPr>
            </w:pPr>
            <w:r>
              <w:rPr>
                <w:rFonts w:cs="Arial"/>
                <w:bCs/>
                <w:lang w:val="en-US" w:eastAsia="ja-JP"/>
              </w:rPr>
              <w:t>R1-2006020 (p1)</w:t>
            </w:r>
          </w:p>
          <w:p w14:paraId="0254A25E" w14:textId="77777777" w:rsidR="00531016" w:rsidRDefault="00C253C0">
            <w:pPr>
              <w:pStyle w:val="BodyText"/>
              <w:rPr>
                <w:rFonts w:cs="Arial"/>
                <w:bCs/>
                <w:lang w:val="en-US" w:eastAsia="ja-JP"/>
              </w:rPr>
            </w:pPr>
            <w:r>
              <w:rPr>
                <w:rFonts w:cs="Arial"/>
                <w:bCs/>
                <w:lang w:val="en-US" w:eastAsia="ja-JP"/>
              </w:rPr>
              <w:t>R1-2006301 (p4)</w:t>
            </w:r>
          </w:p>
          <w:p w14:paraId="03E5AB32" w14:textId="77777777" w:rsidR="00531016" w:rsidRDefault="00C253C0">
            <w:pPr>
              <w:pStyle w:val="BodyText"/>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BodyText"/>
        <w:rPr>
          <w:lang w:val="en-US"/>
        </w:rPr>
      </w:pPr>
    </w:p>
    <w:p w14:paraId="7EEC2E86" w14:textId="77777777" w:rsidR="00531016" w:rsidRDefault="00531016">
      <w:pPr>
        <w:pStyle w:val="BodyText"/>
        <w:rPr>
          <w:b/>
          <w:bCs/>
          <w:lang w:val="en-US"/>
        </w:rPr>
      </w:pPr>
    </w:p>
    <w:p w14:paraId="45C1C7C6" w14:textId="77777777" w:rsidR="00531016" w:rsidRDefault="00531016">
      <w:pPr>
        <w:pStyle w:val="BodyText"/>
        <w:rPr>
          <w:b/>
          <w:bCs/>
          <w:lang w:val="en-US"/>
        </w:rPr>
      </w:pPr>
    </w:p>
    <w:p w14:paraId="3619C72E" w14:textId="77777777" w:rsidR="00531016" w:rsidRDefault="00C253C0">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BodyText"/>
              <w:rPr>
                <w:lang w:val="en-US"/>
              </w:rPr>
            </w:pPr>
            <w:r>
              <w:rPr>
                <w:lang w:val="en-US"/>
              </w:rPr>
              <w:t>Clarifications to channel access for semi-static channel occupancy</w:t>
            </w:r>
          </w:p>
        </w:tc>
        <w:tc>
          <w:tcPr>
            <w:tcW w:w="2268" w:type="dxa"/>
          </w:tcPr>
          <w:p w14:paraId="5800F68B" w14:textId="77777777" w:rsidR="00531016" w:rsidRDefault="00C253C0">
            <w:pPr>
              <w:pStyle w:val="BodyText"/>
              <w:rPr>
                <w:lang w:val="en-US"/>
              </w:rPr>
            </w:pPr>
            <w:r>
              <w:rPr>
                <w:lang w:val="en-US"/>
              </w:rPr>
              <w:t>R1-2005600 (p3, p4, p5, p6)</w:t>
            </w:r>
          </w:p>
          <w:p w14:paraId="37FF1D7F" w14:textId="77777777" w:rsidR="00531016" w:rsidRDefault="00C253C0">
            <w:pPr>
              <w:pStyle w:val="BodyText"/>
              <w:rPr>
                <w:lang w:val="en-US"/>
              </w:rPr>
            </w:pPr>
            <w:r>
              <w:rPr>
                <w:lang w:val="en-US"/>
              </w:rPr>
              <w:t>R1-2005809 (p10)</w:t>
            </w:r>
          </w:p>
          <w:p w14:paraId="511B534C" w14:textId="77777777" w:rsidR="00531016" w:rsidRDefault="00C253C0">
            <w:pPr>
              <w:pStyle w:val="BodyText"/>
              <w:rPr>
                <w:lang w:val="en-US"/>
              </w:rPr>
            </w:pPr>
            <w:r>
              <w:rPr>
                <w:lang w:val="en-US"/>
              </w:rPr>
              <w:t>R1-2005914 (p1)</w:t>
            </w:r>
          </w:p>
          <w:p w14:paraId="2057735D" w14:textId="77777777" w:rsidR="00531016" w:rsidRDefault="00C253C0">
            <w:pPr>
              <w:pStyle w:val="BodyText"/>
              <w:rPr>
                <w:lang w:val="en-US"/>
              </w:rPr>
            </w:pPr>
            <w:r>
              <w:rPr>
                <w:lang w:val="en-US"/>
              </w:rPr>
              <w:t>R1-2006351 (p1, p2, p3, p4, p5)</w:t>
            </w:r>
          </w:p>
          <w:p w14:paraId="55F167B6" w14:textId="77777777" w:rsidR="00531016" w:rsidRDefault="00C253C0">
            <w:pPr>
              <w:pStyle w:val="BodyText"/>
              <w:rPr>
                <w:lang w:val="en-US"/>
              </w:rPr>
            </w:pPr>
            <w:r>
              <w:rPr>
                <w:lang w:val="en-US"/>
              </w:rPr>
              <w:t>R1- 2006370 (p1)</w:t>
            </w:r>
          </w:p>
        </w:tc>
      </w:tr>
    </w:tbl>
    <w:p w14:paraId="7D776231" w14:textId="77777777" w:rsidR="00531016" w:rsidRDefault="00531016">
      <w:pPr>
        <w:pStyle w:val="BodyText"/>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BodyText"/>
              <w:rPr>
                <w:lang w:val="en-US"/>
              </w:rPr>
            </w:pPr>
            <w:r>
              <w:rPr>
                <w:lang w:val="en-US"/>
              </w:rPr>
              <w:t>Clarifications to restrictions for Type 1 DL channel access / DRS</w:t>
            </w:r>
          </w:p>
        </w:tc>
        <w:tc>
          <w:tcPr>
            <w:tcW w:w="2268" w:type="dxa"/>
          </w:tcPr>
          <w:p w14:paraId="56DF65F4" w14:textId="77777777" w:rsidR="00531016" w:rsidRDefault="00C253C0">
            <w:pPr>
              <w:pStyle w:val="BodyText"/>
              <w:rPr>
                <w:lang w:val="en-US"/>
              </w:rPr>
            </w:pPr>
            <w:r>
              <w:rPr>
                <w:lang w:val="en-US"/>
              </w:rPr>
              <w:t>R1-2006095 (p1)</w:t>
            </w:r>
          </w:p>
          <w:p w14:paraId="53572751" w14:textId="77777777" w:rsidR="00531016" w:rsidRDefault="00C253C0">
            <w:pPr>
              <w:pStyle w:val="BodyText"/>
              <w:rPr>
                <w:lang w:val="en-US"/>
              </w:rPr>
            </w:pPr>
            <w:r>
              <w:rPr>
                <w:lang w:val="en-US"/>
              </w:rPr>
              <w:t>R1-2006351 (p6)</w:t>
            </w:r>
          </w:p>
        </w:tc>
      </w:tr>
      <w:tr w:rsidR="00531016" w14:paraId="14E6052C" w14:textId="77777777">
        <w:tc>
          <w:tcPr>
            <w:tcW w:w="7366" w:type="dxa"/>
          </w:tcPr>
          <w:p w14:paraId="0BBD4A2D" w14:textId="77777777" w:rsidR="00531016" w:rsidRDefault="00C253C0">
            <w:pPr>
              <w:pStyle w:val="BodyText"/>
              <w:rPr>
                <w:lang w:val="en-US"/>
              </w:rPr>
            </w:pPr>
            <w:r>
              <w:rPr>
                <w:lang w:val="en-US"/>
              </w:rPr>
              <w:t>Clarifications to DL CWS adjustment</w:t>
            </w:r>
          </w:p>
        </w:tc>
        <w:tc>
          <w:tcPr>
            <w:tcW w:w="2268" w:type="dxa"/>
          </w:tcPr>
          <w:p w14:paraId="77D35D09" w14:textId="77777777" w:rsidR="00531016" w:rsidRDefault="00C253C0">
            <w:pPr>
              <w:pStyle w:val="BodyText"/>
              <w:rPr>
                <w:lang w:val="en-US"/>
              </w:rPr>
            </w:pPr>
            <w:r>
              <w:rPr>
                <w:lang w:val="en-US"/>
              </w:rPr>
              <w:t>R1-2005809 (p1)</w:t>
            </w:r>
          </w:p>
          <w:p w14:paraId="02A5276C" w14:textId="77777777" w:rsidR="00531016" w:rsidRDefault="00C253C0">
            <w:pPr>
              <w:pStyle w:val="BodyText"/>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BodyText"/>
              <w:rPr>
                <w:lang w:val="en-US"/>
              </w:rPr>
            </w:pPr>
            <w:r>
              <w:rPr>
                <w:lang w:val="en-US"/>
              </w:rPr>
              <w:t>Clarifications to UL CWS adjustment</w:t>
            </w:r>
          </w:p>
        </w:tc>
        <w:tc>
          <w:tcPr>
            <w:tcW w:w="2268" w:type="dxa"/>
          </w:tcPr>
          <w:p w14:paraId="44039E3D" w14:textId="77777777" w:rsidR="00531016" w:rsidRDefault="00C253C0">
            <w:pPr>
              <w:pStyle w:val="BodyText"/>
              <w:rPr>
                <w:lang w:val="en-US"/>
              </w:rPr>
            </w:pPr>
            <w:r>
              <w:rPr>
                <w:lang w:val="en-US"/>
              </w:rPr>
              <w:t>R1-2005809 (p2, p3, p4)</w:t>
            </w:r>
          </w:p>
          <w:p w14:paraId="59DA7156" w14:textId="77777777" w:rsidR="00531016" w:rsidRDefault="00C253C0">
            <w:pPr>
              <w:pStyle w:val="BodyText"/>
              <w:rPr>
                <w:rFonts w:cs="Arial"/>
                <w:bCs/>
                <w:lang w:val="en-US" w:eastAsia="ja-JP"/>
              </w:rPr>
            </w:pPr>
            <w:r>
              <w:rPr>
                <w:rFonts w:cs="Arial"/>
                <w:bCs/>
                <w:lang w:val="en-US" w:eastAsia="ja-JP"/>
              </w:rPr>
              <w:t>R1-2006095 (p2, p3, p4)</w:t>
            </w:r>
          </w:p>
          <w:p w14:paraId="2C3ACEA7" w14:textId="77777777" w:rsidR="00531016" w:rsidRDefault="00C253C0">
            <w:pPr>
              <w:pStyle w:val="BodyText"/>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BodyText"/>
              <w:rPr>
                <w:lang w:val="en-US"/>
              </w:rPr>
            </w:pPr>
            <w:r>
              <w:rPr>
                <w:lang w:val="en-US"/>
              </w:rPr>
              <w:t>CWS for channels without explicit feedback</w:t>
            </w:r>
          </w:p>
        </w:tc>
        <w:tc>
          <w:tcPr>
            <w:tcW w:w="2268" w:type="dxa"/>
          </w:tcPr>
          <w:p w14:paraId="75B1B260" w14:textId="77777777" w:rsidR="00531016" w:rsidRDefault="00C253C0">
            <w:pPr>
              <w:pStyle w:val="BodyText"/>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BodyText"/>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BodyText"/>
              <w:rPr>
                <w:lang w:val="en-US"/>
              </w:rPr>
            </w:pPr>
            <w:r>
              <w:rPr>
                <w:lang w:val="en-US"/>
              </w:rPr>
              <w:t>R1-2005809 (p6, p7, p8, p9)</w:t>
            </w:r>
          </w:p>
          <w:p w14:paraId="0325FD0D" w14:textId="77777777" w:rsidR="00531016" w:rsidRDefault="00C253C0">
            <w:pPr>
              <w:pStyle w:val="BodyText"/>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TableGrid"/>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BodyText"/>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TableGrid"/>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BodyText"/>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BodyText"/>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BodyText"/>
        <w:rPr>
          <w:b/>
          <w:bCs/>
          <w:sz w:val="32"/>
          <w:szCs w:val="32"/>
          <w:lang w:val="en-US"/>
        </w:rPr>
      </w:pPr>
    </w:p>
    <w:p w14:paraId="47C90A2B" w14:textId="77777777" w:rsidR="00531016" w:rsidRDefault="00C253C0">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BodyText"/>
              <w:rPr>
                <w:rFonts w:cs="Arial"/>
                <w:bCs/>
                <w:lang w:val="en-US" w:eastAsia="ja-JP"/>
              </w:rPr>
            </w:pPr>
            <w:r>
              <w:rPr>
                <w:rFonts w:cs="Arial"/>
                <w:bCs/>
                <w:lang w:val="en-US" w:eastAsia="ja-JP"/>
              </w:rPr>
              <w:t>R1- 2005333 (p2)</w:t>
            </w:r>
          </w:p>
        </w:tc>
      </w:tr>
    </w:tbl>
    <w:p w14:paraId="13F6CAAE" w14:textId="77777777" w:rsidR="00531016" w:rsidRDefault="00531016">
      <w:pPr>
        <w:pStyle w:val="Heading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TableGrid"/>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ZTE, Sanechips</w:t>
            </w:r>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ListParagraph"/>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ListParagraph"/>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ListParagraph"/>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Malgun Gothic"/>
                <w:lang w:eastAsia="ko-KR"/>
              </w:rPr>
            </w:pPr>
            <w:r>
              <w:rPr>
                <w:rFonts w:eastAsia="Malgun Gothic"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Malgun Gothic"/>
                <w:lang w:eastAsia="ko-KR"/>
              </w:rPr>
            </w:pPr>
            <w:r>
              <w:rPr>
                <w:rFonts w:eastAsia="Malgun Gothic"/>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Malgun Gothic"/>
                <w:lang w:val="en-US" w:eastAsia="ko-KR"/>
              </w:rPr>
            </w:pPr>
            <w:r>
              <w:rPr>
                <w:rFonts w:eastAsia="MS Mincho" w:hint="eastAsia"/>
                <w:lang w:eastAsia="ja-JP"/>
              </w:rPr>
              <w:lastRenderedPageBreak/>
              <w:t>S</w:t>
            </w:r>
            <w:r>
              <w:rPr>
                <w:rFonts w:eastAsia="MS Mincho"/>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MS Mincho" w:hint="eastAsia"/>
                <w:lang w:val="en-US" w:eastAsia="ja-JP"/>
              </w:rPr>
              <w:t>I</w:t>
            </w:r>
            <w:r>
              <w:rPr>
                <w:rFonts w:eastAsia="MS Mincho"/>
                <w:lang w:val="en-US" w:eastAsia="ja-JP"/>
              </w:rPr>
              <w:t>ssues #1 and #4 have higher priority. For issue #1, it is clearly a missing part, which has to be treated. For issue #4, we agree with Nokia. As Rel-17 study on FBE has started, any confusion caused by incomplete Rel-16 Specs should be avoided.</w:t>
            </w:r>
          </w:p>
        </w:tc>
      </w:tr>
      <w:tr w:rsidR="00047D53" w14:paraId="259901E0" w14:textId="77777777">
        <w:tc>
          <w:tcPr>
            <w:tcW w:w="1838" w:type="dxa"/>
            <w:tcBorders>
              <w:top w:val="single" w:sz="4" w:space="0" w:color="auto"/>
              <w:left w:val="single" w:sz="4" w:space="0" w:color="auto"/>
              <w:bottom w:val="single" w:sz="4" w:space="0" w:color="auto"/>
              <w:right w:val="single" w:sz="4" w:space="0" w:color="auto"/>
            </w:tcBorders>
          </w:tcPr>
          <w:p w14:paraId="5C9AC5EE" w14:textId="664DD304" w:rsidR="00047D53" w:rsidRDefault="00047D53">
            <w:pPr>
              <w:rPr>
                <w:rFonts w:eastAsia="MS Mincho"/>
                <w:lang w:eastAsia="ja-JP"/>
              </w:rPr>
            </w:pPr>
            <w:r>
              <w:rPr>
                <w:rFonts w:eastAsia="MS Mincho"/>
                <w:lang w:eastAsia="ja-JP"/>
              </w:rPr>
              <w:t>OPPO</w:t>
            </w:r>
          </w:p>
        </w:tc>
        <w:tc>
          <w:tcPr>
            <w:tcW w:w="7222" w:type="dxa"/>
            <w:tcBorders>
              <w:top w:val="single" w:sz="4" w:space="0" w:color="auto"/>
              <w:left w:val="single" w:sz="4" w:space="0" w:color="auto"/>
              <w:bottom w:val="single" w:sz="4" w:space="0" w:color="auto"/>
              <w:right w:val="single" w:sz="4" w:space="0" w:color="auto"/>
            </w:tcBorders>
          </w:tcPr>
          <w:p w14:paraId="38A824D0" w14:textId="6DE032F5" w:rsidR="00047D53" w:rsidRDefault="00047D53" w:rsidP="005E16C9">
            <w:pPr>
              <w:tabs>
                <w:tab w:val="left" w:pos="586"/>
              </w:tabs>
              <w:rPr>
                <w:rFonts w:eastAsia="MS Mincho"/>
                <w:lang w:val="en-US" w:eastAsia="ja-JP"/>
              </w:rPr>
            </w:pPr>
            <w:r>
              <w:rPr>
                <w:rFonts w:eastAsia="MS Mincho" w:hint="eastAsia"/>
                <w:lang w:val="en-US" w:eastAsia="ja-JP"/>
              </w:rPr>
              <w:t>I</w:t>
            </w:r>
            <w:r>
              <w:rPr>
                <w:rFonts w:eastAsia="MS Mincho"/>
                <w:lang w:val="en-US" w:eastAsia="ja-JP"/>
              </w:rPr>
              <w:t xml:space="preserve">ssue#1 and issue#3 are two leftovers from the previous meetings. These two need to be discussed with higher priority. </w:t>
            </w:r>
          </w:p>
        </w:tc>
      </w:tr>
      <w:tr w:rsidR="003E4149" w14:paraId="17BA2707" w14:textId="77777777">
        <w:tc>
          <w:tcPr>
            <w:tcW w:w="1838" w:type="dxa"/>
            <w:tcBorders>
              <w:top w:val="single" w:sz="4" w:space="0" w:color="auto"/>
              <w:left w:val="single" w:sz="4" w:space="0" w:color="auto"/>
              <w:bottom w:val="single" w:sz="4" w:space="0" w:color="auto"/>
              <w:right w:val="single" w:sz="4" w:space="0" w:color="auto"/>
            </w:tcBorders>
          </w:tcPr>
          <w:p w14:paraId="3089785F" w14:textId="7DD553E1" w:rsidR="003E4149" w:rsidRDefault="003E4149">
            <w:pPr>
              <w:rPr>
                <w:rFonts w:eastAsia="MS Mincho"/>
                <w:lang w:eastAsia="ja-JP"/>
              </w:rPr>
            </w:pPr>
            <w:r>
              <w:rPr>
                <w:rFonts w:eastAsia="MS Mincho"/>
                <w:lang w:eastAsia="ja-JP"/>
              </w:rPr>
              <w:t>Charter Communications</w:t>
            </w:r>
          </w:p>
        </w:tc>
        <w:tc>
          <w:tcPr>
            <w:tcW w:w="7222" w:type="dxa"/>
            <w:tcBorders>
              <w:top w:val="single" w:sz="4" w:space="0" w:color="auto"/>
              <w:left w:val="single" w:sz="4" w:space="0" w:color="auto"/>
              <w:bottom w:val="single" w:sz="4" w:space="0" w:color="auto"/>
              <w:right w:val="single" w:sz="4" w:space="0" w:color="auto"/>
            </w:tcBorders>
          </w:tcPr>
          <w:p w14:paraId="24DB9A46" w14:textId="55B8ACCF" w:rsidR="003E4149" w:rsidRDefault="003E4149" w:rsidP="00FE7722">
            <w:pPr>
              <w:tabs>
                <w:tab w:val="left" w:pos="586"/>
              </w:tabs>
              <w:rPr>
                <w:rFonts w:eastAsia="MS Mincho" w:hint="eastAsia"/>
                <w:lang w:val="en-US" w:eastAsia="ja-JP"/>
              </w:rPr>
            </w:pPr>
            <w:r>
              <w:rPr>
                <w:rFonts w:eastAsia="MS Mincho"/>
                <w:lang w:val="en-US" w:eastAsia="ja-JP"/>
              </w:rPr>
              <w:t>Our view is that issue #1</w:t>
            </w:r>
            <w:r w:rsidR="00FE7722">
              <w:rPr>
                <w:rFonts w:eastAsia="MS Mincho"/>
                <w:lang w:val="en-US" w:eastAsia="ja-JP"/>
              </w:rPr>
              <w:t>, issue #4, issue #5 should be discussed further.</w:t>
            </w:r>
            <w:r>
              <w:rPr>
                <w:rFonts w:eastAsia="MS Mincho"/>
                <w:lang w:val="en-US" w:eastAsia="ja-JP"/>
              </w:rPr>
              <w:br/>
              <w:t>Regarding issue #2, we think the current spec is sufficient in the case of separate UL grants.</w:t>
            </w:r>
            <w:r w:rsidR="002403A8">
              <w:rPr>
                <w:rFonts w:eastAsia="MS Mincho"/>
                <w:lang w:val="en-US" w:eastAsia="ja-JP"/>
              </w:rPr>
              <w:t xml:space="preserve"> In the same tdoc, the proposal for issue#3 is already reflected in the ‘non-unicast’ </w:t>
            </w:r>
            <w:r w:rsidR="00FE7722">
              <w:rPr>
                <w:rFonts w:eastAsia="MS Mincho"/>
                <w:lang w:val="en-US" w:eastAsia="ja-JP"/>
              </w:rPr>
              <w:t>portion of the sentence.</w:t>
            </w:r>
            <w:r w:rsidR="00ED707D">
              <w:rPr>
                <w:rFonts w:eastAsia="MS Mincho"/>
                <w:lang w:val="en-US" w:eastAsia="ja-JP"/>
              </w:rPr>
              <w:br/>
              <w:t>Issue #7 is editorial and can be handled by the editor.</w:t>
            </w:r>
            <w:bookmarkStart w:id="0" w:name="_GoBack"/>
            <w:bookmarkEnd w:id="0"/>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660D4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AB0" w14:textId="77777777" w:rsidR="00660D4F" w:rsidRDefault="00660D4F" w:rsidP="008532AF">
      <w:pPr>
        <w:spacing w:after="0" w:line="240" w:lineRule="auto"/>
      </w:pPr>
      <w:r>
        <w:separator/>
      </w:r>
    </w:p>
  </w:endnote>
  <w:endnote w:type="continuationSeparator" w:id="0">
    <w:p w14:paraId="4B713ADA" w14:textId="77777777" w:rsidR="00660D4F" w:rsidRDefault="00660D4F"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53617" w14:textId="77777777" w:rsidR="00660D4F" w:rsidRDefault="00660D4F" w:rsidP="008532AF">
      <w:pPr>
        <w:spacing w:after="0" w:line="240" w:lineRule="auto"/>
      </w:pPr>
      <w:r>
        <w:separator/>
      </w:r>
    </w:p>
  </w:footnote>
  <w:footnote w:type="continuationSeparator" w:id="0">
    <w:p w14:paraId="22A088BB" w14:textId="77777777" w:rsidR="00660D4F" w:rsidRDefault="00660D4F"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6151274A-9B51-4A09-851C-0A425969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4</Pages>
  <Words>1224</Words>
  <Characters>6980</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Mukherjee, Amitav</cp:lastModifiedBy>
  <cp:revision>3</cp:revision>
  <cp:lastPrinted>2016-06-20T11:35:00Z</cp:lastPrinted>
  <dcterms:created xsi:type="dcterms:W3CDTF">2020-08-13T15:57:00Z</dcterms:created>
  <dcterms:modified xsi:type="dcterms:W3CDTF">2020-08-13T17:00:00Z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ies>
</file>