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b/>
        </w:rPr>
      </w:pPr>
      <w:r>
        <w:rPr>
          <w:b/>
        </w:rPr>
        <w:t>3GPP TSG RAN WG1 Meeting #102-e</w:t>
      </w:r>
      <w:r>
        <w:rPr>
          <w:b/>
        </w:rPr>
        <w:tab/>
      </w:r>
      <w:r>
        <w:rPr>
          <w:b/>
        </w:rPr>
        <w:t xml:space="preserve">                                                                          R1-2006993</w:t>
      </w:r>
    </w:p>
    <w:p>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pPr>
        <w:tabs>
          <w:tab w:val="left" w:pos="1200"/>
        </w:tabs>
        <w:rPr>
          <w:rFonts w:ascii="Arial" w:hAnsi="Arial" w:cs="Arial"/>
          <w:lang w:eastAsia="en-US"/>
        </w:rPr>
      </w:pPr>
      <w:r>
        <w:rPr>
          <w:rFonts w:ascii="Arial" w:hAnsi="Arial" w:cs="Arial"/>
          <w:lang w:eastAsia="en-US"/>
        </w:rPr>
        <w:tab/>
      </w:r>
    </w:p>
    <w:p>
      <w:pPr>
        <w:rPr>
          <w:b/>
        </w:rPr>
      </w:pPr>
      <w:r>
        <w:rPr>
          <w:b/>
        </w:rPr>
        <w:t>Agenda item:    7.2.2.1.1</w:t>
      </w:r>
    </w:p>
    <w:p>
      <w:pPr>
        <w:rPr>
          <w:b/>
        </w:rPr>
      </w:pPr>
      <w:r>
        <w:rPr>
          <w:b/>
        </w:rPr>
        <w:t>Source:              Moderator (Qualcomm</w:t>
      </w:r>
      <w:r>
        <w:rPr>
          <w:rFonts w:eastAsia="宋体"/>
          <w:b/>
          <w:lang w:eastAsia="zh-CN"/>
        </w:rPr>
        <w:t xml:space="preserve"> </w:t>
      </w:r>
      <w:r>
        <w:rPr>
          <w:b/>
        </w:rPr>
        <w:t>Incorporated)</w:t>
      </w:r>
    </w:p>
    <w:p>
      <w:pPr>
        <w:rPr>
          <w:b/>
        </w:rPr>
      </w:pPr>
      <w:r>
        <w:rPr>
          <w:b/>
        </w:rPr>
        <w:t>Title:                  FL summary for initial access signals and channels for NR-U</w:t>
      </w:r>
    </w:p>
    <w:p>
      <w:pPr>
        <w:rPr>
          <w:b/>
        </w:rPr>
      </w:pPr>
      <w:r>
        <w:rPr>
          <w:b/>
        </w:rPr>
        <w:t>Document for:  Discussion</w:t>
      </w:r>
      <w:r>
        <w:rPr>
          <w:rFonts w:eastAsia="宋体"/>
          <w:b/>
          <w:lang w:eastAsia="zh-CN"/>
        </w:rPr>
        <w:t xml:space="preserve"> and </w:t>
      </w:r>
      <w:r>
        <w:rPr>
          <w:b/>
        </w:rPr>
        <w:t>Decision</w:t>
      </w:r>
    </w:p>
    <w:p>
      <w:pPr>
        <w:pStyle w:val="2"/>
        <w:numPr>
          <w:ilvl w:val="0"/>
          <w:numId w:val="10"/>
        </w:numPr>
      </w:pPr>
      <w:r>
        <w:t>Introduction</w:t>
      </w:r>
    </w:p>
    <w:p>
      <w:pPr>
        <w:rPr>
          <w:lang w:eastAsia="en-US"/>
        </w:rPr>
      </w:pPr>
      <w:r>
        <w:rPr>
          <w:lang w:eastAsia="en-US"/>
        </w:rPr>
        <w:t>Multiple issues are discussed in the submitted papers for 7.2.2.1.1. After preparation phase email discussion, it was agreed to discuss the following:</w:t>
      </w:r>
    </w:p>
    <w:p>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pPr>
        <w:rPr>
          <w:lang w:eastAsia="en-US"/>
        </w:rPr>
      </w:pPr>
    </w:p>
    <w:p>
      <w:pPr>
        <w:rPr>
          <w:lang w:eastAsia="zh-CN"/>
        </w:rPr>
      </w:pPr>
    </w:p>
    <w:p>
      <w:pPr>
        <w:pStyle w:val="2"/>
      </w:pPr>
      <w:r>
        <w:t>Issue 4.4: PRACH configuration in multiple RB sets</w:t>
      </w:r>
    </w:p>
    <w:p>
      <w:pPr>
        <w:pStyle w:val="3"/>
      </w:pPr>
      <w:r>
        <w:t>Summary of proposals in submitted papers</w:t>
      </w:r>
    </w:p>
    <w:p>
      <w:pPr>
        <w:spacing w:after="120" w:line="288" w:lineRule="auto"/>
        <w:rPr>
          <w:rFonts w:eastAsia="MS Mincho"/>
          <w:bCs/>
        </w:rPr>
      </w:pPr>
      <w:r>
        <w:rPr>
          <w:rFonts w:eastAsia="MS Mincho"/>
          <w:bCs/>
        </w:rPr>
        <w:t>In [7] (and [13]), [9] and [12], it is proposed to support FDM ROs in different RB sets</w:t>
      </w:r>
    </w:p>
    <w:p>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hint="eastAsia" w:ascii="宋体" w:hAnsi="宋体" w:eastAsia="宋体"/>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ctrlPr>
              <w:rPr>
                <w:rFonts w:ascii="Cambria Math" w:hAnsi="Cambria Math"/>
                <w:bCs/>
                <w:i/>
              </w:rPr>
            </m:ctrlPr>
          </m:e>
          <m:sub>
            <m:r>
              <w:rPr>
                <w:rFonts w:ascii="Cambria Math" w:hAnsi="Cambria Math"/>
              </w:rPr>
              <m:t xml:space="preserve"> s,UL</m:t>
            </m:r>
            <m:ctrlPr>
              <w:rPr>
                <w:rFonts w:ascii="Cambria Math" w:hAnsi="Cambria Math"/>
                <w:bCs/>
                <w:i/>
              </w:rPr>
            </m:ctrlPr>
          </m:sub>
          <m:sup>
            <m:r>
              <w:rPr>
                <w:rFonts w:ascii="Cambria Math" w:hAnsi="Cambria Math"/>
              </w:rPr>
              <m:t>start,μ</m:t>
            </m:r>
            <m:ctrlPr>
              <w:rPr>
                <w:rFonts w:ascii="Cambria Math" w:hAnsi="Cambria Math"/>
                <w:bCs/>
                <w:i/>
              </w:rPr>
            </m:ctrlPr>
          </m:sup>
        </m:sSubSup>
      </m:oMath>
      <w:r>
        <w:rPr>
          <w:rFonts w:eastAsia="MS Mincho"/>
          <w:bCs/>
        </w:rPr>
        <w:t xml:space="preserve">of the RB set </w:t>
      </w:r>
      <w:r>
        <w:rPr>
          <w:rFonts w:eastAsia="MS Mincho"/>
          <w:bCs/>
          <w:i/>
        </w:rPr>
        <w:t>s.</w:t>
      </w:r>
    </w:p>
    <w:p>
      <w:pPr>
        <w:rPr>
          <w:color w:val="FF0000"/>
        </w:rPr>
      </w:pPr>
      <w:r>
        <w:rPr>
          <w:color w:val="FF0000"/>
        </w:rPr>
        <w:t>============================ Start of TP for TS 38.211 ===================================</w:t>
      </w:r>
    </w:p>
    <w:p>
      <w:pPr>
        <w:spacing w:after="120" w:line="288" w:lineRule="auto"/>
        <w:rPr>
          <w:rFonts w:ascii="Arial" w:hAnsi="Arial" w:eastAsia="宋体" w:cs="Arial"/>
          <w:sz w:val="24"/>
          <w:lang w:eastAsia="zh-CN"/>
        </w:rPr>
      </w:pPr>
      <w:r>
        <w:rPr>
          <w:rFonts w:ascii="Arial" w:hAnsi="Arial" w:eastAsia="宋体"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hAnsi="Arial" w:eastAsia="宋体" w:cs="Arial"/>
          <w:sz w:val="24"/>
          <w:lang w:eastAsia="zh-CN"/>
        </w:rPr>
        <w:t>OFDM baseband signal generation for PRACH</w:t>
      </w:r>
      <w:bookmarkEnd w:id="0"/>
      <w:bookmarkEnd w:id="1"/>
      <w:bookmarkEnd w:id="2"/>
      <w:bookmarkEnd w:id="3"/>
      <w:bookmarkEnd w:id="4"/>
    </w:p>
    <w:p>
      <w:r>
        <w:t xml:space="preserve">The time-continuous signal </w:t>
      </w:r>
      <w:r>
        <w:rPr>
          <w:position w:val="-12"/>
        </w:rPr>
        <w:object>
          <v:shape id="_x0000_i1025" o:spt="75" type="#_x0000_t75" style="height:20.4pt;width:38.9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t xml:space="preserve"> on antenna port </w:t>
      </w:r>
      <m:oMath>
        <m:r>
          <w:rPr>
            <w:rFonts w:ascii="Cambria Math" w:hAnsi="Cambria Math"/>
          </w:rPr>
          <m:t>p</m:t>
        </m:r>
      </m:oMath>
      <w:r>
        <w:t xml:space="preserve"> for PRACH is defined by</w:t>
      </w:r>
    </w:p>
    <w:p>
      <w:pPr>
        <w:pStyle w:val="107"/>
        <w:ind w:left="800"/>
      </w:pPr>
      <m:oMathPara>
        <m:oMathParaPr>
          <m:jc m:val="left"/>
        </m:oMathParaPr>
        <m:oMath>
          <m:sSubSup>
            <m:sSubSupPr>
              <m:ctrlPr>
                <w:rPr>
                  <w:rFonts w:ascii="Cambria Math" w:hAnsi="Cambria Math" w:eastAsia="Calibri"/>
                  <w:sz w:val="22"/>
                  <w:szCs w:val="22"/>
                </w:rPr>
              </m:ctrlPr>
            </m:sSubSupPr>
            <m:e>
              <m:r>
                <w:rPr>
                  <w:rFonts w:ascii="Cambria Math" w:hAnsi="Cambria Math"/>
                </w:rPr>
                <m:t>s</m:t>
              </m:r>
              <m:ctrlPr>
                <w:rPr>
                  <w:rFonts w:ascii="Cambria Math" w:hAnsi="Cambria Math" w:eastAsia="Calibri"/>
                  <w:sz w:val="22"/>
                  <w:szCs w:val="22"/>
                </w:rPr>
              </m:ctrlPr>
            </m:e>
            <m:sub>
              <m:r>
                <w:rPr>
                  <w:rFonts w:ascii="Cambria Math" w:hAnsi="Cambria Math"/>
                </w:rPr>
                <m:t>l</m:t>
              </m:r>
              <m:ctrlPr>
                <w:rPr>
                  <w:rFonts w:ascii="Cambria Math" w:hAnsi="Cambria Math" w:eastAsia="Calibri"/>
                  <w:sz w:val="22"/>
                  <w:szCs w:val="22"/>
                </w:rPr>
              </m:ctrlP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ctrlPr>
                <w:rPr>
                  <w:rFonts w:ascii="Cambria Math" w:hAnsi="Cambria Math" w:eastAsia="Calibri"/>
                  <w:sz w:val="22"/>
                  <w:szCs w:val="22"/>
                </w:rPr>
              </m:ctrlPr>
            </m:sup>
          </m:sSubSup>
          <m:d>
            <m:dPr>
              <m:ctrlPr>
                <w:rPr>
                  <w:rFonts w:ascii="Cambria Math" w:hAnsi="Cambria Math" w:eastAsia="Calibri"/>
                  <w:sz w:val="22"/>
                  <w:szCs w:val="22"/>
                </w:rPr>
              </m:ctrlPr>
            </m:dPr>
            <m:e>
              <m:r>
                <w:rPr>
                  <w:rFonts w:ascii="Cambria Math" w:hAnsi="Cambria Math"/>
                </w:rPr>
                <m:t>t</m:t>
              </m:r>
              <m:ctrlPr>
                <w:rPr>
                  <w:rFonts w:ascii="Cambria Math" w:hAnsi="Cambria Math" w:eastAsia="Calibri"/>
                  <w:sz w:val="22"/>
                  <w:szCs w:val="22"/>
                </w:rPr>
              </m:ctrlPr>
            </m:e>
          </m:d>
          <m:r>
            <m:rPr>
              <m:aln/>
            </m:rPr>
            <w:rPr>
              <w:rFonts w:ascii="Cambria Math" w:hAnsi="Cambria Math" w:eastAsia="Calibri"/>
              <w:sz w:val="22"/>
              <w:szCs w:val="22"/>
            </w:rPr>
            <m:t>=</m:t>
          </m:r>
          <m:nary>
            <m:naryPr>
              <m:chr m:val="∑"/>
              <m:limLoc m:val="undOvr"/>
              <m:ctrlPr>
                <w:rPr>
                  <w:rFonts w:ascii="Cambria Math" w:hAnsi="Cambria Math" w:eastAsia="Calibri"/>
                  <w:sz w:val="22"/>
                  <w:szCs w:val="22"/>
                </w:rPr>
              </m:ctrlPr>
            </m:naryPr>
            <m:sub>
              <m:r>
                <w:rPr>
                  <w:rFonts w:ascii="Cambria Math" w:hAnsi="Cambria Math"/>
                </w:rPr>
                <m:t>k</m:t>
              </m:r>
              <m:r>
                <m:rPr>
                  <m:sty m:val="p"/>
                </m:rPr>
                <w:rPr>
                  <w:rFonts w:ascii="Cambria Math" w:hAnsi="Cambria Math"/>
                </w:rPr>
                <m:t>=0</m:t>
              </m:r>
              <m:ctrlPr>
                <w:rPr>
                  <w:rFonts w:ascii="Cambria Math" w:hAnsi="Cambria Math" w:eastAsia="Calibri"/>
                  <w:sz w:val="22"/>
                  <w:szCs w:val="22"/>
                </w:rPr>
              </m:ctrlPr>
            </m:sub>
            <m:sup>
              <m:sSub>
                <m:sSubPr>
                  <m:ctrlPr>
                    <w:rPr>
                      <w:rFonts w:ascii="Cambria Math" w:hAnsi="Cambria Math" w:eastAsia="Calibri"/>
                      <w:sz w:val="22"/>
                      <w:szCs w:val="22"/>
                    </w:rPr>
                  </m:ctrlPr>
                </m:sSubPr>
                <m:e>
                  <m:r>
                    <w:rPr>
                      <w:rFonts w:ascii="Cambria Math" w:hAnsi="Cambria Math"/>
                    </w:rPr>
                    <m:t>L</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Sub>
              <m:r>
                <m:rPr>
                  <m:sty m:val="p"/>
                </m:rPr>
                <w:rPr>
                  <w:rFonts w:ascii="Cambria Math" w:hAnsi="Cambria Math"/>
                </w:rPr>
                <m:t>-1</m:t>
              </m:r>
              <m:ctrlPr>
                <w:rPr>
                  <w:rFonts w:ascii="Cambria Math" w:hAnsi="Cambria Math" w:eastAsia="Calibri"/>
                  <w:sz w:val="22"/>
                  <w:szCs w:val="22"/>
                </w:rPr>
              </m:ctrlPr>
            </m:sup>
            <m:e>
              <m:sSubSup>
                <m:sSubSupPr>
                  <m:ctrlPr>
                    <w:rPr>
                      <w:rFonts w:ascii="Cambria Math" w:hAnsi="Cambria Math" w:eastAsia="Calibri"/>
                      <w:sz w:val="22"/>
                      <w:szCs w:val="22"/>
                    </w:rPr>
                  </m:ctrlPr>
                </m:sSubSupPr>
                <m:e>
                  <m:r>
                    <w:rPr>
                      <w:rFonts w:ascii="Cambria Math" w:hAnsi="Cambria Math"/>
                    </w:rPr>
                    <m:t>a</m:t>
                  </m:r>
                  <m:ctrlPr>
                    <w:rPr>
                      <w:rFonts w:ascii="Cambria Math" w:hAnsi="Cambria Math" w:eastAsia="Calibri"/>
                      <w:sz w:val="22"/>
                      <w:szCs w:val="22"/>
                    </w:rPr>
                  </m:ctrlPr>
                </m:e>
                <m:sub>
                  <m:r>
                    <w:rPr>
                      <w:rFonts w:ascii="Cambria Math" w:hAnsi="Cambria Math"/>
                    </w:rPr>
                    <m:t>k</m:t>
                  </m:r>
                  <m:ctrlPr>
                    <w:rPr>
                      <w:rFonts w:ascii="Cambria Math" w:hAnsi="Cambria Math" w:eastAsia="Calibri"/>
                      <w:sz w:val="22"/>
                      <w:szCs w:val="22"/>
                    </w:rPr>
                  </m:ctrlPr>
                </m:sub>
                <m:sup>
                  <m:r>
                    <m:rPr>
                      <m:sty m:val="p"/>
                    </m:rPr>
                    <w:rPr>
                      <w:rFonts w:ascii="Cambria Math" w:hAnsi="Cambria Math"/>
                    </w:rPr>
                    <m:t>(</m:t>
                  </m:r>
                  <m:r>
                    <w:rPr>
                      <w:rFonts w:ascii="Cambria Math" w:hAnsi="Cambria Math"/>
                    </w:rPr>
                    <m:t>p</m:t>
                  </m:r>
                  <m:r>
                    <m:rPr>
                      <m:sty m:val="p"/>
                    </m:rPr>
                    <w:rPr>
                      <w:rFonts w:ascii="Cambria Math" w:hAnsi="Cambria Math"/>
                    </w:rPr>
                    <m:t>,</m:t>
                  </m:r>
                  <m:r>
                    <m:rPr>
                      <m:nor/>
                      <m:sty m:val="p"/>
                    </m:rPr>
                    <m:t>RA</m:t>
                  </m:r>
                  <m:r>
                    <m:rPr>
                      <m:sty m:val="p"/>
                    </m:rPr>
                    <w:rPr>
                      <w:rFonts w:ascii="Cambria Math" w:hAnsi="Cambria Math"/>
                    </w:rPr>
                    <m:t>)</m:t>
                  </m:r>
                  <m:ctrlPr>
                    <w:rPr>
                      <w:rFonts w:ascii="Cambria Math" w:hAnsi="Cambria Math" w:eastAsia="Calibri"/>
                      <w:sz w:val="22"/>
                      <w:szCs w:val="22"/>
                    </w:rPr>
                  </m:ctrlPr>
                </m:sup>
              </m:sSubSup>
              <m:ctrlPr>
                <w:rPr>
                  <w:rFonts w:ascii="Cambria Math" w:hAnsi="Cambria Math" w:eastAsia="Calibri"/>
                  <w:sz w:val="22"/>
                  <w:szCs w:val="22"/>
                </w:rPr>
              </m:ctrlPr>
            </m:e>
          </m:nary>
          <m:sSup>
            <m:sSupPr>
              <m:ctrlPr>
                <w:rPr>
                  <w:rFonts w:ascii="Cambria Math" w:hAnsi="Cambria Math" w:eastAsia="Calibri"/>
                  <w:sz w:val="22"/>
                  <w:szCs w:val="22"/>
                </w:rPr>
              </m:ctrlPr>
            </m:sSupPr>
            <m:e>
              <m:r>
                <w:rPr>
                  <w:rFonts w:ascii="Cambria Math" w:hAnsi="Cambria Math"/>
                </w:rPr>
                <m:t>e</m:t>
              </m:r>
              <m:ctrlPr>
                <w:rPr>
                  <w:rFonts w:ascii="Cambria Math" w:hAnsi="Cambria Math" w:eastAsia="Calibri"/>
                  <w:sz w:val="22"/>
                  <w:szCs w:val="22"/>
                </w:rPr>
              </m:ctrlP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hAnsi="Cambria Math" w:eastAsia="Calibri"/>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hAnsi="Cambria Math" w:eastAsia="Calibri"/>
                          <w:sz w:val="22"/>
                          <w:szCs w:val="22"/>
                        </w:rPr>
                      </m:ctrlPr>
                    </m:sSubPr>
                    <m:e>
                      <m:r>
                        <w:rPr>
                          <w:rFonts w:ascii="Cambria Math" w:hAnsi="Cambria Math"/>
                        </w:rPr>
                        <m:t>k</m:t>
                      </m:r>
                      <m:ctrlPr>
                        <w:rPr>
                          <w:rFonts w:ascii="Cambria Math" w:hAnsi="Cambria Math" w:eastAsia="Calibri"/>
                          <w:sz w:val="22"/>
                          <w:szCs w:val="22"/>
                        </w:rPr>
                      </m:ctrlPr>
                    </m:e>
                    <m:sub>
                      <m:r>
                        <m:rPr>
                          <m:sty m:val="p"/>
                        </m:rPr>
                        <w:rPr>
                          <w:rFonts w:ascii="Cambria Math" w:hAnsi="Cambria Math"/>
                        </w:rPr>
                        <m:t>1</m:t>
                      </m:r>
                      <m:ctrlPr>
                        <w:rPr>
                          <w:rFonts w:ascii="Cambria Math" w:hAnsi="Cambria Math" w:eastAsia="Calibri"/>
                          <w:sz w:val="22"/>
                          <w:szCs w:val="22"/>
                        </w:rPr>
                      </m:ctrlPr>
                    </m:sub>
                  </m:sSub>
                  <m:r>
                    <m:rPr>
                      <m:sty m:val="p"/>
                    </m:rPr>
                    <w:rPr>
                      <w:rFonts w:ascii="Cambria Math" w:hAnsi="Cambria Math"/>
                    </w:rPr>
                    <m:t>+</m:t>
                  </m:r>
                  <m:acc>
                    <m:accPr>
                      <m:chr m:val="̅"/>
                      <m:ctrlPr>
                        <w:rPr>
                          <w:rFonts w:ascii="Cambria Math" w:hAnsi="Cambria Math" w:eastAsia="Calibri"/>
                          <w:sz w:val="22"/>
                          <w:szCs w:val="22"/>
                        </w:rPr>
                      </m:ctrlPr>
                    </m:accPr>
                    <m:e>
                      <m:r>
                        <w:rPr>
                          <w:rFonts w:ascii="Cambria Math" w:hAnsi="Cambria Math"/>
                        </w:rPr>
                        <m:t>k</m:t>
                      </m:r>
                      <m:ctrlPr>
                        <w:rPr>
                          <w:rFonts w:ascii="Cambria Math" w:hAnsi="Cambria Math" w:eastAsia="Calibri"/>
                          <w:sz w:val="22"/>
                          <w:szCs w:val="22"/>
                        </w:rPr>
                      </m:ctrlPr>
                    </m:e>
                  </m:acc>
                  <m:ctrlPr>
                    <w:rPr>
                      <w:rFonts w:ascii="Cambria Math" w:hAnsi="Cambria Math" w:eastAsia="Calibri"/>
                      <w:sz w:val="22"/>
                      <w:szCs w:val="22"/>
                    </w:rPr>
                  </m:ctrlPr>
                </m:e>
              </m:d>
              <m:r>
                <m:rPr>
                  <m:sty m:val="p"/>
                </m:rPr>
                <w:rPr>
                  <w:rFonts w:ascii="Cambria Math" w:hAnsi="Cambria Math"/>
                </w:rPr>
                <m:t>Δ</m:t>
              </m:r>
              <m:sSub>
                <m:sSubPr>
                  <m:ctrlPr>
                    <w:rPr>
                      <w:rFonts w:ascii="Cambria Math" w:hAnsi="Cambria Math"/>
                    </w:rPr>
                  </m:ctrlPr>
                </m:sSubPr>
                <m:e>
                  <m:r>
                    <w:rPr>
                      <w:rFonts w:ascii="Cambria Math" w:hAnsi="Cambria Math"/>
                    </w:rPr>
                    <m:t>f</m:t>
                  </m:r>
                  <m:ctrlPr>
                    <w:rPr>
                      <w:rFonts w:ascii="Cambria Math" w:hAnsi="Cambria Math"/>
                    </w:rPr>
                  </m:ctrlPr>
                </m:e>
                <m:sub>
                  <m:r>
                    <m:rPr>
                      <m:nor/>
                      <m:sty m:val="p"/>
                    </m:rPr>
                    <m:t>RA</m:t>
                  </m:r>
                  <m:ctrlPr>
                    <w:rPr>
                      <w:rFonts w:ascii="Cambria Math" w:hAnsi="Cambria Math"/>
                    </w:rPr>
                  </m:ctrlPr>
                </m:sub>
              </m:sSub>
              <m:d>
                <m:dPr>
                  <m:ctrlPr>
                    <w:rPr>
                      <w:rFonts w:ascii="Cambria Math" w:hAnsi="Cambria Math" w:eastAsia="Calibri"/>
                      <w:sz w:val="22"/>
                      <w:szCs w:val="22"/>
                    </w:rPr>
                  </m:ctrlPr>
                </m:dPr>
                <m:e>
                  <m:r>
                    <w:rPr>
                      <w:rFonts w:ascii="Cambria Math" w:hAnsi="Cambria Math"/>
                    </w:rPr>
                    <m:t>t</m:t>
                  </m:r>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CP</m:t>
                      </m:r>
                      <m:r>
                        <m:rPr>
                          <m:sty m:val="p"/>
                        </m:rPr>
                        <w:rPr>
                          <w:rFonts w:ascii="Cambria Math" w:hAnsi="Cambria Math"/>
                        </w:rPr>
                        <m:t>,</m:t>
                      </m:r>
                      <m:r>
                        <w:rPr>
                          <w:rFonts w:ascii="Cambria Math" w:hAnsi="Cambria Math"/>
                        </w:rPr>
                        <m:t>l</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sSub>
                    <m:sSubPr>
                      <m:ctrlPr>
                        <w:rPr>
                          <w:rFonts w:ascii="Cambria Math" w:hAnsi="Cambria Math" w:eastAsia="Calibri"/>
                          <w:sz w:val="22"/>
                          <w:szCs w:val="22"/>
                        </w:rPr>
                      </m:ctrlPr>
                    </m:sSubPr>
                    <m:e>
                      <m:r>
                        <w:rPr>
                          <w:rFonts w:ascii="Cambria Math" w:hAnsi="Cambria Math"/>
                        </w:rPr>
                        <m:t>T</m:t>
                      </m:r>
                      <m:ctrlPr>
                        <w:rPr>
                          <w:rFonts w:ascii="Cambria Math" w:hAnsi="Cambria Math" w:eastAsia="Calibri"/>
                          <w:sz w:val="22"/>
                          <w:szCs w:val="22"/>
                        </w:rPr>
                      </m:ctrlPr>
                    </m:e>
                    <m:sub>
                      <m:r>
                        <m:rPr>
                          <m:nor/>
                          <m:sty m:val="p"/>
                        </m:rPr>
                        <m:t>c</m:t>
                      </m:r>
                      <m:ctrlPr>
                        <w:rPr>
                          <w:rFonts w:ascii="Cambria Math" w:hAnsi="Cambria Math" w:eastAsia="Calibri"/>
                          <w:sz w:val="22"/>
                          <w:szCs w:val="22"/>
                        </w:rPr>
                      </m:ctrlPr>
                    </m:sub>
                  </m:sSub>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t</m:t>
                      </m:r>
                      <m:ctrlPr>
                        <w:rPr>
                          <w:rFonts w:ascii="Cambria Math" w:hAnsi="Cambria Math" w:eastAsia="Calibri"/>
                          <w:sz w:val="22"/>
                          <w:szCs w:val="22"/>
                        </w:rPr>
                      </m:ctrlPr>
                    </m:e>
                    <m:sub>
                      <m:r>
                        <m:rPr>
                          <m:nor/>
                          <m:sty m:val="p"/>
                        </m:rPr>
                        <m:t>start</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ctrlPr>
                    <w:rPr>
                      <w:rFonts w:ascii="Cambria Math" w:hAnsi="Cambria Math" w:eastAsia="Calibri"/>
                      <w:sz w:val="22"/>
                      <w:szCs w:val="22"/>
                    </w:rPr>
                  </m:ctrlPr>
                </m:e>
              </m:d>
              <m:ctrlPr>
                <w:rPr>
                  <w:rFonts w:ascii="Cambria Math" w:hAnsi="Cambria Math" w:eastAsia="Calibri"/>
                  <w:sz w:val="22"/>
                  <w:szCs w:val="22"/>
                </w:rPr>
              </m:ctrlPr>
            </m:sup>
          </m:sSup>
          <m:r>
            <m:rPr>
              <m:sty m:val="p"/>
            </m:rPr>
            <w:rPr>
              <w:rFonts w:ascii="Cambria Math" w:hAnsi="Cambria Math"/>
            </w:rPr>
            <w:br w:type="textWrapping"/>
          </m:r>
        </m:oMath>
      </m:oMathPara>
      <m:oMathPara>
        <m:oMathParaPr>
          <m:jc m:val="left"/>
        </m:oMathParaPr>
        <m:oMath>
          <m:r>
            <w:rPr>
              <w:rFonts w:ascii="Cambria Math" w:hAnsi="Cambria Math"/>
            </w:rPr>
            <m:t>K</m:t>
          </m:r>
          <m:r>
            <m:rPr>
              <m:aln/>
            </m:rPr>
            <w:rPr>
              <w:rFonts w:ascii="Cambria Math" w:hAnsi="Cambria Math"/>
            </w:rPr>
            <m:t>=</m:t>
          </m:r>
          <m:f>
            <m:fPr>
              <m:type m:val="lin"/>
              <m:ctrlPr>
                <w:rPr>
                  <w:rFonts w:ascii="Cambria Math" w:hAnsi="Cambria Math" w:eastAsia="Calibri"/>
                  <w:sz w:val="22"/>
                  <w:szCs w:val="22"/>
                </w:rPr>
              </m:ctrlPr>
            </m:fPr>
            <m:num>
              <m:r>
                <m:rPr>
                  <m:sty m:val="p"/>
                </m:rPr>
                <w:rPr>
                  <w:rFonts w:ascii="Cambria Math" w:hAnsi="Cambria Math"/>
                </w:rPr>
                <m:t>Δ</m:t>
              </m:r>
              <m:r>
                <w:rPr>
                  <w:rFonts w:ascii="Cambria Math" w:hAnsi="Cambria Math"/>
                </w:rPr>
                <m:t>f</m:t>
              </m:r>
              <m:ctrlPr>
                <w:rPr>
                  <w:rFonts w:ascii="Cambria Math" w:hAnsi="Cambria Math" w:eastAsia="Calibri"/>
                  <w:sz w:val="22"/>
                  <w:szCs w:val="22"/>
                </w:rPr>
              </m:ctrlPr>
            </m:num>
            <m:den>
              <m:r>
                <m:rPr>
                  <m:sty m:val="p"/>
                </m:rPr>
                <w:rPr>
                  <w:rFonts w:ascii="Cambria Math" w:hAnsi="Cambria Math"/>
                </w:rPr>
                <m:t>Δ</m:t>
              </m:r>
              <m:sSub>
                <m:sSubPr>
                  <m:ctrlPr>
                    <w:rPr>
                      <w:rFonts w:ascii="Cambria Math" w:hAnsi="Cambria Math" w:eastAsia="Calibri"/>
                      <w:sz w:val="22"/>
                      <w:szCs w:val="22"/>
                    </w:rPr>
                  </m:ctrlPr>
                </m:sSubPr>
                <m:e>
                  <m:r>
                    <w:rPr>
                      <w:rFonts w:ascii="Cambria Math" w:hAnsi="Cambria Math"/>
                    </w:rPr>
                    <m:t>f</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Sub>
              <m:ctrlPr>
                <w:rPr>
                  <w:rFonts w:ascii="Cambria Math" w:hAnsi="Cambria Math" w:eastAsia="Calibri"/>
                  <w:sz w:val="22"/>
                  <w:szCs w:val="22"/>
                </w:rPr>
              </m:ctrlPr>
            </m:den>
          </m:f>
          <m:r>
            <m:rPr>
              <m:sty m:val="p"/>
            </m:rPr>
            <w:rPr>
              <w:rFonts w:ascii="Cambria Math" w:hAnsi="Cambria Math"/>
            </w:rPr>
            <w:br w:type="textWrapping"/>
          </m:r>
        </m:oMath>
      </m:oMathPara>
      <m:oMath>
        <m:sSub>
          <m:sSubPr>
            <m:ctrlPr>
              <w:rPr>
                <w:rFonts w:ascii="Cambria Math" w:hAnsi="Cambria Math" w:eastAsia="Calibri"/>
                <w:sz w:val="22"/>
                <w:szCs w:val="22"/>
              </w:rPr>
            </m:ctrlPr>
          </m:sSubPr>
          <m:e>
            <m:r>
              <w:rPr>
                <w:rFonts w:ascii="Cambria Math" w:hAnsi="Cambria Math"/>
              </w:rPr>
              <m:t>k</m:t>
            </m:r>
            <m:ctrlPr>
              <w:rPr>
                <w:rFonts w:ascii="Cambria Math" w:hAnsi="Cambria Math" w:eastAsia="Calibri"/>
                <w:sz w:val="22"/>
                <w:szCs w:val="22"/>
              </w:rPr>
            </m:ctrlPr>
          </m:e>
          <m:sub>
            <m:r>
              <m:rPr>
                <m:sty m:val="p"/>
              </m:rPr>
              <w:rPr>
                <w:rFonts w:ascii="Cambria Math" w:hAnsi="Cambria Math"/>
              </w:rPr>
              <m:t>1</m:t>
            </m:r>
            <m:ctrlPr>
              <w:rPr>
                <w:rFonts w:ascii="Cambria Math" w:hAnsi="Cambria Math" w:eastAsia="Calibri"/>
                <w:sz w:val="22"/>
                <w:szCs w:val="22"/>
              </w:rPr>
            </m:ctrlPr>
          </m:sub>
        </m:sSub>
        <m:r>
          <m:rPr>
            <m:sty m:val="p"/>
            <m:aln/>
          </m:rPr>
          <w:rPr>
            <w:rFonts w:ascii="Cambria Math" w:hAnsi="Cambria Math"/>
          </w:rPr>
          <m:t>=</m:t>
        </m:r>
        <m:sSubSup>
          <m:sSubSupPr>
            <m:ctrlPr>
              <w:rPr>
                <w:rFonts w:ascii="Cambria Math" w:hAnsi="Cambria Math" w:eastAsia="Calibri"/>
                <w:sz w:val="22"/>
                <w:szCs w:val="22"/>
              </w:rPr>
            </m:ctrlPr>
          </m:sSubSupPr>
          <m:e>
            <m:r>
              <w:rPr>
                <w:rFonts w:ascii="Cambria Math" w:hAnsi="Cambria Math"/>
              </w:rPr>
              <m:t>k</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up>
            <m:r>
              <w:rPr>
                <w:rFonts w:ascii="Cambria Math" w:hAnsi="Cambria Math"/>
              </w:rPr>
              <m:t>μ</m:t>
            </m:r>
            <m:ctrlPr>
              <w:rPr>
                <w:rFonts w:ascii="Cambria Math" w:hAnsi="Cambria Math" w:eastAsia="Calibri"/>
                <w:sz w:val="22"/>
                <w:szCs w:val="22"/>
              </w:rPr>
            </m:ctrlPr>
          </m:sup>
        </m:sSubSup>
        <m:r>
          <m:rPr>
            <m:sty m:val="p"/>
          </m:rPr>
          <w:rPr>
            <w:rFonts w:ascii="Cambria Math" w:hAnsi="Cambria Math"/>
          </w:rPr>
          <m:t>+</m:t>
        </m:r>
        <m:d>
          <m:dPr>
            <m:ctrlPr>
              <w:rPr>
                <w:rFonts w:ascii="Cambria Math" w:hAnsi="Cambria Math" w:eastAsia="Calibri"/>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BWP</m:t>
                </m:r>
                <m:r>
                  <m:rPr>
                    <m:sty m:val="p"/>
                  </m:rPr>
                  <w:rPr>
                    <w:rFonts w:ascii="Cambria Math" w:hAnsi="Cambria Math"/>
                  </w:rPr>
                  <m:t>,</m:t>
                </m:r>
                <m:r>
                  <w:rPr>
                    <w:rFonts w:ascii="Cambria Math" w:hAnsi="Cambria Math"/>
                  </w:rPr>
                  <m:t>i</m:t>
                </m:r>
                <m:ctrlPr>
                  <w:rPr>
                    <w:rFonts w:ascii="Cambria Math" w:hAnsi="Cambria Math" w:eastAsia="Calibri"/>
                    <w:sz w:val="22"/>
                    <w:szCs w:val="22"/>
                  </w:rPr>
                </m:ctrlPr>
              </m:sub>
              <m:sup>
                <m:r>
                  <m:rPr>
                    <m:nor/>
                    <m:sty m:val="p"/>
                  </m:rPr>
                  <m:t>start</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r>
                  <w:rPr>
                    <w:rFonts w:ascii="Cambria Math" w:hAnsi="Cambria Math"/>
                  </w:rPr>
                  <m:t>μ</m:t>
                </m:r>
                <m:ctrlPr>
                  <w:rPr>
                    <w:rFonts w:ascii="Cambria Math" w:hAnsi="Cambria Math" w:eastAsia="Calibri"/>
                    <w:sz w:val="22"/>
                    <w:szCs w:val="22"/>
                  </w:rPr>
                </m:ctrlPr>
              </m:sup>
            </m:sSubSup>
            <m:ctrlPr>
              <w:rPr>
                <w:rFonts w:ascii="Cambria Math" w:hAnsi="Cambria Math" w:eastAsia="Calibri"/>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RA</m:t>
            </m:r>
            <m:ctrlPr>
              <w:rPr>
                <w:rFonts w:ascii="Cambria Math" w:hAnsi="Cambria Math" w:eastAsia="Calibri"/>
                <w:sz w:val="22"/>
                <w:szCs w:val="22"/>
              </w:rPr>
            </m:ctrlPr>
          </m:sub>
          <m:sup>
            <m:r>
              <m:rPr>
                <m:nor/>
                <m:sty m:val="p"/>
              </m:rPr>
              <m:t>start</m:t>
            </m:r>
            <m:ctrlPr>
              <w:rPr>
                <w:rFonts w:ascii="Cambria Math" w:hAnsi="Cambria Math" w:eastAsia="Calibri"/>
                <w:sz w:val="22"/>
                <w:szCs w:val="22"/>
              </w:rPr>
            </m:ctrlPr>
          </m:sup>
        </m:sSubSup>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ctrlPr>
              <w:rPr>
                <w:rFonts w:ascii="Cambria Math" w:hAnsi="Cambria Math"/>
                <w:sz w:val="22"/>
                <w:szCs w:val="22"/>
              </w:rPr>
            </m:ctrlPr>
          </m:e>
          <m:sub>
            <m:r>
              <m:rPr>
                <m:nor/>
                <m:sty m:val="p"/>
              </m:rPr>
              <m:t>RA</m:t>
            </m:r>
            <m:ctrlPr>
              <w:rPr>
                <w:rFonts w:ascii="Cambria Math" w:hAnsi="Cambria Math"/>
                <w:sz w:val="22"/>
                <w:szCs w:val="22"/>
              </w:rPr>
            </m:ctrlPr>
          </m:sub>
        </m:sSub>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RB</m:t>
            </m:r>
            <m:ctrlPr>
              <w:rPr>
                <w:rFonts w:ascii="Cambria Math" w:hAnsi="Cambria Math" w:eastAsia="Calibri"/>
                <w:sz w:val="22"/>
                <w:szCs w:val="22"/>
              </w:rPr>
            </m:ctrlPr>
          </m:sub>
          <m:sup>
            <m:r>
              <m:rPr>
                <m:nor/>
                <m:sty m:val="p"/>
              </m:rPr>
              <m:t>RA</m:t>
            </m:r>
            <m:ctrlPr>
              <w:rPr>
                <w:rFonts w:ascii="Cambria Math" w:hAnsi="Cambria Math" w:eastAsia="Calibri"/>
                <w:sz w:val="22"/>
                <w:szCs w:val="22"/>
              </w:rPr>
            </m:ctrlPr>
          </m:sup>
        </m:sSubSup>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r>
              <w:rPr>
                <w:rFonts w:ascii="Cambria Math" w:hAnsi="Cambria Math"/>
              </w:rPr>
              <m:t>μ</m:t>
            </m:r>
            <m:ctrlPr>
              <w:rPr>
                <w:rFonts w:ascii="Cambria Math" w:hAnsi="Cambria Math" w:eastAsia="Calibri"/>
                <w:sz w:val="22"/>
                <w:szCs w:val="22"/>
              </w:rPr>
            </m:ctrlPr>
          </m:sup>
        </m:sSubSup>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oMath>
      <w:ins w:id="0" w:author="Author">
        <w:r>
          <w:rPr>
            <w:rFonts w:hint="eastAsia" w:eastAsia="宋体"/>
            <w:lang w:eastAsia="zh-CN"/>
          </w:rPr>
          <w:t>,</w:t>
        </w:r>
      </w:ins>
      <w:ins w:id="1" w:author="Author">
        <w:r>
          <w:rPr>
            <w:rFonts w:eastAsia="宋体"/>
            <w:lang w:eastAsia="zh-CN"/>
          </w:rPr>
          <w:t xml:space="preserve"> if </w:t>
        </w:r>
      </w:ins>
      <m:oMath>
        <m:sSub>
          <m:sSubPr>
            <m:ctrlPr>
              <w:ins w:id="2" w:author="Author">
                <w:rPr>
                  <w:rFonts w:ascii="Cambria Math" w:hAnsi="Cambria Math"/>
                  <w:i/>
                </w:rPr>
              </w:ins>
            </m:ctrlPr>
          </m:sSubPr>
          <m:e>
            <w:ins w:id="3" w:author="Author">
              <m:r>
                <w:rPr>
                  <w:rFonts w:ascii="Cambria Math" w:hAnsi="Cambria Math"/>
                </w:rPr>
                <m:t>L</m:t>
              </m:r>
            </w:ins>
            <m:ctrlPr>
              <w:ins w:id="4" w:author="Author">
                <w:rPr>
                  <w:rFonts w:ascii="Cambria Math" w:hAnsi="Cambria Math"/>
                  <w:i/>
                </w:rPr>
              </w:ins>
            </m:ctrlPr>
          </m:e>
          <m:sub>
            <w:ins w:id="5" w:author="Author">
              <m:r>
                <m:rPr>
                  <m:nor/>
                  <m:sty m:val="p"/>
                </m:rPr>
                <w:rPr>
                  <w:rFonts w:ascii="Cambria Math" w:hAnsi="Cambria Math"/>
                </w:rPr>
                <m:t>RA</m:t>
              </m:r>
            </w:ins>
            <m:ctrlPr>
              <w:ins w:id="6" w:author="Author">
                <w:rPr>
                  <w:rFonts w:ascii="Cambria Math" w:hAnsi="Cambria Math"/>
                  <w:i/>
                </w:rPr>
              </w:ins>
            </m:ctrlPr>
          </m:sub>
        </m:sSub>
        <w:ins w:id="7" w:author="Author">
          <m:r>
            <w:rPr>
              <w:rFonts w:ascii="Cambria Math" w:hAnsi="Cambria Math"/>
            </w:rPr>
            <m:t>=839</m:t>
          </m:r>
        </w:ins>
      </m:oMath>
      <w:ins w:id="8" w:author="Author">
        <w:r>
          <w:rPr/>
          <w:t xml:space="preserve"> or </w:t>
        </w:r>
      </w:ins>
      <m:oMath>
        <w:ins w:id="9" w:author="Author">
          <m:r>
            <w:rPr>
              <w:rFonts w:ascii="Cambria Math" w:hAnsi="Cambria Math"/>
            </w:rPr>
            <m:t>139</m:t>
          </m:r>
        </w:ins>
        <m:r>
          <m:rPr>
            <m:sty m:val="p"/>
          </m:rPr>
          <w:rPr>
            <w:rFonts w:ascii="Cambria Math" w:hAnsi="Cambria Math"/>
          </w:rPr>
          <w:br w:type="textWrapping"/>
        </m:r>
      </m:oMath>
      <m:oMath>
        <m:sSub>
          <m:sSubPr>
            <m:ctrlPr>
              <w:ins w:id="10" w:author="Author">
                <w:rPr>
                  <w:rFonts w:ascii="Cambria Math" w:hAnsi="Cambria Math" w:eastAsia="Calibri"/>
                  <w:sz w:val="22"/>
                  <w:szCs w:val="22"/>
                </w:rPr>
              </w:ins>
            </m:ctrlPr>
          </m:sSubPr>
          <m:e>
            <w:ins w:id="11" w:author="Author">
              <m:r>
                <w:rPr>
                  <w:rFonts w:ascii="Cambria Math" w:hAnsi="Cambria Math"/>
                </w:rPr>
                <m:t>k</m:t>
              </m:r>
            </w:ins>
            <m:ctrlPr>
              <w:ins w:id="12" w:author="Author">
                <w:rPr>
                  <w:rFonts w:ascii="Cambria Math" w:hAnsi="Cambria Math" w:eastAsia="Calibri"/>
                  <w:sz w:val="22"/>
                  <w:szCs w:val="22"/>
                </w:rPr>
              </w:ins>
            </m:ctrlPr>
          </m:e>
          <m:sub>
            <w:ins w:id="13" w:author="Author">
              <m:r>
                <m:rPr>
                  <m:sty m:val="p"/>
                </m:rPr>
                <w:rPr>
                  <w:rFonts w:ascii="Cambria Math" w:hAnsi="Cambria Math"/>
                </w:rPr>
                <m:t>1</m:t>
              </m:r>
            </w:ins>
            <m:ctrlPr>
              <w:ins w:id="14" w:author="Author">
                <w:rPr>
                  <w:rFonts w:ascii="Cambria Math" w:hAnsi="Cambria Math" w:eastAsia="Calibri"/>
                  <w:sz w:val="22"/>
                  <w:szCs w:val="22"/>
                </w:rPr>
              </w:ins>
            </m:ctrlPr>
          </m:sub>
        </m:sSub>
        <w:ins w:id="15" w:author="Author">
          <m:r>
            <m:rPr>
              <m:sty m:val="p"/>
              <m:aln/>
            </m:rPr>
            <w:rPr>
              <w:rFonts w:ascii="Cambria Math" w:hAnsi="Cambria Math"/>
            </w:rPr>
            <m:t>=</m:t>
          </m:r>
        </w:ins>
        <m:sSubSup>
          <m:sSubSupPr>
            <m:ctrlPr>
              <w:ins w:id="16" w:author="Author">
                <w:rPr>
                  <w:rFonts w:ascii="Cambria Math" w:hAnsi="Cambria Math" w:eastAsia="Calibri"/>
                  <w:sz w:val="22"/>
                  <w:szCs w:val="22"/>
                </w:rPr>
              </w:ins>
            </m:ctrlPr>
          </m:sSubSupPr>
          <m:e>
            <w:ins w:id="17" w:author="Author">
              <m:r>
                <w:rPr>
                  <w:rFonts w:ascii="Cambria Math" w:hAnsi="Cambria Math"/>
                </w:rPr>
                <m:t>k</m:t>
              </m:r>
            </w:ins>
            <m:ctrlPr>
              <w:ins w:id="18" w:author="Author">
                <w:rPr>
                  <w:rFonts w:ascii="Cambria Math" w:hAnsi="Cambria Math" w:eastAsia="Calibri"/>
                  <w:sz w:val="22"/>
                  <w:szCs w:val="22"/>
                </w:rPr>
              </w:ins>
            </m:ctrlPr>
          </m:e>
          <m:sub>
            <w:ins w:id="19" w:author="Author">
              <m:r>
                <m:rPr>
                  <m:sty m:val="p"/>
                </m:rPr>
                <w:rPr>
                  <w:rFonts w:ascii="Cambria Math" w:hAnsi="Cambria Math"/>
                </w:rPr>
                <m:t>0</m:t>
              </m:r>
            </w:ins>
            <m:ctrlPr>
              <w:ins w:id="20" w:author="Author">
                <w:rPr>
                  <w:rFonts w:ascii="Cambria Math" w:hAnsi="Cambria Math" w:eastAsia="Calibri"/>
                  <w:sz w:val="22"/>
                  <w:szCs w:val="22"/>
                </w:rPr>
              </w:ins>
            </m:ctrlPr>
          </m:sub>
          <m:sup>
            <w:ins w:id="21" w:author="Author">
              <m:r>
                <w:rPr>
                  <w:rFonts w:ascii="Cambria Math" w:hAnsi="Cambria Math"/>
                </w:rPr>
                <m:t>μ</m:t>
              </m:r>
            </w:ins>
            <m:ctrlPr>
              <w:ins w:id="22" w:author="Author">
                <w:rPr>
                  <w:rFonts w:ascii="Cambria Math" w:hAnsi="Cambria Math" w:eastAsia="Calibri"/>
                  <w:sz w:val="22"/>
                  <w:szCs w:val="22"/>
                </w:rPr>
              </w:ins>
            </m:ctrlPr>
          </m:sup>
        </m:sSubSup>
        <w:ins w:id="23" w:author="Author">
          <m:r>
            <m:rPr>
              <m:sty m:val="p"/>
            </m:rPr>
            <w:rPr>
              <w:rFonts w:ascii="Cambria Math" w:hAnsi="Cambria Math"/>
            </w:rPr>
            <m:t>+</m:t>
          </m:r>
        </w:ins>
        <m:d>
          <m:dPr>
            <m:ctrlPr>
              <w:ins w:id="24" w:author="Author">
                <w:rPr>
                  <w:rFonts w:ascii="Cambria Math" w:hAnsi="Cambria Math" w:eastAsia="Calibri"/>
                  <w:sz w:val="22"/>
                  <w:szCs w:val="22"/>
                </w:rPr>
              </w:ins>
            </m:ctrlPr>
          </m:dPr>
          <m:e>
            <m:sSubSup>
              <m:sSubSupPr>
                <m:ctrlPr>
                  <w:ins w:id="25" w:author="Author">
                    <w:rPr>
                      <w:rFonts w:ascii="Cambria Math" w:hAnsi="Cambria Math" w:eastAsia="Calibri"/>
                      <w:sz w:val="22"/>
                      <w:szCs w:val="22"/>
                    </w:rPr>
                  </w:ins>
                </m:ctrlPr>
              </m:sSubSupPr>
              <m:e>
                <w:ins w:id="26" w:author="Author">
                  <m:r>
                    <w:rPr>
                      <w:rFonts w:ascii="Cambria Math" w:hAnsi="Cambria Math"/>
                    </w:rPr>
                    <m:t>N</m:t>
                  </m:r>
                </w:ins>
                <m:ctrlPr>
                  <w:ins w:id="27" w:author="Author">
                    <w:rPr>
                      <w:rFonts w:ascii="Cambria Math" w:hAnsi="Cambria Math" w:eastAsia="Calibri"/>
                      <w:sz w:val="22"/>
                      <w:szCs w:val="22"/>
                    </w:rPr>
                  </w:ins>
                </m:ctrlPr>
              </m:e>
              <m:sub>
                <w:ins w:id="28" w:author="Author">
                  <m:r>
                    <m:rPr>
                      <m:nor/>
                      <m:sty m:val="p"/>
                    </m:rPr>
                    <w:rPr/>
                    <m:t>BWP</m:t>
                  </m:r>
                </w:ins>
                <w:ins w:id="29" w:author="Author">
                  <m:r>
                    <m:rPr>
                      <m:sty m:val="p"/>
                    </m:rPr>
                    <w:rPr>
                      <w:rFonts w:ascii="Cambria Math" w:hAnsi="Cambria Math"/>
                    </w:rPr>
                    <m:t>,</m:t>
                  </m:r>
                </w:ins>
                <w:ins w:id="30" w:author="Author">
                  <m:r>
                    <w:rPr>
                      <w:rFonts w:ascii="Cambria Math" w:hAnsi="Cambria Math"/>
                    </w:rPr>
                    <m:t>i</m:t>
                  </m:r>
                </w:ins>
                <m:ctrlPr>
                  <w:ins w:id="31" w:author="Author">
                    <w:rPr>
                      <w:rFonts w:ascii="Cambria Math" w:hAnsi="Cambria Math" w:eastAsia="Calibri"/>
                      <w:sz w:val="22"/>
                      <w:szCs w:val="22"/>
                    </w:rPr>
                  </w:ins>
                </m:ctrlPr>
              </m:sub>
              <m:sup>
                <w:ins w:id="32" w:author="Author">
                  <m:r>
                    <m:rPr>
                      <m:nor/>
                      <m:sty m:val="p"/>
                    </m:rPr>
                    <w:rPr/>
                    <m:t>start</m:t>
                  </m:r>
                </w:ins>
                <m:ctrlPr>
                  <w:ins w:id="33" w:author="Author">
                    <w:rPr>
                      <w:rFonts w:ascii="Cambria Math" w:hAnsi="Cambria Math" w:eastAsia="Calibri"/>
                      <w:sz w:val="22"/>
                      <w:szCs w:val="22"/>
                    </w:rPr>
                  </w:ins>
                </m:ctrlPr>
              </m:sup>
            </m:sSubSup>
            <w:ins w:id="34" w:author="Author">
              <m:r>
                <m:rPr>
                  <m:sty m:val="p"/>
                </m:rPr>
                <w:rPr>
                  <w:rFonts w:ascii="Cambria Math" w:hAnsi="Cambria Math"/>
                </w:rPr>
                <m:t>-</m:t>
              </m:r>
            </w:ins>
            <m:sSubSup>
              <m:sSubSupPr>
                <m:ctrlPr>
                  <w:ins w:id="35" w:author="Author">
                    <w:rPr>
                      <w:rFonts w:ascii="Cambria Math" w:hAnsi="Cambria Math" w:eastAsia="Calibri"/>
                      <w:sz w:val="22"/>
                      <w:szCs w:val="22"/>
                    </w:rPr>
                  </w:ins>
                </m:ctrlPr>
              </m:sSubSupPr>
              <m:e>
                <w:ins w:id="36" w:author="Author">
                  <m:r>
                    <w:rPr>
                      <w:rFonts w:ascii="Cambria Math" w:hAnsi="Cambria Math"/>
                    </w:rPr>
                    <m:t>N</m:t>
                  </m:r>
                </w:ins>
                <m:ctrlPr>
                  <w:ins w:id="37" w:author="Author">
                    <w:rPr>
                      <w:rFonts w:ascii="Cambria Math" w:hAnsi="Cambria Math" w:eastAsia="Calibri"/>
                      <w:sz w:val="22"/>
                      <w:szCs w:val="22"/>
                    </w:rPr>
                  </w:ins>
                </m:ctrlPr>
              </m:e>
              <m:sub>
                <w:ins w:id="38" w:author="Author">
                  <m:r>
                    <m:rPr>
                      <m:nor/>
                      <m:sty m:val="p"/>
                    </m:rPr>
                    <w:rPr/>
                    <m:t>grid</m:t>
                  </m:r>
                </w:ins>
                <m:ctrlPr>
                  <w:ins w:id="39" w:author="Author">
                    <w:rPr>
                      <w:rFonts w:ascii="Cambria Math" w:hAnsi="Cambria Math" w:eastAsia="Calibri"/>
                      <w:sz w:val="22"/>
                      <w:szCs w:val="22"/>
                    </w:rPr>
                  </w:ins>
                </m:ctrlPr>
              </m:sub>
              <m:sup>
                <w:ins w:id="40" w:author="Author">
                  <m:r>
                    <m:rPr>
                      <m:nor/>
                      <m:sty m:val="p"/>
                    </m:rPr>
                    <w:rPr/>
                    <m:t>start,</m:t>
                  </m:r>
                </w:ins>
                <w:ins w:id="41" w:author="Author">
                  <m:r>
                    <w:rPr>
                      <w:rFonts w:ascii="Cambria Math" w:hAnsi="Cambria Math"/>
                    </w:rPr>
                    <m:t>μ</m:t>
                  </m:r>
                </w:ins>
                <m:ctrlPr>
                  <w:ins w:id="42" w:author="Author">
                    <w:rPr>
                      <w:rFonts w:ascii="Cambria Math" w:hAnsi="Cambria Math" w:eastAsia="Calibri"/>
                      <w:sz w:val="22"/>
                      <w:szCs w:val="22"/>
                    </w:rPr>
                  </w:ins>
                </m:ctrlPr>
              </m:sup>
            </m:sSubSup>
            <m:ctrlPr>
              <w:ins w:id="43" w:author="Author">
                <w:rPr>
                  <w:rFonts w:ascii="Cambria Math" w:hAnsi="Cambria Math" w:eastAsia="Calibri"/>
                  <w:sz w:val="22"/>
                  <w:szCs w:val="22"/>
                </w:rPr>
              </w:ins>
            </m:ctrlPr>
          </m:e>
        </m:d>
        <m:sSubSup>
          <m:sSubSupPr>
            <m:ctrlPr>
              <w:ins w:id="44" w:author="Author">
                <w:rPr>
                  <w:rFonts w:ascii="Cambria Math" w:hAnsi="Cambria Math" w:eastAsia="Calibri"/>
                  <w:sz w:val="22"/>
                  <w:szCs w:val="22"/>
                </w:rPr>
              </w:ins>
            </m:ctrlPr>
          </m:sSubSupPr>
          <m:e>
            <w:ins w:id="45" w:author="Author">
              <m:r>
                <w:rPr>
                  <w:rFonts w:ascii="Cambria Math" w:hAnsi="Cambria Math"/>
                </w:rPr>
                <m:t>N</m:t>
              </m:r>
            </w:ins>
            <m:ctrlPr>
              <w:ins w:id="46" w:author="Author">
                <w:rPr>
                  <w:rFonts w:ascii="Cambria Math" w:hAnsi="Cambria Math" w:eastAsia="Calibri"/>
                  <w:sz w:val="22"/>
                  <w:szCs w:val="22"/>
                </w:rPr>
              </w:ins>
            </m:ctrlPr>
          </m:e>
          <m:sub>
            <w:ins w:id="47" w:author="Author">
              <m:r>
                <m:rPr>
                  <m:nor/>
                  <m:sty m:val="p"/>
                </m:rPr>
                <w:rPr/>
                <m:t>sc</m:t>
              </m:r>
            </w:ins>
            <m:ctrlPr>
              <w:ins w:id="48" w:author="Author">
                <w:rPr>
                  <w:rFonts w:ascii="Cambria Math" w:hAnsi="Cambria Math" w:eastAsia="Calibri"/>
                  <w:sz w:val="22"/>
                  <w:szCs w:val="22"/>
                </w:rPr>
              </w:ins>
            </m:ctrlPr>
          </m:sub>
          <m:sup>
            <w:ins w:id="49" w:author="Author">
              <m:r>
                <m:rPr>
                  <m:nor/>
                  <m:sty m:val="p"/>
                </m:rPr>
                <w:rPr/>
                <m:t>RB</m:t>
              </m:r>
            </w:ins>
            <m:ctrlPr>
              <w:ins w:id="50" w:author="Author">
                <w:rPr>
                  <w:rFonts w:ascii="Cambria Math" w:hAnsi="Cambria Math" w:eastAsia="Calibri"/>
                  <w:sz w:val="22"/>
                  <w:szCs w:val="22"/>
                </w:rPr>
              </w:ins>
            </m:ctrlPr>
          </m:sup>
        </m:sSubSup>
        <w:ins w:id="51" w:author="Author">
          <m:r>
            <m:rPr>
              <m:sty m:val="p"/>
            </m:rPr>
            <w:rPr>
              <w:rFonts w:ascii="Cambria Math" w:hAnsi="Cambria Math"/>
            </w:rPr>
            <m:t>+</m:t>
          </m:r>
        </w:ins>
        <m:sSubSup>
          <m:sSubSupPr>
            <m:ctrlPr>
              <w:ins w:id="52" w:author="Author">
                <w:rPr>
                  <w:rFonts w:ascii="Cambria Math" w:hAnsi="Cambria Math" w:eastAsia="Calibri"/>
                  <w:sz w:val="22"/>
                  <w:szCs w:val="22"/>
                </w:rPr>
              </w:ins>
            </m:ctrlPr>
          </m:sSubSupPr>
          <m:e>
            <w:ins w:id="53" w:author="Author">
              <m:r>
                <w:rPr>
                  <w:rFonts w:ascii="Cambria Math" w:hAnsi="Cambria Math"/>
                </w:rPr>
                <m:t>n</m:t>
              </m:r>
            </w:ins>
            <m:ctrlPr>
              <w:ins w:id="54" w:author="Author">
                <w:rPr>
                  <w:rFonts w:ascii="Cambria Math" w:hAnsi="Cambria Math" w:eastAsia="Calibri"/>
                  <w:sz w:val="22"/>
                  <w:szCs w:val="22"/>
                </w:rPr>
              </w:ins>
            </m:ctrlPr>
          </m:e>
          <m:sub>
            <w:ins w:id="55" w:author="Author">
              <m:r>
                <m:rPr>
                  <m:nor/>
                  <m:sty m:val="p"/>
                </m:rPr>
                <w:rPr/>
                <m:t>RA</m:t>
              </m:r>
            </w:ins>
            <m:ctrlPr>
              <w:ins w:id="56" w:author="Author">
                <w:rPr>
                  <w:rFonts w:ascii="Cambria Math" w:hAnsi="Cambria Math" w:eastAsia="Calibri"/>
                  <w:sz w:val="22"/>
                  <w:szCs w:val="22"/>
                </w:rPr>
              </w:ins>
            </m:ctrlPr>
          </m:sub>
          <m:sup>
            <w:ins w:id="57" w:author="Author">
              <m:r>
                <m:rPr>
                  <m:nor/>
                  <m:sty m:val="p"/>
                </m:rPr>
                <w:rPr/>
                <m:t>start</m:t>
              </m:r>
            </w:ins>
            <m:ctrlPr>
              <w:ins w:id="58" w:author="Author">
                <w:rPr>
                  <w:rFonts w:ascii="Cambria Math" w:hAnsi="Cambria Math" w:eastAsia="Calibri"/>
                  <w:sz w:val="22"/>
                  <w:szCs w:val="22"/>
                </w:rPr>
              </w:ins>
            </m:ctrlPr>
          </m:sup>
        </m:sSubSup>
        <m:sSubSup>
          <m:sSubSupPr>
            <m:ctrlPr>
              <w:ins w:id="59" w:author="Author">
                <w:rPr>
                  <w:rFonts w:ascii="Cambria Math" w:hAnsi="Cambria Math" w:eastAsia="Calibri"/>
                  <w:sz w:val="22"/>
                  <w:szCs w:val="22"/>
                </w:rPr>
              </w:ins>
            </m:ctrlPr>
          </m:sSubSupPr>
          <m:e>
            <w:ins w:id="60" w:author="Author">
              <m:r>
                <w:rPr>
                  <w:rFonts w:ascii="Cambria Math" w:hAnsi="Cambria Math"/>
                </w:rPr>
                <m:t>N</m:t>
              </m:r>
            </w:ins>
            <m:ctrlPr>
              <w:ins w:id="61" w:author="Author">
                <w:rPr>
                  <w:rFonts w:ascii="Cambria Math" w:hAnsi="Cambria Math" w:eastAsia="Calibri"/>
                  <w:sz w:val="22"/>
                  <w:szCs w:val="22"/>
                </w:rPr>
              </w:ins>
            </m:ctrlPr>
          </m:e>
          <m:sub>
            <w:ins w:id="62" w:author="Author">
              <m:r>
                <m:rPr>
                  <m:nor/>
                  <m:sty m:val="p"/>
                </m:rPr>
                <w:rPr/>
                <m:t>sc</m:t>
              </m:r>
            </w:ins>
            <m:ctrlPr>
              <w:ins w:id="63" w:author="Author">
                <w:rPr>
                  <w:rFonts w:ascii="Cambria Math" w:hAnsi="Cambria Math" w:eastAsia="Calibri"/>
                  <w:sz w:val="22"/>
                  <w:szCs w:val="22"/>
                </w:rPr>
              </w:ins>
            </m:ctrlPr>
          </m:sub>
          <m:sup>
            <w:ins w:id="64" w:author="Author">
              <m:r>
                <m:rPr>
                  <m:nor/>
                  <m:sty m:val="p"/>
                </m:rPr>
                <w:rPr/>
                <m:t>RB</m:t>
              </m:r>
            </w:ins>
            <m:ctrlPr>
              <w:ins w:id="65" w:author="Author">
                <w:rPr>
                  <w:rFonts w:ascii="Cambria Math" w:hAnsi="Cambria Math" w:eastAsia="Calibri"/>
                  <w:sz w:val="22"/>
                  <w:szCs w:val="22"/>
                </w:rPr>
              </w:ins>
            </m:ctrlPr>
          </m:sup>
        </m:sSubSup>
        <w:ins w:id="66" w:author="Author">
          <m:r>
            <m:rPr>
              <m:sty m:val="p"/>
            </m:rPr>
            <w:rPr>
              <w:rFonts w:ascii="Cambria Math" w:hAnsi="Cambria Math"/>
            </w:rPr>
            <m:t>+</m:t>
          </m:r>
        </w:ins>
        <w:ins w:id="67" w:author="Author">
          <m:r>
            <w:rPr>
              <w:rFonts w:ascii="Cambria Math" w:hAnsi="Cambria Math"/>
            </w:rPr>
            <m:t>R</m:t>
          </m:r>
        </w:ins>
        <m:sSubSup>
          <m:sSubSupPr>
            <m:ctrlPr>
              <w:ins w:id="68" w:author="Author">
                <w:rPr>
                  <w:rFonts w:ascii="Cambria Math" w:hAnsi="Cambria Math"/>
                  <w:i/>
                </w:rPr>
              </w:ins>
            </m:ctrlPr>
          </m:sSubSupPr>
          <m:e>
            <w:ins w:id="69" w:author="Author">
              <m:r>
                <w:rPr>
                  <w:rFonts w:ascii="Cambria Math" w:hAnsi="Cambria Math"/>
                </w:rPr>
                <m:t>B</m:t>
              </m:r>
            </w:ins>
            <m:ctrlPr>
              <w:ins w:id="70" w:author="Author">
                <w:rPr>
                  <w:rFonts w:ascii="Cambria Math" w:hAnsi="Cambria Math"/>
                  <w:i/>
                </w:rPr>
              </w:ins>
            </m:ctrlPr>
          </m:e>
          <m:sub>
            <w:ins w:id="71" w:author="Author">
              <m:r>
                <w:rPr>
                  <w:rFonts w:ascii="Cambria Math" w:hAnsi="Cambria Math"/>
                </w:rPr>
                <m:t xml:space="preserve"> n</m:t>
              </m:r>
            </w:ins>
            <w:ins w:id="72" w:author="Author">
              <m:r>
                <m:rPr>
                  <m:nor/>
                  <m:sty m:val="p"/>
                </m:rPr>
                <w:rPr/>
                <m:t>RA</m:t>
              </m:r>
            </w:ins>
            <w:ins w:id="73" w:author="Author">
              <m:r>
                <w:rPr>
                  <w:rFonts w:ascii="Cambria Math" w:hAnsi="Cambria Math"/>
                </w:rPr>
                <m:t>,DL</m:t>
              </m:r>
            </w:ins>
            <m:ctrlPr>
              <w:ins w:id="74" w:author="Author">
                <w:rPr>
                  <w:rFonts w:ascii="Cambria Math" w:hAnsi="Cambria Math"/>
                  <w:i/>
                </w:rPr>
              </w:ins>
            </m:ctrlPr>
          </m:sub>
          <m:sup>
            <w:ins w:id="75" w:author="Author">
              <m:r>
                <w:rPr>
                  <w:rFonts w:ascii="Cambria Math" w:hAnsi="Cambria Math"/>
                </w:rPr>
                <m:t>start,μ</m:t>
              </m:r>
            </w:ins>
            <m:ctrlPr>
              <w:ins w:id="76" w:author="Author">
                <w:rPr>
                  <w:rFonts w:ascii="Cambria Math" w:hAnsi="Cambria Math"/>
                  <w:i/>
                </w:rPr>
              </w:ins>
            </m:ctrlPr>
          </m:sup>
        </m:sSubSup>
        <m:sSubSup>
          <m:sSubSupPr>
            <m:ctrlPr>
              <w:ins w:id="77" w:author="Author">
                <w:rPr>
                  <w:rFonts w:ascii="Cambria Math" w:hAnsi="Cambria Math" w:eastAsia="Calibri"/>
                  <w:sz w:val="22"/>
                  <w:szCs w:val="22"/>
                </w:rPr>
              </w:ins>
            </m:ctrlPr>
          </m:sSubSupPr>
          <m:e>
            <w:ins w:id="78" w:author="Author">
              <m:r>
                <w:rPr>
                  <w:rFonts w:ascii="Cambria Math" w:hAnsi="Cambria Math"/>
                </w:rPr>
                <m:t>N</m:t>
              </m:r>
            </w:ins>
            <m:ctrlPr>
              <w:ins w:id="79" w:author="Author">
                <w:rPr>
                  <w:rFonts w:ascii="Cambria Math" w:hAnsi="Cambria Math" w:eastAsia="Calibri"/>
                  <w:sz w:val="22"/>
                  <w:szCs w:val="22"/>
                </w:rPr>
              </w:ins>
            </m:ctrlPr>
          </m:e>
          <m:sub>
            <w:ins w:id="80" w:author="Author">
              <m:r>
                <m:rPr>
                  <m:nor/>
                  <m:sty m:val="p"/>
                </m:rPr>
                <w:rPr/>
                <m:t>sc</m:t>
              </m:r>
            </w:ins>
            <m:ctrlPr>
              <w:ins w:id="81" w:author="Author">
                <w:rPr>
                  <w:rFonts w:ascii="Cambria Math" w:hAnsi="Cambria Math" w:eastAsia="Calibri"/>
                  <w:sz w:val="22"/>
                  <w:szCs w:val="22"/>
                </w:rPr>
              </w:ins>
            </m:ctrlPr>
          </m:sub>
          <m:sup>
            <w:ins w:id="82" w:author="Author">
              <m:r>
                <m:rPr>
                  <m:nor/>
                  <m:sty m:val="p"/>
                </m:rPr>
                <w:rPr/>
                <m:t>RB</m:t>
              </m:r>
            </w:ins>
            <m:ctrlPr>
              <w:ins w:id="83" w:author="Author">
                <w:rPr>
                  <w:rFonts w:ascii="Cambria Math" w:hAnsi="Cambria Math" w:eastAsia="Calibri"/>
                  <w:sz w:val="22"/>
                  <w:szCs w:val="22"/>
                </w:rPr>
              </w:ins>
            </m:ctrlPr>
          </m:sup>
        </m:sSubSup>
        <w:ins w:id="84" w:author="Author">
          <m:r>
            <m:rPr>
              <m:sty m:val="p"/>
            </m:rPr>
            <w:rPr>
              <w:rFonts w:ascii="Cambria Math" w:hAnsi="Cambria Math"/>
            </w:rPr>
            <m:t>-</m:t>
          </m:r>
        </w:ins>
        <m:sSubSup>
          <m:sSubSupPr>
            <m:ctrlPr>
              <w:ins w:id="85" w:author="Author">
                <w:rPr>
                  <w:rFonts w:ascii="Cambria Math" w:hAnsi="Cambria Math" w:eastAsia="Calibri"/>
                  <w:sz w:val="22"/>
                  <w:szCs w:val="22"/>
                </w:rPr>
              </w:ins>
            </m:ctrlPr>
          </m:sSubSupPr>
          <m:e>
            <w:ins w:id="86" w:author="Author">
              <m:r>
                <w:rPr>
                  <w:rFonts w:ascii="Cambria Math" w:hAnsi="Cambria Math"/>
                </w:rPr>
                <m:t>N</m:t>
              </m:r>
            </w:ins>
            <m:ctrlPr>
              <w:ins w:id="87" w:author="Author">
                <w:rPr>
                  <w:rFonts w:ascii="Cambria Math" w:hAnsi="Cambria Math" w:eastAsia="Calibri"/>
                  <w:sz w:val="22"/>
                  <w:szCs w:val="22"/>
                </w:rPr>
              </w:ins>
            </m:ctrlPr>
          </m:e>
          <m:sub>
            <w:ins w:id="88" w:author="Author">
              <m:r>
                <m:rPr>
                  <m:nor/>
                  <m:sty m:val="p"/>
                </m:rPr>
                <w:rPr/>
                <m:t>grid</m:t>
              </m:r>
            </w:ins>
            <m:ctrlPr>
              <w:ins w:id="89" w:author="Author">
                <w:rPr>
                  <w:rFonts w:ascii="Cambria Math" w:hAnsi="Cambria Math" w:eastAsia="Calibri"/>
                  <w:sz w:val="22"/>
                  <w:szCs w:val="22"/>
                </w:rPr>
              </w:ins>
            </m:ctrlPr>
          </m:sub>
          <m:sup>
            <w:ins w:id="90" w:author="Author">
              <m:r>
                <m:rPr>
                  <m:nor/>
                  <m:sty m:val="p"/>
                </m:rPr>
                <w:rPr/>
                <m:t>size,</m:t>
              </m:r>
            </w:ins>
            <w:ins w:id="91" w:author="Author">
              <m:r>
                <w:rPr>
                  <w:rFonts w:ascii="Cambria Math" w:hAnsi="Cambria Math"/>
                </w:rPr>
                <m:t>μ</m:t>
              </m:r>
            </w:ins>
            <m:ctrlPr>
              <w:ins w:id="92" w:author="Author">
                <w:rPr>
                  <w:rFonts w:ascii="Cambria Math" w:hAnsi="Cambria Math" w:eastAsia="Calibri"/>
                  <w:sz w:val="22"/>
                  <w:szCs w:val="22"/>
                </w:rPr>
              </w:ins>
            </m:ctrlPr>
          </m:sup>
        </m:sSubSup>
        <m:f>
          <m:fPr>
            <m:type m:val="lin"/>
            <m:ctrlPr>
              <w:ins w:id="93" w:author="Author">
                <w:rPr>
                  <w:rFonts w:ascii="Cambria Math" w:hAnsi="Cambria Math" w:eastAsia="Calibri"/>
                  <w:sz w:val="22"/>
                  <w:szCs w:val="22"/>
                </w:rPr>
              </w:ins>
            </m:ctrlPr>
          </m:fPr>
          <m:num>
            <m:sSubSup>
              <m:sSubSupPr>
                <m:ctrlPr>
                  <w:ins w:id="94" w:author="Author">
                    <w:rPr>
                      <w:rFonts w:ascii="Cambria Math" w:hAnsi="Cambria Math" w:eastAsia="Calibri"/>
                      <w:sz w:val="22"/>
                      <w:szCs w:val="22"/>
                    </w:rPr>
                  </w:ins>
                </m:ctrlPr>
              </m:sSubSupPr>
              <m:e>
                <w:ins w:id="95" w:author="Author">
                  <m:r>
                    <w:rPr>
                      <w:rFonts w:ascii="Cambria Math" w:hAnsi="Cambria Math"/>
                    </w:rPr>
                    <m:t>N</m:t>
                  </m:r>
                </w:ins>
                <m:ctrlPr>
                  <w:ins w:id="96" w:author="Author">
                    <w:rPr>
                      <w:rFonts w:ascii="Cambria Math" w:hAnsi="Cambria Math" w:eastAsia="Calibri"/>
                      <w:sz w:val="22"/>
                      <w:szCs w:val="22"/>
                    </w:rPr>
                  </w:ins>
                </m:ctrlPr>
              </m:e>
              <m:sub>
                <w:ins w:id="97" w:author="Author">
                  <m:r>
                    <m:rPr>
                      <m:nor/>
                      <m:sty m:val="p"/>
                    </m:rPr>
                    <w:rPr/>
                    <m:t>sc</m:t>
                  </m:r>
                </w:ins>
                <m:ctrlPr>
                  <w:ins w:id="98" w:author="Author">
                    <w:rPr>
                      <w:rFonts w:ascii="Cambria Math" w:hAnsi="Cambria Math" w:eastAsia="Calibri"/>
                      <w:sz w:val="22"/>
                      <w:szCs w:val="22"/>
                    </w:rPr>
                  </w:ins>
                </m:ctrlPr>
              </m:sub>
              <m:sup>
                <w:ins w:id="99" w:author="Author">
                  <m:r>
                    <m:rPr>
                      <m:nor/>
                      <m:sty m:val="p"/>
                    </m:rPr>
                    <w:rPr/>
                    <m:t>RB</m:t>
                  </m:r>
                </w:ins>
                <m:ctrlPr>
                  <w:ins w:id="100" w:author="Author">
                    <w:rPr>
                      <w:rFonts w:ascii="Cambria Math" w:hAnsi="Cambria Math" w:eastAsia="Calibri"/>
                      <w:sz w:val="22"/>
                      <w:szCs w:val="22"/>
                    </w:rPr>
                  </w:ins>
                </m:ctrlPr>
              </m:sup>
            </m:sSubSup>
            <m:ctrlPr>
              <w:ins w:id="101" w:author="Author">
                <w:rPr>
                  <w:rFonts w:ascii="Cambria Math" w:hAnsi="Cambria Math" w:eastAsia="Calibri"/>
                  <w:sz w:val="22"/>
                  <w:szCs w:val="22"/>
                </w:rPr>
              </w:ins>
            </m:ctrlPr>
          </m:num>
          <m:den>
            <w:ins w:id="102" w:author="Author">
              <m:r>
                <m:rPr>
                  <m:sty m:val="p"/>
                </m:rPr>
                <w:rPr>
                  <w:rFonts w:ascii="Cambria Math" w:hAnsi="Cambria Math"/>
                </w:rPr>
                <m:t>2</m:t>
              </m:r>
            </w:ins>
            <m:ctrlPr>
              <w:ins w:id="103" w:author="Author">
                <w:rPr>
                  <w:rFonts w:ascii="Cambria Math" w:hAnsi="Cambria Math" w:eastAsia="Calibri"/>
                  <w:sz w:val="22"/>
                  <w:szCs w:val="22"/>
                </w:rPr>
              </w:ins>
            </m:ctrlPr>
          </m:den>
        </m:f>
      </m:oMath>
      <w:ins w:id="104" w:author="Author">
        <w:r>
          <w:rPr>
            <w:rFonts w:hint="eastAsia" w:eastAsia="宋体"/>
            <w:lang w:eastAsia="zh-CN"/>
          </w:rPr>
          <w:t xml:space="preserve">, </w:t>
        </w:r>
      </w:ins>
      <w:ins w:id="105" w:author="Author">
        <w:r>
          <w:rPr>
            <w:rFonts w:eastAsia="宋体"/>
            <w:lang w:eastAsia="zh-CN"/>
          </w:rPr>
          <w:t xml:space="preserve">if </w:t>
        </w:r>
      </w:ins>
      <m:oMath>
        <m:sSub>
          <m:sSubPr>
            <m:ctrlPr>
              <w:ins w:id="106" w:author="Author">
                <w:rPr>
                  <w:rFonts w:ascii="Cambria Math" w:hAnsi="Cambria Math"/>
                  <w:i/>
                </w:rPr>
              </w:ins>
            </m:ctrlPr>
          </m:sSubPr>
          <m:e>
            <w:ins w:id="107" w:author="Author">
              <m:r>
                <w:rPr>
                  <w:rFonts w:ascii="Cambria Math" w:hAnsi="Cambria Math"/>
                </w:rPr>
                <m:t>L</m:t>
              </m:r>
            </w:ins>
            <m:ctrlPr>
              <w:ins w:id="108" w:author="Author">
                <w:rPr>
                  <w:rFonts w:ascii="Cambria Math" w:hAnsi="Cambria Math"/>
                  <w:i/>
                </w:rPr>
              </w:ins>
            </m:ctrlPr>
          </m:e>
          <m:sub>
            <w:ins w:id="109" w:author="Author">
              <m:r>
                <m:rPr>
                  <m:nor/>
                  <m:sty m:val="p"/>
                </m:rPr>
                <w:rPr>
                  <w:rFonts w:ascii="Cambria Math" w:hAnsi="Cambria Math"/>
                </w:rPr>
                <m:t>RA</m:t>
              </m:r>
            </w:ins>
            <m:ctrlPr>
              <w:ins w:id="110" w:author="Author">
                <w:rPr>
                  <w:rFonts w:ascii="Cambria Math" w:hAnsi="Cambria Math"/>
                  <w:i/>
                </w:rPr>
              </w:ins>
            </m:ctrlPr>
          </m:sub>
        </m:sSub>
        <w:ins w:id="111" w:author="Author">
          <m:r>
            <w:rPr>
              <w:rFonts w:ascii="Cambria Math" w:hAnsi="Cambria Math"/>
            </w:rPr>
            <m:t>=1151</m:t>
          </m:r>
        </w:ins>
      </m:oMath>
      <w:ins w:id="112" w:author="Author">
        <w:r>
          <w:rPr/>
          <w:t xml:space="preserve"> or </w:t>
        </w:r>
      </w:ins>
      <m:oMath>
        <w:ins w:id="113" w:author="Author">
          <m:r>
            <w:rPr>
              <w:rFonts w:ascii="Cambria Math" w:hAnsi="Cambria Math"/>
            </w:rPr>
            <m:t>571</m:t>
          </m:r>
        </w:ins>
        <m:r>
          <m:rPr>
            <m:sty m:val="p"/>
          </m:rPr>
          <w:rPr>
            <w:rFonts w:ascii="Cambria Math" w:hAnsi="Cambria Math"/>
          </w:rPr>
          <w:br w:type="textWrapping"/>
        </m:r>
      </m:oMath>
      <m:oMathPara>
        <m:oMath>
          <m:sSubSup>
            <m:sSubSupPr>
              <m:ctrlPr>
                <w:rPr>
                  <w:rFonts w:ascii="Cambria Math" w:hAnsi="Cambria Math" w:eastAsia="Calibri"/>
                  <w:sz w:val="22"/>
                  <w:szCs w:val="22"/>
                </w:rPr>
              </m:ctrlPr>
            </m:sSubSupPr>
            <m:e>
              <m:r>
                <w:rPr>
                  <w:rFonts w:ascii="Cambria Math" w:hAnsi="Cambria Math"/>
                </w:rPr>
                <m:t>k</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up>
              <m:r>
                <w:rPr>
                  <w:rFonts w:ascii="Cambria Math" w:hAnsi="Cambria Math"/>
                </w:rPr>
                <m:t>μ</m:t>
              </m:r>
              <m:ctrlPr>
                <w:rPr>
                  <w:rFonts w:ascii="Cambria Math" w:hAnsi="Cambria Math" w:eastAsia="Calibri"/>
                  <w:sz w:val="22"/>
                  <w:szCs w:val="22"/>
                </w:rPr>
              </m:ctrlP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r>
                    <w:rPr>
                      <w:rFonts w:ascii="Cambria Math" w:hAnsi="Cambria Math"/>
                    </w:rPr>
                    <m:t>μ</m:t>
                  </m:r>
                  <m:ctrlPr>
                    <w:rPr>
                      <w:rFonts w:ascii="Cambria Math" w:hAnsi="Cambria Math" w:eastAsia="Calibri"/>
                      <w:sz w:val="22"/>
                      <w:szCs w:val="22"/>
                    </w:rPr>
                  </m:ctrlPr>
                </m:sup>
              </m:sSubSup>
              <m:r>
                <m:rPr>
                  <m:sty m:val="p"/>
                </m:rPr>
                <w:rPr>
                  <w:rFonts w:ascii="Cambria Math" w:hAnsi="Cambria Math"/>
                </w:rPr>
                <m:t>+</m:t>
              </m:r>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r>
                        <w:rPr>
                          <w:rFonts w:ascii="Cambria Math" w:hAnsi="Cambria Math"/>
                        </w:rPr>
                        <m:t>μ</m:t>
                      </m:r>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ctrlPr>
                <w:rPr>
                  <w:rFonts w:ascii="Cambria Math" w:hAnsi="Cambria Math"/>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r>
            <m:rPr>
              <m:sty m:val="p"/>
            </m:rPr>
            <w:rPr>
              <w:rFonts w:ascii="Cambria Math" w:hAnsi="Cambria Math"/>
            </w:rPr>
            <m:t>-</m:t>
          </m:r>
          <m:d>
            <m:dPr>
              <m:ctrlPr>
                <w:rPr>
                  <w:rFonts w:ascii="Cambria Math" w:hAnsi="Cambria Math" w:eastAsia="Calibri"/>
                  <w:sz w:val="22"/>
                  <w:szCs w:val="22"/>
                </w:rPr>
              </m:ctrlPr>
            </m:dPr>
            <m:e>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start,</m:t>
                  </m:r>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ctrlPr>
                    <w:rPr>
                      <w:rFonts w:ascii="Cambria Math" w:hAnsi="Cambria Math" w:eastAsia="Calibri"/>
                      <w:sz w:val="22"/>
                      <w:szCs w:val="22"/>
                    </w:rPr>
                  </m:ctrlPr>
                </m:sup>
              </m:sSubSup>
              <m:r>
                <m:rPr>
                  <m:sty m:val="p"/>
                </m:rPr>
                <w:rPr>
                  <w:rFonts w:ascii="Cambria Math" w:hAnsi="Cambria Math"/>
                </w:rPr>
                <m:t>+</m:t>
              </m:r>
              <m:f>
                <m:fPr>
                  <m:type m:val="lin"/>
                  <m:ctrlPr>
                    <w:rPr>
                      <w:rFonts w:ascii="Cambria Math" w:hAnsi="Cambria Math" w:eastAsia="Calibri"/>
                      <w:sz w:val="22"/>
                      <w:szCs w:val="22"/>
                    </w:rPr>
                  </m:ctrlPr>
                </m:fPr>
                <m:num>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grid</m:t>
                      </m:r>
                      <m:ctrlPr>
                        <w:rPr>
                          <w:rFonts w:ascii="Cambria Math" w:hAnsi="Cambria Math" w:eastAsia="Calibri"/>
                          <w:sz w:val="22"/>
                          <w:szCs w:val="22"/>
                        </w:rPr>
                      </m:ctrlPr>
                    </m:sub>
                    <m:sup>
                      <m:r>
                        <m:rPr>
                          <m:nor/>
                          <m:sty m:val="p"/>
                        </m:rPr>
                        <m:t>size,</m:t>
                      </m:r>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ctrlPr>
                        <w:rPr>
                          <w:rFonts w:ascii="Cambria Math" w:hAnsi="Cambria Math" w:eastAsia="Calibri"/>
                          <w:sz w:val="22"/>
                          <w:szCs w:val="22"/>
                        </w:rPr>
                      </m:ctrlPr>
                    </m:sup>
                  </m:sSubSup>
                  <m:ctrlPr>
                    <w:rPr>
                      <w:rFonts w:ascii="Cambria Math" w:hAnsi="Cambria Math" w:eastAsia="Calibri"/>
                      <w:sz w:val="22"/>
                      <w:szCs w:val="22"/>
                    </w:rPr>
                  </m:ctrlPr>
                </m:num>
                <m:den>
                  <m:r>
                    <m:rPr>
                      <m:sty m:val="p"/>
                    </m:rPr>
                    <w:rPr>
                      <w:rFonts w:ascii="Cambria Math" w:hAnsi="Cambria Math"/>
                    </w:rPr>
                    <m:t>2</m:t>
                  </m:r>
                  <m:ctrlPr>
                    <w:rPr>
                      <w:rFonts w:ascii="Cambria Math" w:hAnsi="Cambria Math" w:eastAsia="Calibri"/>
                      <w:sz w:val="22"/>
                      <w:szCs w:val="22"/>
                    </w:rPr>
                  </m:ctrlPr>
                </m:den>
              </m:f>
              <m:ctrlPr>
                <w:rPr>
                  <w:rFonts w:ascii="Cambria Math" w:hAnsi="Cambria Math" w:eastAsia="Calibri"/>
                  <w:sz w:val="22"/>
                  <w:szCs w:val="22"/>
                </w:rPr>
              </m:ctrlPr>
            </m:e>
          </m:d>
          <m:sSubSup>
            <m:sSubSupPr>
              <m:ctrlPr>
                <w:rPr>
                  <w:rFonts w:ascii="Cambria Math" w:hAnsi="Cambria Math" w:eastAsia="Calibri"/>
                  <w:sz w:val="22"/>
                  <w:szCs w:val="22"/>
                </w:rPr>
              </m:ctrlPr>
            </m:sSubSupPr>
            <m:e>
              <m:r>
                <w:rPr>
                  <w:rFonts w:ascii="Cambria Math" w:hAnsi="Cambria Math"/>
                </w:rPr>
                <m:t>N</m:t>
              </m:r>
              <m:ctrlPr>
                <w:rPr>
                  <w:rFonts w:ascii="Cambria Math" w:hAnsi="Cambria Math" w:eastAsia="Calibri"/>
                  <w:sz w:val="22"/>
                  <w:szCs w:val="22"/>
                </w:rPr>
              </m:ctrlPr>
            </m:e>
            <m:sub>
              <m:r>
                <m:rPr>
                  <m:nor/>
                  <m:sty m:val="p"/>
                </m:rPr>
                <m:t>sc</m:t>
              </m:r>
              <m:ctrlPr>
                <w:rPr>
                  <w:rFonts w:ascii="Cambria Math" w:hAnsi="Cambria Math" w:eastAsia="Calibri"/>
                  <w:sz w:val="22"/>
                  <w:szCs w:val="22"/>
                </w:rPr>
              </m:ctrlPr>
            </m:sub>
            <m:sup>
              <m:r>
                <m:rPr>
                  <m:nor/>
                  <m:sty m:val="p"/>
                </m:rPr>
                <m:t>RB</m:t>
              </m:r>
              <m:ctrlPr>
                <w:rPr>
                  <w:rFonts w:ascii="Cambria Math" w:hAnsi="Cambria Math" w:eastAsia="Calibri"/>
                  <w:sz w:val="22"/>
                  <w:szCs w:val="22"/>
                </w:rPr>
              </m:ctrlPr>
            </m:sup>
          </m:sSubSup>
          <m:sSup>
            <m:sSupPr>
              <m:ctrlPr>
                <w:rPr>
                  <w:rFonts w:ascii="Cambria Math" w:hAnsi="Cambria Math" w:eastAsia="Calibri"/>
                  <w:sz w:val="22"/>
                  <w:szCs w:val="22"/>
                </w:rPr>
              </m:ctrlPr>
            </m:sSupPr>
            <m:e>
              <m:r>
                <m:rPr>
                  <m:sty m:val="p"/>
                </m:rPr>
                <w:rPr>
                  <w:rFonts w:ascii="Cambria Math" w:hAnsi="Cambria Math"/>
                </w:rPr>
                <m:t>2</m:t>
              </m:r>
              <m:ctrlPr>
                <w:rPr>
                  <w:rFonts w:ascii="Cambria Math" w:hAnsi="Cambria Math" w:eastAsia="Calibri"/>
                  <w:sz w:val="22"/>
                  <w:szCs w:val="22"/>
                </w:rPr>
              </m:ctrlPr>
            </m:e>
            <m:sup>
              <m:sSub>
                <m:sSubPr>
                  <m:ctrlPr>
                    <w:rPr>
                      <w:rFonts w:ascii="Cambria Math" w:hAnsi="Cambria Math" w:eastAsia="Calibri"/>
                      <w:sz w:val="22"/>
                      <w:szCs w:val="22"/>
                    </w:rPr>
                  </m:ctrlPr>
                </m:sSubPr>
                <m:e>
                  <m:r>
                    <w:rPr>
                      <w:rFonts w:ascii="Cambria Math" w:hAnsi="Cambria Math"/>
                    </w:rPr>
                    <m:t>μ</m:t>
                  </m:r>
                  <m:ctrlPr>
                    <w:rPr>
                      <w:rFonts w:ascii="Cambria Math" w:hAnsi="Cambria Math" w:eastAsia="Calibri"/>
                      <w:sz w:val="22"/>
                      <w:szCs w:val="22"/>
                    </w:rPr>
                  </m:ctrlPr>
                </m:e>
                <m:sub>
                  <m:r>
                    <m:rPr>
                      <m:sty m:val="p"/>
                    </m:rPr>
                    <w:rPr>
                      <w:rFonts w:ascii="Cambria Math" w:hAnsi="Cambria Math"/>
                    </w:rPr>
                    <m:t>0</m:t>
                  </m:r>
                  <m:ctrlPr>
                    <w:rPr>
                      <w:rFonts w:ascii="Cambria Math" w:hAnsi="Cambria Math" w:eastAsia="Calibri"/>
                      <w:sz w:val="22"/>
                      <w:szCs w:val="22"/>
                    </w:rPr>
                  </m:ctrlPr>
                </m:sub>
              </m:sSub>
              <m:r>
                <m:rPr>
                  <m:sty m:val="p"/>
                </m:rPr>
                <w:rPr>
                  <w:rFonts w:ascii="Cambria Math" w:hAnsi="Cambria Math"/>
                </w:rPr>
                <m:t>-</m:t>
              </m:r>
              <m:r>
                <w:rPr>
                  <w:rFonts w:ascii="Cambria Math" w:hAnsi="Cambria Math"/>
                </w:rPr>
                <m:t>μ</m:t>
              </m:r>
              <m:ctrlPr>
                <w:rPr>
                  <w:rFonts w:ascii="Cambria Math" w:hAnsi="Cambria Math" w:eastAsia="Calibri"/>
                  <w:sz w:val="22"/>
                  <w:szCs w:val="22"/>
                </w:rPr>
              </m:ctrlPr>
            </m:sup>
          </m:sSup>
        </m:oMath>
      </m:oMathPara>
    </w:p>
    <w:p>
      <w:r>
        <w:t xml:space="preserve">where </w:t>
      </w:r>
      <w:r>
        <w:rPr>
          <w:position w:val="-12"/>
        </w:rPr>
        <w:object>
          <v:shape id="_x0000_i1026" o:spt="75" type="#_x0000_t75" style="height:18.5pt;width:126.3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t xml:space="preserve"> and </w:t>
      </w:r>
    </w:p>
    <w:p>
      <w:pPr>
        <w:pStyle w:val="94"/>
      </w:pPr>
      <w:r>
        <w:t>-</w:t>
      </w:r>
      <w:r>
        <w:tab/>
      </w:r>
      <w:r>
        <w:rPr>
          <w:position w:val="-6"/>
        </w:rPr>
        <w:object>
          <v:shape id="_x0000_i1027" o:spt="75" type="#_x0000_t75" style="height:15pt;width:9.2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t xml:space="preserve"> is given by clause 6.3.3; </w:t>
      </w:r>
    </w:p>
    <w:p>
      <w:pPr>
        <w:pStyle w:val="94"/>
      </w:pPr>
      <w:r>
        <w:t>-</w:t>
      </w:r>
      <w:r>
        <w:tab/>
      </w:r>
      <w:r>
        <w:rPr>
          <w:position w:val="-10"/>
        </w:rPr>
        <w:object>
          <v:shape id="_x0000_i1028" o:spt="75" type="#_x0000_t75" style="height:15pt;width: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t xml:space="preserve"> is the subcarrier spacing of the initial uplink bandwidth part during initial access. Otherwise, </w:t>
      </w:r>
      <w:r>
        <w:rPr>
          <w:position w:val="-10"/>
        </w:rPr>
        <w:object>
          <v:shape id="_x0000_i1029" o:spt="75" type="#_x0000_t75" style="height:15pt;width:1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4">
            <o:LockedField>false</o:LockedField>
          </o:OLEObject>
        </w:object>
      </w:r>
      <w:r>
        <w:t xml:space="preserve"> is the subcarrier spacing of the active uplink bandwidth part; </w:t>
      </w:r>
    </w:p>
    <w:p>
      <w:pPr>
        <w:pStyle w:val="94"/>
      </w:pPr>
      <w:r>
        <w:t>-</w:t>
      </w:r>
      <w:r>
        <w:tab/>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0</m:t>
            </m:r>
            <m:ctrlPr>
              <w:rPr>
                <w:rFonts w:ascii="Cambria Math" w:hAnsi="Cambria Math"/>
                <w:i/>
              </w:rPr>
            </m:ctrlP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pPr>
        <w:pStyle w:val="94"/>
      </w:pPr>
      <w:r>
        <w:t>-</w:t>
      </w:r>
      <w:r>
        <w:tab/>
      </w:r>
      <w:r>
        <w:rPr>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pPr>
        <w:pStyle w:val="94"/>
      </w:pPr>
      <w:r>
        <w:t>-</w:t>
      </w:r>
      <w:r>
        <w:tab/>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up>
            <m:r>
              <m:rPr>
                <m:nor/>
                <m:sty m:val="p"/>
              </m:rPr>
              <w:rPr>
                <w:rFonts w:ascii="Cambria Math" w:hAnsi="Cambria Math"/>
              </w:rPr>
              <m:t>start</m:t>
            </m:r>
            <m:ctrlPr>
              <w:rPr>
                <w:rFonts w:ascii="Cambria Math" w:hAnsi="Cambria Math"/>
                <w:i/>
              </w:rPr>
            </m:ctrlPr>
          </m:sup>
        </m:sSubSup>
      </m:oMath>
      <w:r>
        <w:t xml:space="preserve"> is the frequency offset of the lowest PRACH transmission occasion in frequency domain with respect to physical resource block 0 of the active uplink bandwidth part</w:t>
      </w:r>
      <w:ins w:id="114" w:author="Author">
        <w:r>
          <w:rPr/>
          <w:t xml:space="preserve">, if </w:t>
        </w:r>
      </w:ins>
      <m:oMath>
        <m:sSub>
          <m:sSubPr>
            <m:ctrlPr>
              <w:ins w:id="115" w:author="Author">
                <w:rPr>
                  <w:rFonts w:ascii="Cambria Math" w:hAnsi="Cambria Math"/>
                  <w:i/>
                </w:rPr>
              </w:ins>
            </m:ctrlPr>
          </m:sSubPr>
          <m:e>
            <w:ins w:id="116" w:author="Author">
              <m:r>
                <w:rPr>
                  <w:rFonts w:ascii="Cambria Math" w:hAnsi="Cambria Math"/>
                </w:rPr>
                <m:t>L</m:t>
              </m:r>
            </w:ins>
            <m:ctrlPr>
              <w:ins w:id="117" w:author="Author">
                <w:rPr>
                  <w:rFonts w:ascii="Cambria Math" w:hAnsi="Cambria Math"/>
                  <w:i/>
                </w:rPr>
              </w:ins>
            </m:ctrlPr>
          </m:e>
          <m:sub>
            <w:ins w:id="118" w:author="Author">
              <m:r>
                <m:rPr>
                  <m:nor/>
                  <m:sty m:val="p"/>
                </m:rPr>
                <w:rPr>
                  <w:rFonts w:ascii="Cambria Math" w:hAnsi="Cambria Math"/>
                </w:rPr>
                <m:t>RA</m:t>
              </m:r>
            </w:ins>
            <m:ctrlPr>
              <w:ins w:id="119" w:author="Author">
                <w:rPr>
                  <w:rFonts w:ascii="Cambria Math" w:hAnsi="Cambria Math"/>
                  <w:i/>
                </w:rPr>
              </w:ins>
            </m:ctrlPr>
          </m:sub>
        </m:sSub>
        <w:ins w:id="120" w:author="Author">
          <m:r>
            <w:rPr>
              <w:rFonts w:ascii="Cambria Math" w:hAnsi="Cambria Math"/>
            </w:rPr>
            <m:t>=839</m:t>
          </m:r>
        </w:ins>
      </m:oMath>
      <w:ins w:id="121" w:author="Author">
        <w:r>
          <w:rPr/>
          <w:t xml:space="preserve"> or </w:t>
        </w:r>
      </w:ins>
      <m:oMath>
        <w:ins w:id="122" w:author="Author">
          <m:r>
            <w:rPr>
              <w:rFonts w:ascii="Cambria Math" w:hAnsi="Cambria Math"/>
            </w:rPr>
            <m:t>139</m:t>
          </m:r>
        </w:ins>
      </m:oMath>
      <w:r>
        <w:t xml:space="preserve">. </w:t>
      </w:r>
      <m:oMath>
        <m:sSubSup>
          <m:sSubSupPr>
            <m:ctrlPr>
              <w:ins w:id="123" w:author="Author">
                <w:rPr>
                  <w:rFonts w:ascii="Cambria Math" w:hAnsi="Cambria Math"/>
                  <w:i/>
                </w:rPr>
              </w:ins>
            </m:ctrlPr>
          </m:sSubSupPr>
          <m:e>
            <w:ins w:id="124" w:author="Author">
              <m:r>
                <w:rPr>
                  <w:rFonts w:ascii="Cambria Math" w:hAnsi="Cambria Math"/>
                </w:rPr>
                <m:t>n</m:t>
              </m:r>
            </w:ins>
            <m:ctrlPr>
              <w:ins w:id="125" w:author="Author">
                <w:rPr>
                  <w:rFonts w:ascii="Cambria Math" w:hAnsi="Cambria Math"/>
                  <w:i/>
                </w:rPr>
              </w:ins>
            </m:ctrlPr>
          </m:e>
          <m:sub>
            <w:ins w:id="126" w:author="Author">
              <m:r>
                <m:rPr>
                  <m:nor/>
                  <m:sty m:val="p"/>
                </m:rPr>
                <w:rPr>
                  <w:rFonts w:ascii="Cambria Math" w:hAnsi="Cambria Math"/>
                </w:rPr>
                <m:t>RA</m:t>
              </m:r>
            </w:ins>
            <m:ctrlPr>
              <w:ins w:id="127" w:author="Author">
                <w:rPr>
                  <w:rFonts w:ascii="Cambria Math" w:hAnsi="Cambria Math"/>
                  <w:i/>
                </w:rPr>
              </w:ins>
            </m:ctrlPr>
          </m:sub>
          <m:sup>
            <w:ins w:id="128" w:author="Author">
              <m:r>
                <m:rPr>
                  <m:nor/>
                  <m:sty m:val="p"/>
                </m:rPr>
                <w:rPr>
                  <w:rFonts w:ascii="Cambria Math" w:hAnsi="Cambria Math"/>
                </w:rPr>
                <m:t>start</m:t>
              </m:r>
            </w:ins>
            <m:ctrlPr>
              <w:ins w:id="129" w:author="Author">
                <w:rPr>
                  <w:rFonts w:ascii="Cambria Math" w:hAnsi="Cambria Math"/>
                  <w:i/>
                </w:rPr>
              </w:ins>
            </m:ctrlPr>
          </m:sup>
        </m:sSubSup>
      </m:oMath>
      <w:ins w:id="130" w:author="Author">
        <w:r>
          <w:rPr/>
          <w:t xml:space="preserve"> is the frequency offset of the lowest PRACH transmission occasion in frequency domain with respect to start CRB of a RB set in the active uplink bandwidth part, if </w:t>
        </w:r>
      </w:ins>
      <m:oMath>
        <m:sSub>
          <m:sSubPr>
            <m:ctrlPr>
              <w:ins w:id="131" w:author="Author">
                <w:rPr>
                  <w:rFonts w:ascii="Cambria Math" w:hAnsi="Cambria Math"/>
                  <w:i/>
                </w:rPr>
              </w:ins>
            </m:ctrlPr>
          </m:sSubPr>
          <m:e>
            <w:ins w:id="132" w:author="Author">
              <m:r>
                <w:rPr>
                  <w:rFonts w:ascii="Cambria Math" w:hAnsi="Cambria Math"/>
                </w:rPr>
                <m:t>L</m:t>
              </m:r>
            </w:ins>
            <m:ctrlPr>
              <w:ins w:id="133" w:author="Author">
                <w:rPr>
                  <w:rFonts w:ascii="Cambria Math" w:hAnsi="Cambria Math"/>
                  <w:i/>
                </w:rPr>
              </w:ins>
            </m:ctrlPr>
          </m:e>
          <m:sub>
            <w:ins w:id="134" w:author="Author">
              <m:r>
                <m:rPr>
                  <m:nor/>
                  <m:sty m:val="p"/>
                </m:rPr>
                <w:rPr>
                  <w:rFonts w:ascii="Cambria Math" w:hAnsi="Cambria Math"/>
                </w:rPr>
                <m:t>RA</m:t>
              </m:r>
            </w:ins>
            <m:ctrlPr>
              <w:ins w:id="135" w:author="Author">
                <w:rPr>
                  <w:rFonts w:ascii="Cambria Math" w:hAnsi="Cambria Math"/>
                  <w:i/>
                </w:rPr>
              </w:ins>
            </m:ctrlPr>
          </m:sub>
        </m:sSub>
        <w:ins w:id="136" w:author="Author">
          <m:r>
            <w:rPr>
              <w:rFonts w:ascii="Cambria Math" w:hAnsi="Cambria Math"/>
            </w:rPr>
            <m:t>=839</m:t>
          </m:r>
        </w:ins>
      </m:oMath>
      <w:ins w:id="137" w:author="Author">
        <w:r>
          <w:rPr/>
          <w:t xml:space="preserve"> or </w:t>
        </w:r>
      </w:ins>
      <m:oMath>
        <w:ins w:id="138" w:author="Author">
          <m:r>
            <w:rPr>
              <w:rFonts w:ascii="Cambria Math" w:hAnsi="Cambria Math"/>
            </w:rPr>
            <m:t>139</m:t>
          </m:r>
        </w:ins>
      </m:oMath>
      <w:ins w:id="139" w:author="Author">
        <w:r>
          <w:rPr/>
          <w:t xml:space="preserve">. </w:t>
        </w:r>
      </w:ins>
      <w:r>
        <w:t xml:space="preserve">The quantity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up>
            <m:r>
              <m:rPr>
                <m:nor/>
                <m:sty m:val="p"/>
              </m:rPr>
              <w:rPr>
                <w:rFonts w:ascii="Cambria Math" w:hAnsi="Cambria Math"/>
              </w:rPr>
              <m:t>start</m:t>
            </m:r>
            <m:ctrlPr>
              <w:rPr>
                <w:rFonts w:ascii="Cambria Math" w:hAnsi="Cambria Math"/>
                <w:i/>
              </w:rPr>
            </m:ctrlP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pPr>
        <w:pStyle w:val="94"/>
        <w:rPr>
          <w:ins w:id="140" w:author="Author" w:date="1899-12-31T00:00:00Z"/>
        </w:rPr>
      </w:pPr>
      <w:r>
        <w:t>-</w:t>
      </w:r>
      <w:r>
        <w:tab/>
      </w:r>
      <w:r>
        <w:rPr>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pPr>
        <w:pStyle w:val="94"/>
      </w:pPr>
      <w:ins w:id="141" w:author="Author">
        <w:r>
          <w:rPr/>
          <w:t>-</w:t>
        </w:r>
      </w:ins>
      <w:ins w:id="142" w:author="Author">
        <w:r>
          <w:rPr/>
          <w:tab/>
        </w:r>
      </w:ins>
      <m:oMath>
        <w:ins w:id="143" w:author="Author">
          <m:r>
            <w:rPr>
              <w:rFonts w:ascii="Cambria Math" w:hAnsi="Cambria Math"/>
            </w:rPr>
            <m:t>R</m:t>
          </m:r>
        </w:ins>
        <m:sSubSup>
          <m:sSubSupPr>
            <m:ctrlPr>
              <w:ins w:id="144" w:author="Author">
                <w:rPr>
                  <w:rFonts w:ascii="Cambria Math" w:hAnsi="Cambria Math"/>
                  <w:i/>
                </w:rPr>
              </w:ins>
            </m:ctrlPr>
          </m:sSubSupPr>
          <m:e>
            <w:ins w:id="145" w:author="Author">
              <m:r>
                <w:rPr>
                  <w:rFonts w:ascii="Cambria Math" w:hAnsi="Cambria Math"/>
                </w:rPr>
                <m:t>B</m:t>
              </m:r>
            </w:ins>
            <m:ctrlPr>
              <w:ins w:id="146" w:author="Author">
                <w:rPr>
                  <w:rFonts w:ascii="Cambria Math" w:hAnsi="Cambria Math"/>
                  <w:i/>
                </w:rPr>
              </w:ins>
            </m:ctrlPr>
          </m:e>
          <m:sub>
            <w:ins w:id="147" w:author="Author">
              <m:r>
                <w:rPr>
                  <w:rFonts w:ascii="Cambria Math" w:hAnsi="Cambria Math"/>
                </w:rPr>
                <m:t xml:space="preserve"> n</m:t>
              </m:r>
            </w:ins>
            <w:ins w:id="148" w:author="Author">
              <m:r>
                <m:rPr>
                  <m:nor/>
                  <m:sty m:val="p"/>
                </m:rPr>
                <w:rPr/>
                <m:t>RA</m:t>
              </m:r>
            </w:ins>
            <w:ins w:id="149" w:author="Author">
              <m:r>
                <w:rPr>
                  <w:rFonts w:ascii="Cambria Math" w:hAnsi="Cambria Math"/>
                </w:rPr>
                <m:t>,DL</m:t>
              </m:r>
            </w:ins>
            <m:ctrlPr>
              <w:ins w:id="150" w:author="Author">
                <w:rPr>
                  <w:rFonts w:ascii="Cambria Math" w:hAnsi="Cambria Math"/>
                  <w:i/>
                </w:rPr>
              </w:ins>
            </m:ctrlPr>
          </m:sub>
          <m:sup>
            <w:ins w:id="151" w:author="Author">
              <m:r>
                <w:rPr>
                  <w:rFonts w:ascii="Cambria Math" w:hAnsi="Cambria Math"/>
                </w:rPr>
                <m:t>start,μ</m:t>
              </m:r>
            </w:ins>
            <m:ctrlPr>
              <w:ins w:id="152" w:author="Author">
                <w:rPr>
                  <w:rFonts w:ascii="Cambria Math" w:hAnsi="Cambria Math"/>
                  <w:i/>
                </w:rPr>
              </w:ins>
            </m:ctrlPr>
          </m:sup>
        </m:sSubSup>
      </m:oMath>
      <w:ins w:id="153" w:author="Author">
        <w:r>
          <w:rPr/>
          <w:t xml:space="preserve"> is the start CRB of a RB set in which the PRACH transmission occasion with index </w:t>
        </w:r>
      </w:ins>
      <w:ins w:id="154" w:author="Author">
        <w:r>
          <w:rPr>
            <w:position w:val="-10"/>
            <w:lang w:val="en-US" w:eastAsia="zh-CN"/>
            <w:rPrChange w:id="157" w:author="Unknown" w:date="">
              <w:rPr>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ins>
      <w:ins w:id="158" w:author="Author">
        <w:r>
          <w:rPr/>
          <w:t>is [6, TS 38.214].</w:t>
        </w:r>
      </w:ins>
    </w:p>
    <w:p>
      <w:pPr>
        <w:spacing w:after="120" w:line="288" w:lineRule="auto"/>
        <w:rPr>
          <w:rFonts w:eastAsia="MS Mincho"/>
        </w:rPr>
      </w:pPr>
      <w:r>
        <w:t>-</w:t>
      </w:r>
      <w:r>
        <w:tab/>
      </w:r>
      <w:r>
        <w:rPr>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pPr>
        <w:rPr>
          <w:color w:val="FF0000"/>
        </w:rPr>
      </w:pPr>
      <w:r>
        <w:rPr>
          <w:color w:val="FF0000"/>
        </w:rPr>
        <w:t>============================ End of TP for TS 38.211 ==================================</w:t>
      </w:r>
    </w:p>
    <w:p>
      <w:pPr>
        <w:rPr>
          <w:lang w:val="en-US"/>
        </w:rPr>
      </w:pPr>
      <w:r>
        <w:rPr>
          <w:lang w:val="en-US"/>
        </w:rPr>
        <w:t>Proposal 1 in [9]: In case when the long PRACH sequence (i.e., L_"RA" =1151 or L_"RA" =571) is configured, multiple FDMed ROs are supported in active UL BWP with multiple RB sets.</w:t>
      </w:r>
    </w:p>
    <w:p>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pPr>
        <w:rPr>
          <w:iCs/>
        </w:rPr>
      </w:pPr>
      <w:r>
        <w:rPr>
          <w:iCs/>
          <w:lang w:eastAsia="zh-CN"/>
        </w:rPr>
        <w:t>Observation in [10]: No correction is needed</w:t>
      </w:r>
      <w:r>
        <w:rPr>
          <w:iCs/>
        </w:rPr>
        <w:t xml:space="preserve"> </w:t>
      </w:r>
      <w:r>
        <w:rPr>
          <w:iCs/>
          <w:lang w:eastAsia="zh-CN"/>
        </w:rPr>
        <w:t>for the case where PRACH is configured in more than one RB set.</w:t>
      </w:r>
    </w:p>
    <w:p>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
        <w:t>Proposal in [12]: If the number of configured FDMed PRACH resources is larger than 1,</w:t>
      </w:r>
    </w:p>
    <w:p>
      <w:pPr>
        <w:pStyle w:val="66"/>
        <w:numPr>
          <w:ilvl w:val="0"/>
          <w:numId w:val="12"/>
        </w:numPr>
      </w:pPr>
      <w:r>
        <w:t>If long PRACH sequence is configured, the starting position of each RO within the corresponding RB set can be configured.</w:t>
      </w:r>
    </w:p>
    <w:p>
      <w:pPr>
        <w:pStyle w:val="66"/>
        <w:numPr>
          <w:ilvl w:val="0"/>
          <w:numId w:val="12"/>
        </w:numPr>
      </w:pPr>
      <w:r>
        <w:t>If short PRACH sequence is configured, the RO which is configured to occupy frequency resource in two RB sets should be taken as an invalid RO.</w:t>
      </w:r>
    </w:p>
    <w:p>
      <w:r>
        <w:t>Proposal in [14]: The lowest RB set of PRACH can be used for PUSCH transmission where PRACH is configured in more than one RB set.</w:t>
      </w:r>
    </w:p>
    <w:p>
      <w:pPr>
        <w:pStyle w:val="3"/>
      </w:pPr>
      <w:r>
        <w:t>Discussion</w:t>
      </w:r>
    </w:p>
    <w:p>
      <w:pPr>
        <w:rPr>
          <w:lang w:eastAsia="en-US"/>
        </w:rPr>
      </w:pPr>
      <w:r>
        <w:rPr>
          <w:lang w:eastAsia="en-US"/>
        </w:rPr>
        <w:t>There are multiple questions for this issue.</w:t>
      </w:r>
    </w:p>
    <w:p>
      <w:pPr>
        <w:rPr>
          <w:lang w:eastAsia="en-US"/>
        </w:rPr>
      </w:pPr>
      <w:r>
        <w:rPr>
          <w:lang w:eastAsia="en-US"/>
        </w:rPr>
        <w:t>Q1: Do we support multiple FDMed ROs in active UL BWP over multiple RB sets?</w:t>
      </w:r>
    </w:p>
    <w:p>
      <w:pPr>
        <w:rPr>
          <w:lang w:eastAsia="en-US"/>
        </w:rPr>
      </w:pPr>
      <w:r>
        <w:rPr>
          <w:lang w:eastAsia="en-US"/>
        </w:rPr>
        <w:t>Q2: If the answer to Q1 is “yes”, do we support it for PRACH sequence of length 1151 and 571, or we also support it for PRACH sequence of length 139?</w:t>
      </w:r>
    </w:p>
    <w:p>
      <w:pPr>
        <w:rPr>
          <w:lang w:eastAsia="en-US"/>
        </w:rPr>
      </w:pPr>
      <w:r>
        <w:rPr>
          <w:lang w:eastAsia="en-US"/>
        </w:rPr>
        <w:t>Q3: If the answer to Q1 is “yes”, the RB set to transmit PUSCH allocated by RAR UL grant is</w:t>
      </w:r>
    </w:p>
    <w:p>
      <w:pPr>
        <w:pStyle w:val="66"/>
        <w:numPr>
          <w:ilvl w:val="3"/>
          <w:numId w:val="12"/>
        </w:numPr>
        <w:ind w:left="360"/>
        <w:rPr>
          <w:lang w:eastAsia="en-US"/>
        </w:rPr>
      </w:pPr>
      <w:r>
        <w:rPr>
          <w:lang w:eastAsia="en-US"/>
        </w:rPr>
        <w:t>Alt 1. The lowest indexed RB set with PRACH configured.</w:t>
      </w:r>
    </w:p>
    <w:p>
      <w:pPr>
        <w:pStyle w:val="66"/>
        <w:numPr>
          <w:ilvl w:val="3"/>
          <w:numId w:val="12"/>
        </w:numPr>
        <w:ind w:left="360"/>
        <w:rPr>
          <w:lang w:eastAsia="en-US"/>
        </w:rPr>
      </w:pPr>
      <w:r>
        <w:rPr>
          <w:lang w:eastAsia="en-US"/>
        </w:rPr>
        <w:t>Alt 2. The same RB set that the PRACH is transmitted for the corresponding msg1.</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5" w:type="dxa"/>
          </w:tcPr>
          <w:p>
            <w:pPr>
              <w:wordWrap/>
              <w:rPr>
                <w:lang w:eastAsia="en-US"/>
              </w:rPr>
            </w:pPr>
            <w:r>
              <w:rPr>
                <w:lang w:eastAsia="en-US"/>
              </w:rPr>
              <w:t>Qualcomm</w:t>
            </w:r>
          </w:p>
        </w:tc>
        <w:tc>
          <w:tcPr>
            <w:tcW w:w="6937" w:type="dxa"/>
          </w:tcPr>
          <w:p>
            <w:pPr>
              <w:wordWrap/>
              <w:rPr>
                <w:lang w:eastAsia="en-US"/>
              </w:rPr>
            </w:pPr>
            <w:r>
              <w:rPr>
                <w:lang w:eastAsia="en-US"/>
              </w:rPr>
              <w:t>Q1: We see no harm to support FDMed ROs when there are multiple RB sets</w:t>
            </w:r>
          </w:p>
          <w:p>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pPr>
              <w:wordWrap/>
              <w:rPr>
                <w:lang w:eastAsia="en-US"/>
              </w:rPr>
            </w:pPr>
            <w:r>
              <w:rPr>
                <w:lang w:eastAsia="en-US"/>
              </w:rPr>
              <w:t xml:space="preserve">Q3: We believe it is simpler to use Alt 2 (same RB sets for msg1 and msg3), so we can distribute msg3 to different RB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eastAsiaTheme="minorEastAsia"/>
                <w:lang w:eastAsia="zh-CN"/>
              </w:rPr>
            </w:pPr>
            <w:r>
              <w:rPr>
                <w:rFonts w:hint="eastAsia" w:eastAsiaTheme="minorEastAsia"/>
                <w:lang w:eastAsia="zh-CN"/>
              </w:rPr>
              <w:t>O</w:t>
            </w:r>
            <w:r>
              <w:rPr>
                <w:rFonts w:eastAsiaTheme="minorEastAsia"/>
                <w:lang w:eastAsia="zh-CN"/>
              </w:rPr>
              <w:t>PPO</w:t>
            </w:r>
          </w:p>
        </w:tc>
        <w:tc>
          <w:tcPr>
            <w:tcW w:w="6937" w:type="dxa"/>
          </w:tcPr>
          <w:p>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pPr>
              <w:wordWrap/>
              <w:rPr>
                <w:rFonts w:eastAsiaTheme="minorEastAsia"/>
                <w:lang w:val="en-US" w:eastAsia="zh-CN"/>
              </w:rPr>
            </w:pPr>
            <w:r>
              <w:rPr>
                <w:rFonts w:eastAsiaTheme="minorEastAsia"/>
                <w:lang w:val="en-US" w:eastAsia="zh-CN"/>
              </w:rPr>
              <w:t>Q2: long PRACH sequence is expected to be supported.</w:t>
            </w:r>
          </w:p>
          <w:p>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5" w:type="dxa"/>
          </w:tcPr>
          <w:p>
            <w:pPr>
              <w:wordWrap/>
              <w:rPr>
                <w:rFonts w:eastAsia="MS Mincho"/>
                <w:lang w:eastAsia="ja-JP"/>
              </w:rPr>
            </w:pPr>
            <w:r>
              <w:rPr>
                <w:rFonts w:hint="eastAsia" w:eastAsia="MS Mincho"/>
                <w:lang w:eastAsia="ja-JP"/>
              </w:rPr>
              <w:t>S</w:t>
            </w:r>
            <w:r>
              <w:rPr>
                <w:rFonts w:eastAsia="MS Mincho"/>
                <w:lang w:eastAsia="ja-JP"/>
              </w:rPr>
              <w:t>harp</w:t>
            </w:r>
          </w:p>
        </w:tc>
        <w:tc>
          <w:tcPr>
            <w:tcW w:w="6937" w:type="dxa"/>
          </w:tcPr>
          <w:p>
            <w:pPr>
              <w:wordWrap/>
              <w:rPr>
                <w:rFonts w:eastAsia="MS Mincho"/>
                <w:lang w:eastAsia="ja-JP"/>
              </w:rPr>
            </w:pPr>
            <w:r>
              <w:rPr>
                <w:rFonts w:hint="eastAsia" w:eastAsia="MS Mincho"/>
                <w:lang w:eastAsia="ja-JP"/>
              </w:rPr>
              <w:t>Q</w:t>
            </w:r>
            <w:r>
              <w:rPr>
                <w:rFonts w:eastAsia="MS Mincho"/>
                <w:lang w:eastAsia="ja-JP"/>
              </w:rPr>
              <w:t>1: Yes.</w:t>
            </w:r>
          </w:p>
          <w:p>
            <w:pPr>
              <w:wordWrap/>
              <w:rPr>
                <w:rFonts w:eastAsia="MS Mincho"/>
                <w:lang w:eastAsia="ja-JP"/>
              </w:rPr>
            </w:pPr>
            <w:r>
              <w:rPr>
                <w:rFonts w:hint="eastAsia" w:eastAsia="MS Mincho"/>
                <w:lang w:eastAsia="ja-JP"/>
              </w:rPr>
              <w:t>Q</w:t>
            </w:r>
            <w:r>
              <w:rPr>
                <w:rFonts w:eastAsia="MS Mincho"/>
                <w:lang w:eastAsia="ja-JP"/>
              </w:rPr>
              <w:t>2: We can support FDMed PRACH with length 1151 and 571 if interlaced transmission is not configured.</w:t>
            </w:r>
          </w:p>
          <w:p>
            <w:pPr>
              <w:wordWrap/>
              <w:rPr>
                <w:lang w:eastAsia="en-US"/>
              </w:rPr>
            </w:pPr>
            <w:r>
              <w:rPr>
                <w:rFonts w:hint="eastAsia" w:eastAsia="MS Mincho"/>
                <w:lang w:eastAsia="ja-JP"/>
              </w:rPr>
              <w:t>Q</w:t>
            </w:r>
            <w:r>
              <w:rPr>
                <w:rFonts w:eastAsia="MS Mincho"/>
                <w:lang w:eastAsia="ja-JP"/>
              </w:rPr>
              <w:t>3: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hint="eastAsia" w:eastAsiaTheme="minorEastAsia"/>
                <w:lang w:eastAsia="zh-CN"/>
              </w:rPr>
            </w:pPr>
            <w:r>
              <w:rPr>
                <w:rFonts w:hint="eastAsia" w:eastAsiaTheme="minorEastAsia"/>
                <w:lang w:eastAsia="zh-CN"/>
              </w:rPr>
              <w:t>S</w:t>
            </w:r>
            <w:r>
              <w:rPr>
                <w:rFonts w:eastAsiaTheme="minorEastAsia"/>
                <w:lang w:eastAsia="zh-CN"/>
              </w:rPr>
              <w:t>amsung</w:t>
            </w:r>
          </w:p>
        </w:tc>
        <w:tc>
          <w:tcPr>
            <w:tcW w:w="6937" w:type="dxa"/>
          </w:tcPr>
          <w:p>
            <w:pPr>
              <w:wordWrap/>
              <w:rPr>
                <w:lang w:eastAsia="en-US"/>
              </w:rPr>
            </w:pPr>
            <w:r>
              <w:rPr>
                <w:rFonts w:hint="eastAsia" w:eastAsiaTheme="minor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pPr>
              <w:wordWrap/>
              <w:rPr>
                <w:lang w:eastAsia="en-US"/>
              </w:rPr>
            </w:pPr>
            <w:r>
              <w:rPr>
                <w:lang w:eastAsia="en-US"/>
              </w:rPr>
              <w:t xml:space="preserve">Q2: At least long PRACH sequence should be supported. </w:t>
            </w:r>
          </w:p>
          <w:p>
            <w:pPr>
              <w:wordWrap/>
              <w:rPr>
                <w:rFonts w:hint="eastAsia" w:eastAsia="MS Mincho"/>
                <w:lang w:eastAsia="ja-JP"/>
              </w:rPr>
            </w:pPr>
            <w:r>
              <w:rPr>
                <w:lang w:eastAsia="en-US"/>
              </w:rPr>
              <w:t>Q3: Alt 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5" w:type="dxa"/>
          </w:tcPr>
          <w:p>
            <w:pPr>
              <w:wordWrap/>
              <w:rPr>
                <w:rFonts w:hint="default" w:eastAsiaTheme="minorEastAsia"/>
                <w:lang w:val="en-US" w:eastAsia="zh-CN"/>
              </w:rPr>
            </w:pPr>
            <w:r>
              <w:rPr>
                <w:rFonts w:hint="eastAsia" w:eastAsiaTheme="minorEastAsia"/>
                <w:lang w:val="en-US" w:eastAsia="zh-CN"/>
              </w:rPr>
              <w:t>ZTE, Sanechips</w:t>
            </w:r>
          </w:p>
        </w:tc>
        <w:tc>
          <w:tcPr>
            <w:tcW w:w="6937" w:type="dxa"/>
          </w:tcPr>
          <w:p>
            <w:pPr>
              <w:wordWrap/>
              <w:rPr>
                <w:rFonts w:hint="default" w:eastAsia="宋体"/>
                <w:lang w:val="en-US" w:eastAsia="zh-CN"/>
              </w:rPr>
            </w:pPr>
            <w:r>
              <w:rPr>
                <w:rFonts w:hint="eastAsia" w:eastAsia="宋体"/>
                <w:lang w:val="en-US" w:eastAsia="zh-CN"/>
              </w:rPr>
              <w:t xml:space="preserve">Q1: Yes. </w:t>
            </w:r>
          </w:p>
          <w:p>
            <w:pPr>
              <w:wordWrap/>
              <w:rPr>
                <w:rFonts w:hint="eastAsia" w:eastAsia="宋体"/>
                <w:lang w:val="en-US" w:eastAsia="zh-CN"/>
              </w:rPr>
            </w:pPr>
            <w:r>
              <w:rPr>
                <w:rFonts w:hint="eastAsia" w:eastAsia="宋体"/>
                <w:lang w:val="en-US" w:eastAsia="zh-CN"/>
              </w:rPr>
              <w:t>Q2: W</w:t>
            </w:r>
            <w:r>
              <w:rPr>
                <w:lang w:eastAsia="en-US"/>
              </w:rPr>
              <w:t>e support it for PRACH sequence of length 1151 and 571</w:t>
            </w:r>
            <w:r>
              <w:rPr>
                <w:rFonts w:hint="eastAsia" w:eastAsia="宋体"/>
                <w:lang w:val="en-US" w:eastAsia="zh-CN"/>
              </w:rPr>
              <w:t>.</w:t>
            </w:r>
          </w:p>
          <w:p>
            <w:pPr>
              <w:wordWrap/>
              <w:rPr>
                <w:rFonts w:hint="default" w:eastAsia="宋体"/>
                <w:lang w:val="en-US" w:eastAsia="zh-CN"/>
              </w:rPr>
            </w:pPr>
            <w:r>
              <w:rPr>
                <w:rFonts w:hint="eastAsia" w:eastAsia="宋体"/>
                <w:lang w:val="en-US" w:eastAsia="zh-CN"/>
              </w:rPr>
              <w:t>Q3: Alt 2.</w:t>
            </w:r>
          </w:p>
        </w:tc>
      </w:tr>
    </w:tbl>
    <w:p>
      <w:pPr>
        <w:rPr>
          <w:lang w:eastAsia="en-US"/>
        </w:rPr>
      </w:pPr>
    </w:p>
    <w:p>
      <w:pPr>
        <w:pStyle w:val="2"/>
      </w:pPr>
      <w:r>
        <w:t>Issue 4.5 Msg A PUSCH RB set determination</w:t>
      </w:r>
    </w:p>
    <w:p>
      <w:pPr>
        <w:pStyle w:val="3"/>
      </w:pPr>
      <w:r>
        <w:t>Summary of proposals in submitted papers</w:t>
      </w:r>
    </w:p>
    <w:p>
      <w:pPr>
        <w:rPr>
          <w:lang w:eastAsia="en-US"/>
        </w:rPr>
      </w:pPr>
      <w:r>
        <w:rPr>
          <w:lang w:eastAsia="en-US"/>
        </w:rPr>
        <w:t>In [7] (and [13]), it is proposed to confine each Msg A PUSCH inside one RB set.</w:t>
      </w:r>
    </w:p>
    <w:p>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pPr>
        <w:rPr>
          <w:color w:val="FF0000"/>
        </w:rPr>
      </w:pPr>
      <w:r>
        <w:rPr>
          <w:color w:val="FF0000"/>
        </w:rPr>
        <w:t>=========================== Start of TP for TS 38.213 ===================================</w:t>
      </w:r>
    </w:p>
    <w:p>
      <w:pPr>
        <w:spacing w:after="120" w:line="288" w:lineRule="auto"/>
        <w:rPr>
          <w:rFonts w:ascii="Arial" w:hAnsi="Arial" w:eastAsia="宋体" w:cs="Arial"/>
          <w:sz w:val="24"/>
          <w:lang w:eastAsia="zh-CN"/>
        </w:rPr>
      </w:pPr>
      <w:r>
        <w:rPr>
          <w:rFonts w:ascii="Arial" w:hAnsi="Arial" w:eastAsia="宋体" w:cs="Arial"/>
          <w:sz w:val="24"/>
          <w:lang w:eastAsia="zh-CN"/>
        </w:rPr>
        <w:t xml:space="preserve">8.1A PUSCH for Type-2 random access procedure </w:t>
      </w:r>
    </w:p>
    <w:p>
      <w:pPr>
        <w:rPr>
          <w:color w:val="FF0000"/>
        </w:rPr>
      </w:pPr>
      <w:r>
        <w:rPr>
          <w:color w:val="FF0000"/>
        </w:rPr>
        <w:t>=========================== Unchanged Text Omitted ===================================</w:t>
      </w:r>
    </w:p>
    <w:p>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159" w:author="Author">
        <w:r>
          <w:rPr>
            <w:color w:val="000000"/>
          </w:rPr>
          <w:t xml:space="preserve">If a UE is configured with interlaced PUSCH, the RB set for a MsgA PUSCH transmission is the RB set of the associated Msg A PRACH transmission. </w:t>
        </w:r>
      </w:ins>
    </w:p>
    <w:p>
      <w:pPr>
        <w:spacing w:after="120" w:line="288" w:lineRule="auto"/>
        <w:rPr>
          <w:rFonts w:eastAsia="MS Mincho"/>
        </w:rPr>
      </w:pPr>
      <w:r>
        <w:rPr>
          <w:rFonts w:cs="Times"/>
        </w:rPr>
        <w:t xml:space="preserve">A UE determines a first interlace </w:t>
      </w:r>
      <w:ins w:id="160"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161" w:author="Author">
        <w:r>
          <w:rPr>
            <w:rFonts w:cs="Times"/>
          </w:rPr>
          <w:t xml:space="preserve">RB set in the active UL BWP or of the </w:t>
        </w:r>
      </w:ins>
      <w:r>
        <w:rPr>
          <w:rFonts w:cs="Times"/>
        </w:rPr>
        <w:t xml:space="preserve">active UL BWP. A PUSCH occasion includes a number of interlaces </w:t>
      </w:r>
      <w:ins w:id="162"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hAnsi="Cambria Math" w:eastAsiaTheme="minorEastAsia"/>
                <w:b/>
                <w:i/>
                <w:sz w:val="24"/>
                <w:szCs w:val="24"/>
              </w:rPr>
            </m:ctrlPr>
          </m:sSubPr>
          <m:e>
            <m:r>
              <w:rPr>
                <w:rFonts w:ascii="Cambria Math" w:hAnsi="Cambria Math" w:eastAsiaTheme="minorEastAsia"/>
              </w:rPr>
              <m:t>N</m:t>
            </m:r>
            <m:ctrlPr>
              <w:rPr>
                <w:rFonts w:ascii="Cambria Math" w:hAnsi="Cambria Math" w:eastAsiaTheme="minorEastAsia"/>
                <w:b/>
                <w:i/>
                <w:sz w:val="24"/>
                <w:szCs w:val="24"/>
              </w:rPr>
            </m:ctrlPr>
          </m:e>
          <m:sub>
            <m:r>
              <w:rPr>
                <w:rFonts w:ascii="Cambria Math" w:hAnsi="Cambria Math" w:eastAsiaTheme="minorEastAsia"/>
              </w:rPr>
              <m:t>f</m:t>
            </m:r>
            <m:ctrlPr>
              <w:rPr>
                <w:rFonts w:ascii="Cambria Math" w:hAnsi="Cambria Math" w:eastAsiaTheme="minorEastAsia"/>
                <w:b/>
                <w:i/>
                <w:sz w:val="24"/>
                <w:szCs w:val="24"/>
              </w:rPr>
            </m:ctrlPr>
          </m:sub>
        </m:sSub>
        <m:r>
          <m:rPr>
            <m:sty m:val="bi"/>
          </m:rPr>
          <w:rPr>
            <w:rFonts w:ascii="Cambria Math" w:hAnsi="Cambria Math" w:eastAsiaTheme="minorEastAsia"/>
          </w:rPr>
          <m:t xml:space="preserve"> </m:t>
        </m:r>
      </m:oMath>
      <w:r>
        <w:rPr>
          <w:iCs/>
        </w:rPr>
        <w:t xml:space="preserve">of PUSCH occasions in the frequency domain of an UL BWP is provided by </w:t>
      </w:r>
      <w:r>
        <w:rPr>
          <w:i/>
          <w:iCs/>
        </w:rPr>
        <w:t>nrMsgA-PO-FDM</w:t>
      </w:r>
      <w:r>
        <w:rPr>
          <w:iCs/>
        </w:rPr>
        <w:t>.</w:t>
      </w:r>
    </w:p>
    <w:p>
      <w:pPr>
        <w:rPr>
          <w:color w:val="FF0000"/>
        </w:rPr>
      </w:pPr>
      <w:r>
        <w:rPr>
          <w:color w:val="FF0000"/>
        </w:rPr>
        <w:t>============================= End of TP for TS 38.213 ==================================</w:t>
      </w:r>
    </w:p>
    <w:p>
      <w:pPr>
        <w:pStyle w:val="3"/>
      </w:pPr>
      <w:r>
        <w:t>Discussion</w:t>
      </w:r>
    </w:p>
    <w:p>
      <w:pPr>
        <w:rPr>
          <w:lang w:eastAsia="en-US"/>
        </w:rPr>
      </w:pPr>
      <w:r>
        <w:rPr>
          <w:lang w:eastAsia="en-US"/>
        </w:rPr>
        <w:t>Please provide your view on the following:</w:t>
      </w:r>
    </w:p>
    <w:p>
      <w:pPr>
        <w:rPr>
          <w:lang w:eastAsia="en-US"/>
        </w:rPr>
      </w:pPr>
      <w:r>
        <w:rPr>
          <w:lang w:eastAsia="en-US"/>
        </w:rPr>
        <w:t>Q1. Do we need to restrict MsgA PUSCH in one RB set, for either interlaced PUSCH or legacy PUSCH?</w:t>
      </w:r>
    </w:p>
    <w:p>
      <w:pPr>
        <w:rPr>
          <w:lang w:eastAsia="en-US"/>
        </w:rPr>
      </w:pPr>
      <w:r>
        <w:rPr>
          <w:lang w:eastAsia="en-US"/>
        </w:rPr>
        <w:t>Q2. Do we need to restrict MsgA PUSCH to the same RB set as the PRACH transmitted?</w:t>
      </w:r>
    </w:p>
    <w:p>
      <w:pPr>
        <w:rPr>
          <w:lang w:eastAsia="en-US"/>
        </w:rPr>
      </w:pPr>
      <w:r>
        <w:rPr>
          <w:lang w:eastAsia="en-US"/>
        </w:rPr>
        <w:t>Proposal: For 2-step RACH, the MsgA PUSCH is in the same RB set as the associated MsgA PRACH transmission</w:t>
      </w:r>
    </w:p>
    <w:tbl>
      <w:tblPr>
        <w:tblStyle w:val="36"/>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b/>
                <w:bCs/>
                <w:lang w:eastAsia="en-US"/>
              </w:rPr>
            </w:pPr>
            <w:r>
              <w:rPr>
                <w:b/>
                <w:bCs/>
                <w:lang w:eastAsia="en-US"/>
              </w:rPr>
              <w:t>Company</w:t>
            </w:r>
          </w:p>
        </w:tc>
        <w:tc>
          <w:tcPr>
            <w:tcW w:w="6937" w:type="dxa"/>
          </w:tcPr>
          <w:p>
            <w:pPr>
              <w:wordWrap/>
              <w:rPr>
                <w:b/>
                <w:bCs/>
                <w:lang w:eastAsia="en-US"/>
              </w:rPr>
            </w:pPr>
            <w:r>
              <w:rPr>
                <w:b/>
                <w:bCs/>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5" w:type="dxa"/>
          </w:tcPr>
          <w:p>
            <w:pPr>
              <w:wordWrap/>
              <w:rPr>
                <w:lang w:eastAsia="en-US"/>
              </w:rPr>
            </w:pPr>
            <w:r>
              <w:rPr>
                <w:lang w:eastAsia="en-US"/>
              </w:rPr>
              <w:t>Qualcomm</w:t>
            </w:r>
          </w:p>
        </w:tc>
        <w:tc>
          <w:tcPr>
            <w:tcW w:w="6937" w:type="dxa"/>
          </w:tcPr>
          <w:p>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lang w:eastAsia="en-US"/>
              </w:rPr>
            </w:pPr>
            <w:r>
              <w:rPr>
                <w:rFonts w:hint="eastAsia"/>
                <w:lang w:eastAsia="en-US"/>
              </w:rPr>
              <w:t>OPPO</w:t>
            </w:r>
          </w:p>
        </w:tc>
        <w:tc>
          <w:tcPr>
            <w:tcW w:w="6937" w:type="dxa"/>
          </w:tcPr>
          <w:p>
            <w:pPr>
              <w:wordWrap/>
              <w:rPr>
                <w:lang w:eastAsia="en-US"/>
              </w:rPr>
            </w:pPr>
            <w:r>
              <w:rPr>
                <w:rFonts w:hint="eastAsia"/>
                <w:lang w:eastAsia="en-US"/>
              </w:rPr>
              <w:t>Q</w:t>
            </w:r>
            <w:r>
              <w:rPr>
                <w:lang w:eastAsia="en-US"/>
              </w:rPr>
              <w:t xml:space="preserve">1: We expect that MsgA PUSCH is transmitted within a RB set. </w:t>
            </w:r>
          </w:p>
          <w:p>
            <w:pPr>
              <w:wordWrap/>
              <w:rPr>
                <w:lang w:eastAsia="en-US"/>
              </w:rPr>
            </w:pPr>
            <w:r>
              <w:rPr>
                <w:lang w:eastAsia="en-US"/>
              </w:rPr>
              <w:t xml:space="preserve">Q2: MsgA PUSCH and the associated PRACH are in the same RB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5" w:type="dxa"/>
          </w:tcPr>
          <w:p>
            <w:pPr>
              <w:wordWrap/>
              <w:rPr>
                <w:rFonts w:eastAsia="MS Mincho"/>
                <w:lang w:eastAsia="ja-JP"/>
              </w:rPr>
            </w:pPr>
            <w:r>
              <w:rPr>
                <w:rFonts w:hint="eastAsia" w:eastAsia="MS Mincho"/>
                <w:lang w:eastAsia="ja-JP"/>
              </w:rPr>
              <w:t>S</w:t>
            </w:r>
            <w:r>
              <w:rPr>
                <w:rFonts w:eastAsia="MS Mincho"/>
                <w:lang w:eastAsia="ja-JP"/>
              </w:rPr>
              <w:t>harp</w:t>
            </w:r>
          </w:p>
        </w:tc>
        <w:tc>
          <w:tcPr>
            <w:tcW w:w="6937" w:type="dxa"/>
          </w:tcPr>
          <w:p>
            <w:pPr>
              <w:wordWrap/>
              <w:rPr>
                <w:rFonts w:eastAsia="MS Mincho"/>
                <w:lang w:eastAsia="ja-JP"/>
              </w:rPr>
            </w:pPr>
            <w:r>
              <w:rPr>
                <w:rFonts w:hint="eastAsia" w:eastAsia="MS Mincho"/>
                <w:lang w:eastAsia="ja-JP"/>
              </w:rPr>
              <w:t>Q</w:t>
            </w:r>
            <w:r>
              <w:rPr>
                <w:rFonts w:eastAsia="MS Mincho"/>
                <w:lang w:eastAsia="ja-JP"/>
              </w:rPr>
              <w:t>1: The restriction seems good for the interlaced PUSCH. For RA type 0/1, the restriction is not necessary.</w:t>
            </w:r>
          </w:p>
          <w:p>
            <w:pPr>
              <w:wordWrap/>
              <w:rPr>
                <w:rFonts w:eastAsia="MS Mincho"/>
                <w:lang w:eastAsia="ja-JP"/>
              </w:rPr>
            </w:pPr>
            <w:r>
              <w:rPr>
                <w:rFonts w:hint="eastAsia" w:eastAsia="MS Mincho"/>
                <w:lang w:eastAsia="ja-JP"/>
              </w:rPr>
              <w:t>Q</w:t>
            </w:r>
            <w:r>
              <w:rPr>
                <w:rFonts w:eastAsia="MS Mincho"/>
                <w:lang w:eastAsia="ja-JP"/>
              </w:rPr>
              <w:t>2: Yes. It has commonality with 4-step RACH.</w:t>
            </w:r>
          </w:p>
          <w:p>
            <w:pPr>
              <w:wordWrap/>
              <w:rPr>
                <w:lang w:eastAsia="en-US"/>
              </w:rPr>
            </w:pPr>
            <w:r>
              <w:rPr>
                <w:rFonts w:hint="eastAsia" w:eastAsia="MS Mincho"/>
                <w:lang w:eastAsia="ja-JP"/>
              </w:rPr>
              <w:t>P</w:t>
            </w:r>
            <w:r>
              <w:rPr>
                <w:rFonts w:eastAsia="MS Mincho"/>
                <w:lang w:eastAsia="ja-JP"/>
              </w:rPr>
              <w:t>roposal should be applied to RA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ordWrap/>
              <w:rPr>
                <w:rFonts w:hint="eastAsia" w:eastAsiaTheme="minorEastAsia"/>
                <w:lang w:eastAsia="zh-CN"/>
              </w:rPr>
            </w:pPr>
            <w:r>
              <w:rPr>
                <w:rFonts w:hint="eastAsia" w:eastAsiaTheme="minorEastAsia"/>
                <w:lang w:eastAsia="zh-CN"/>
              </w:rPr>
              <w:t>S</w:t>
            </w:r>
            <w:r>
              <w:rPr>
                <w:rFonts w:eastAsiaTheme="minorEastAsia"/>
                <w:lang w:eastAsia="zh-CN"/>
              </w:rPr>
              <w:t>amsung</w:t>
            </w:r>
          </w:p>
        </w:tc>
        <w:tc>
          <w:tcPr>
            <w:tcW w:w="6937" w:type="dxa"/>
          </w:tcPr>
          <w:p>
            <w:pPr>
              <w:wordWrap/>
              <w:rPr>
                <w:lang w:eastAsia="en-US"/>
              </w:rPr>
            </w:pPr>
            <w:r>
              <w:rPr>
                <w:rFonts w:hint="eastAsia" w:eastAsiaTheme="minor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pPr>
              <w:wordWrap/>
              <w:rPr>
                <w:rFonts w:hint="eastAsia"/>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5" w:type="dxa"/>
          </w:tcPr>
          <w:p>
            <w:pPr>
              <w:wordWrap/>
              <w:rPr>
                <w:rFonts w:hint="default" w:eastAsiaTheme="minorEastAsia"/>
                <w:lang w:val="en-US" w:eastAsia="zh-CN"/>
              </w:rPr>
            </w:pPr>
            <w:r>
              <w:rPr>
                <w:rFonts w:hint="eastAsia" w:eastAsiaTheme="minorEastAsia"/>
                <w:lang w:val="en-US" w:eastAsia="zh-CN"/>
              </w:rPr>
              <w:t>ZTE, Sanechips</w:t>
            </w:r>
          </w:p>
        </w:tc>
        <w:tc>
          <w:tcPr>
            <w:tcW w:w="6937" w:type="dxa"/>
          </w:tcPr>
          <w:p>
            <w:pPr>
              <w:wordWrap/>
              <w:rPr>
                <w:rFonts w:hint="default" w:eastAsia="宋体"/>
                <w:lang w:val="en-US" w:eastAsia="zh-CN"/>
              </w:rPr>
            </w:pPr>
            <w:r>
              <w:rPr>
                <w:rFonts w:hint="eastAsia" w:eastAsia="宋体"/>
                <w:lang w:val="en-US" w:eastAsia="zh-CN"/>
              </w:rPr>
              <w:t>Firstly, We need to clarify the meaning of MsgA PUSCH in Q1 and Q2, we think it refers to a PO(PUSCH occasion), not a PO group(including multiple POs associated with a PRACH slot).</w:t>
            </w:r>
          </w:p>
          <w:p>
            <w:pPr>
              <w:wordWrap/>
              <w:rPr>
                <w:rFonts w:hint="default" w:eastAsia="宋体"/>
                <w:lang w:val="en-US" w:eastAsia="zh-CN"/>
              </w:rPr>
            </w:pPr>
            <w:r>
              <w:rPr>
                <w:rFonts w:hint="eastAsia" w:eastAsia="宋体"/>
                <w:lang w:val="en-US" w:eastAsia="zh-CN"/>
              </w:rPr>
              <w:t xml:space="preserve">Q1: We support to restrict only </w:t>
            </w:r>
            <w:r>
              <w:rPr>
                <w:lang w:eastAsia="en-US"/>
              </w:rPr>
              <w:t xml:space="preserve">MsgA </w:t>
            </w:r>
            <w:r>
              <w:rPr>
                <w:rFonts w:hint="eastAsia" w:eastAsia="宋体"/>
                <w:lang w:val="en-US" w:eastAsia="zh-CN"/>
              </w:rPr>
              <w:t xml:space="preserve">interlaced </w:t>
            </w:r>
            <w:r>
              <w:rPr>
                <w:lang w:eastAsia="en-US"/>
              </w:rPr>
              <w:t xml:space="preserve">PUSCH within a RB set. </w:t>
            </w:r>
            <w:r>
              <w:rPr>
                <w:rFonts w:hint="eastAsia" w:eastAsia="宋体"/>
                <w:lang w:val="en-US" w:eastAsia="zh-CN"/>
              </w:rPr>
              <w:t>As for legacy PUSCH, it</w:t>
            </w:r>
            <w:r>
              <w:rPr>
                <w:rFonts w:hint="default" w:eastAsia="宋体"/>
                <w:lang w:val="en-US" w:eastAsia="zh-CN"/>
              </w:rPr>
              <w:t>’</w:t>
            </w:r>
            <w:r>
              <w:rPr>
                <w:rFonts w:hint="eastAsia" w:eastAsia="宋体"/>
                <w:lang w:val="en-US" w:eastAsia="zh-CN"/>
              </w:rPr>
              <w:t>s difficult to guarantee each PO in one RB set if multiple FDMed POs are configured. This is because that the frequency gap between neighbour POs is 1 or 0 PRB and it</w:t>
            </w:r>
            <w:r>
              <w:rPr>
                <w:rFonts w:hint="default" w:eastAsia="宋体"/>
                <w:lang w:val="en-US" w:eastAsia="zh-CN"/>
              </w:rPr>
              <w:t>’</w:t>
            </w:r>
            <w:r>
              <w:rPr>
                <w:rFonts w:hint="eastAsia" w:eastAsia="宋体"/>
                <w:lang w:val="en-US" w:eastAsia="zh-CN"/>
              </w:rPr>
              <w:t>s probably for one PO to cross the RB set boundary. I think it can be left to gNB configuration to avoid multiple LBT for legacy PUSCH.</w:t>
            </w:r>
          </w:p>
          <w:p>
            <w:pPr>
              <w:wordWrap/>
              <w:rPr>
                <w:rFonts w:hint="eastAsia" w:eastAsia="宋体"/>
                <w:lang w:val="en-US" w:eastAsia="zh-CN"/>
              </w:rPr>
            </w:pPr>
            <w:r>
              <w:rPr>
                <w:rFonts w:hint="eastAsia" w:eastAsia="宋体"/>
                <w:lang w:val="en-US" w:eastAsia="zh-CN"/>
              </w:rPr>
              <w:t>Q2: There is no need for such restriction.</w:t>
            </w:r>
          </w:p>
          <w:p>
            <w:pPr>
              <w:wordWrap/>
              <w:rPr>
                <w:rFonts w:hint="default" w:eastAsia="宋体"/>
                <w:lang w:val="en-US" w:eastAsia="zh-CN"/>
              </w:rPr>
            </w:pPr>
            <w:r>
              <w:rPr>
                <w:rFonts w:hint="eastAsia" w:eastAsia="宋体"/>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w:t>
            </w:r>
            <w:bookmarkStart w:id="5" w:name="_GoBack"/>
            <w:bookmarkEnd w:id="5"/>
            <w:r>
              <w:rPr>
                <w:rFonts w:hint="eastAsia" w:eastAsia="宋体"/>
                <w:lang w:val="en-US" w:eastAsia="zh-CN"/>
              </w:rPr>
              <w:t>p between Msg1 and Msg3 as in 2-step RACH. Besides, the benefit is very limited due to the separate LBTs for MsgA PRACH and PUSCH.</w:t>
            </w:r>
          </w:p>
        </w:tc>
      </w:tr>
    </w:tbl>
    <w:p>
      <w:pPr>
        <w:rPr>
          <w:b/>
          <w:bCs/>
          <w:lang w:eastAsia="en-US"/>
        </w:rPr>
      </w:pPr>
    </w:p>
    <w:p>
      <w:pPr>
        <w:rPr>
          <w:b/>
          <w:bCs/>
          <w:lang w:eastAsia="en-US"/>
        </w:rPr>
      </w:pPr>
    </w:p>
    <w:p>
      <w:pPr>
        <w:pStyle w:val="2"/>
        <w:numPr>
          <w:ilvl w:val="0"/>
          <w:numId w:val="0"/>
        </w:numPr>
        <w:tabs>
          <w:tab w:val="left" w:pos="9090"/>
        </w:tabs>
        <w:ind w:left="432" w:hanging="432"/>
      </w:pPr>
      <w:r>
        <w:t>Reference</w:t>
      </w:r>
    </w:p>
    <w:p>
      <w:pPr>
        <w:rPr>
          <w:lang w:eastAsia="en-US"/>
        </w:rPr>
      </w:pPr>
      <w:r>
        <w:rPr>
          <w:lang w:eastAsia="en-US"/>
        </w:rPr>
        <w:t>[1]. R1-2005330, Remaining issues on initial access signals and channles, vivo</w:t>
      </w:r>
    </w:p>
    <w:p>
      <w:pPr>
        <w:rPr>
          <w:lang w:eastAsia="en-US"/>
        </w:rPr>
      </w:pPr>
      <w:r>
        <w:rPr>
          <w:lang w:eastAsia="en-US"/>
        </w:rPr>
        <w:t>[2]. R1-2005597, Remaining issues on the initial access signals for NR-U, ZTE, Sanechips</w:t>
      </w:r>
    </w:p>
    <w:p>
      <w:pPr>
        <w:rPr>
          <w:lang w:eastAsia="en-US"/>
        </w:rPr>
      </w:pPr>
      <w:r>
        <w:rPr>
          <w:lang w:eastAsia="en-US"/>
        </w:rPr>
        <w:t>[3]. R1-2005789, Maintenance on initial access signals and channels, Huawei, HiSilicon</w:t>
      </w:r>
    </w:p>
    <w:p>
      <w:pPr>
        <w:rPr>
          <w:lang w:eastAsia="en-US"/>
        </w:rPr>
      </w:pPr>
      <w:r>
        <w:rPr>
          <w:lang w:eastAsia="en-US"/>
        </w:rPr>
        <w:t>[4]. R1-2005904, Remaining issues on Initial Access Signals and Channels for NR-U, Nokia, Nokia Shanghai Bell</w:t>
      </w:r>
    </w:p>
    <w:p>
      <w:pPr>
        <w:rPr>
          <w:lang w:eastAsia="en-US"/>
        </w:rPr>
      </w:pPr>
      <w:r>
        <w:rPr>
          <w:lang w:eastAsia="en-US"/>
        </w:rPr>
        <w:t>[5]. R1-2005910, Initial access signals and channels, Ericsson</w:t>
      </w:r>
    </w:p>
    <w:p>
      <w:pPr>
        <w:rPr>
          <w:lang w:eastAsia="en-US"/>
        </w:rPr>
      </w:pPr>
      <w:r>
        <w:rPr>
          <w:lang w:eastAsia="en-US"/>
        </w:rPr>
        <w:t>[6]. R1-2006017, Discussion on the remaining issues of initial access signal/channel, OPPO</w:t>
      </w:r>
    </w:p>
    <w:p>
      <w:pPr>
        <w:rPr>
          <w:lang w:eastAsia="en-US"/>
        </w:rPr>
      </w:pPr>
      <w:r>
        <w:rPr>
          <w:lang w:eastAsia="en-US"/>
        </w:rPr>
        <w:t>[7]. R1-2006092, Initial access signals and channels for NR-U, Samsung</w:t>
      </w:r>
    </w:p>
    <w:p>
      <w:pPr>
        <w:rPr>
          <w:lang w:eastAsia="en-US"/>
        </w:rPr>
      </w:pPr>
      <w:r>
        <w:rPr>
          <w:lang w:eastAsia="en-US"/>
        </w:rPr>
        <w:t>[8]. R1-2006288, Remaining issues on initial access signals, Spreadtrum Communications</w:t>
      </w:r>
    </w:p>
    <w:p>
      <w:pPr>
        <w:rPr>
          <w:lang w:eastAsia="en-US"/>
        </w:rPr>
      </w:pPr>
      <w:r>
        <w:rPr>
          <w:lang w:eastAsia="en-US"/>
        </w:rPr>
        <w:t>[9]. R1-2006298, Remaining issues of initial access signals and channels for NR-U, LG Electronics</w:t>
      </w:r>
    </w:p>
    <w:p>
      <w:pPr>
        <w:rPr>
          <w:lang w:eastAsia="en-US"/>
        </w:rPr>
      </w:pPr>
      <w:r>
        <w:rPr>
          <w:lang w:eastAsia="en-US"/>
        </w:rPr>
        <w:t>[10]. R1-2005808, Maintenance on UL signals and channels, Huawei, HiSilicon</w:t>
      </w:r>
    </w:p>
    <w:p>
      <w:pPr>
        <w:rPr>
          <w:lang w:eastAsia="en-US"/>
        </w:rPr>
      </w:pPr>
      <w:r>
        <w:rPr>
          <w:lang w:eastAsia="en-US"/>
        </w:rPr>
        <w:t>[11]. R1-2006371, Remaining Issues on UL Signals &amp; Channels for NR-U , Nokia, Nokia Shanghai Bell</w:t>
      </w:r>
    </w:p>
    <w:p>
      <w:pPr>
        <w:rPr>
          <w:lang w:eastAsia="en-US"/>
        </w:rPr>
      </w:pPr>
      <w:r>
        <w:rPr>
          <w:lang w:eastAsia="en-US"/>
        </w:rPr>
        <w:t>[12]. R1-2006019, Discussion on the remaining issues of UL signals and channels, OPPO</w:t>
      </w:r>
    </w:p>
    <w:p>
      <w:pPr>
        <w:rPr>
          <w:lang w:eastAsia="en-US"/>
        </w:rPr>
      </w:pPr>
      <w:r>
        <w:rPr>
          <w:lang w:eastAsia="en-US"/>
        </w:rPr>
        <w:t>[13]. R1-2006094, UL signals and channels for NR-U, Samsung</w:t>
      </w:r>
    </w:p>
    <w:p>
      <w:pPr>
        <w:rPr>
          <w:lang w:eastAsia="en-US"/>
        </w:rPr>
      </w:pPr>
      <w:r>
        <w:rPr>
          <w:lang w:eastAsia="en-US"/>
        </w:rPr>
        <w:t>[14]. R1-2005599, Remaining issues on the UL channels for NR-U, ZTE, Sanechips</w:t>
      </w:r>
    </w:p>
    <w:p>
      <w:pPr>
        <w:rPr>
          <w:lang w:val="en-US" w:eastAsia="en-US"/>
        </w:rPr>
      </w:pPr>
    </w:p>
    <w:sectPr>
      <w:footerReference r:id="rId3" w:type="default"/>
      <w:footerReference r:id="rId4"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Dotum">
    <w:panose1 w:val="020B0600000101010101"/>
    <w:charset w:val="81"/>
    <w:family w:val="modern"/>
    <w:pitch w:val="default"/>
    <w:sig w:usb0="B00002AF" w:usb1="69D77CFB" w:usb2="00000030" w:usb3="00000000" w:csb0="4008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roma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23"/>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0"/>
      </w:rPr>
    </w:pPr>
    <w:r>
      <w:rPr>
        <w:rStyle w:val="30"/>
      </w:rPr>
      <w:fldChar w:fldCharType="begin"/>
    </w:r>
    <w:r>
      <w:rPr>
        <w:rStyle w:val="30"/>
      </w:rPr>
      <w:instrText xml:space="preserve">PAGE  </w:instrText>
    </w:r>
    <w:r>
      <w:rPr>
        <w:rStyle w:val="30"/>
      </w:rPr>
      <w:fldChar w:fldCharType="end"/>
    </w:r>
  </w:p>
  <w:p>
    <w:pPr>
      <w:pStyle w:val="23"/>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5DD2"/>
    <w:multiLevelType w:val="multilevel"/>
    <w:tmpl w:val="09DC5D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9D33492"/>
    <w:multiLevelType w:val="multilevel"/>
    <w:tmpl w:val="29D33492"/>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6F0552E"/>
    <w:multiLevelType w:val="multilevel"/>
    <w:tmpl w:val="36F0552E"/>
    <w:lvl w:ilvl="0" w:tentative="0">
      <w:start w:val="2"/>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pStyle w:val="4"/>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8">
    <w:nsid w:val="53035AA2"/>
    <w:multiLevelType w:val="multilevel"/>
    <w:tmpl w:val="53035AA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657"/>
        </w:tabs>
        <w:ind w:left="657" w:hanging="567"/>
      </w:pPr>
      <w:rPr>
        <w:rFonts w:hint="default"/>
        <w:sz w:val="24"/>
        <w:szCs w:val="24"/>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9">
    <w:nsid w:val="6F5264E8"/>
    <w:multiLevelType w:val="multilevel"/>
    <w:tmpl w:val="6F5264E8"/>
    <w:lvl w:ilvl="0" w:tentative="0">
      <w:start w:val="0"/>
      <w:numFmt w:val="bullet"/>
      <w:lvlText w:val="•"/>
      <w:lvlJc w:val="left"/>
      <w:pPr>
        <w:ind w:left="795" w:hanging="795"/>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D421B68"/>
    <w:multiLevelType w:val="multilevel"/>
    <w:tmpl w:val="7D421B68"/>
    <w:lvl w:ilvl="0" w:tentative="0">
      <w:start w:val="1"/>
      <w:numFmt w:val="bullet"/>
      <w:pStyle w:val="15"/>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4"/>
  </w:num>
  <w:num w:numId="2">
    <w:abstractNumId w:val="11"/>
  </w:num>
  <w:num w:numId="3">
    <w:abstractNumId w:val="2"/>
  </w:num>
  <w:num w:numId="4">
    <w:abstractNumId w:val="10"/>
  </w:num>
  <w:num w:numId="5">
    <w:abstractNumId w:val="1"/>
  </w:num>
  <w:num w:numId="6">
    <w:abstractNumId w:val="5"/>
  </w:num>
  <w:num w:numId="7">
    <w:abstractNumId w:val="3"/>
  </w:num>
  <w:num w:numId="8">
    <w:abstractNumId w:val="6"/>
  </w:num>
  <w:num w:numId="9">
    <w:abstractNumId w:val="7"/>
  </w:num>
  <w:num w:numId="10">
    <w:abstractNumId w:val="8"/>
  </w:num>
  <w:num w:numId="11">
    <w:abstractNumId w:val="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line="259" w:lineRule="auto"/>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outlineLvl w:val="1"/>
    </w:pPr>
    <w:rPr>
      <w:sz w:val="32"/>
      <w:szCs w:val="18"/>
    </w:rPr>
  </w:style>
  <w:style w:type="paragraph" w:styleId="4">
    <w:name w:val="heading 3"/>
    <w:basedOn w:val="3"/>
    <w:next w:val="1"/>
    <w:link w:val="77"/>
    <w:qFormat/>
    <w:uiPriority w:val="0"/>
    <w:pPr>
      <w:numPr>
        <w:ilvl w:val="2"/>
      </w:numPr>
      <w:spacing w:before="1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outlineLvl w:val="4"/>
    </w:pPr>
    <w:rPr>
      <w:b/>
      <w:bCs/>
      <w:sz w:val="24"/>
    </w:rPr>
  </w:style>
  <w:style w:type="paragraph" w:styleId="7">
    <w:name w:val="heading 6"/>
    <w:basedOn w:val="1"/>
    <w:next w:val="1"/>
    <w:qFormat/>
    <w:uiPriority w:val="0"/>
    <w:pPr>
      <w:widowControl/>
      <w:numPr>
        <w:ilvl w:val="5"/>
        <w:numId w:val="1"/>
      </w:numPr>
      <w:spacing w:before="240" w:line="360" w:lineRule="auto"/>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spacing w:before="240" w:line="360" w:lineRule="auto"/>
      <w:outlineLvl w:val="6"/>
    </w:pPr>
    <w:rPr>
      <w:rFonts w:eastAsia="宋体"/>
      <w:kern w:val="0"/>
      <w:sz w:val="24"/>
      <w:lang w:eastAsia="en-US"/>
    </w:rPr>
  </w:style>
  <w:style w:type="paragraph" w:styleId="9">
    <w:name w:val="heading 8"/>
    <w:basedOn w:val="1"/>
    <w:next w:val="1"/>
    <w:qFormat/>
    <w:uiPriority w:val="0"/>
    <w:pPr>
      <w:widowControl/>
      <w:numPr>
        <w:ilvl w:val="7"/>
        <w:numId w:val="1"/>
      </w:numPr>
      <w:spacing w:before="240" w:line="360" w:lineRule="auto"/>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spacing w:before="240" w:line="360" w:lineRule="auto"/>
      <w:outlineLvl w:val="8"/>
    </w:pPr>
    <w:rPr>
      <w:rFonts w:ascii="Arial" w:hAnsi="Arial" w:eastAsia="宋体" w:cs="Arial"/>
      <w:kern w:val="0"/>
      <w:sz w:val="22"/>
      <w:lang w:eastAsia="en-US"/>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annotation subject"/>
    <w:basedOn w:val="13"/>
    <w:next w:val="13"/>
    <w:semiHidden/>
    <w:qFormat/>
    <w:uiPriority w:val="0"/>
    <w:rPr>
      <w:b/>
      <w:bCs/>
    </w:rPr>
  </w:style>
  <w:style w:type="paragraph" w:styleId="13">
    <w:name w:val="annotation text"/>
    <w:basedOn w:val="1"/>
    <w:link w:val="101"/>
    <w:qFormat/>
    <w:uiPriority w:val="0"/>
    <w:pPr>
      <w:jc w:val="left"/>
    </w:pPr>
  </w:style>
  <w:style w:type="paragraph" w:styleId="14">
    <w:name w:val="caption"/>
    <w:basedOn w:val="1"/>
    <w:next w:val="1"/>
    <w:link w:val="48"/>
    <w:qFormat/>
    <w:uiPriority w:val="0"/>
    <w:pPr>
      <w:widowControl/>
      <w:spacing w:before="120" w:after="120"/>
      <w:jc w:val="left"/>
    </w:pPr>
    <w:rPr>
      <w:b/>
      <w:kern w:val="0"/>
      <w:szCs w:val="20"/>
      <w:lang w:eastAsia="en-US"/>
    </w:rPr>
  </w:style>
  <w:style w:type="paragraph" w:styleId="15">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6">
    <w:name w:val="Document Map"/>
    <w:basedOn w:val="1"/>
    <w:semiHidden/>
    <w:qFormat/>
    <w:uiPriority w:val="0"/>
    <w:pPr>
      <w:shd w:val="clear" w:color="auto" w:fill="000080"/>
    </w:pPr>
    <w:rPr>
      <w:rFonts w:ascii="Arial" w:hAnsi="Arial" w:eastAsia="Dotum"/>
    </w:rPr>
  </w:style>
  <w:style w:type="paragraph" w:styleId="17">
    <w:name w:val="Body Text"/>
    <w:basedOn w:val="1"/>
    <w:link w:val="49"/>
    <w:qFormat/>
    <w:uiPriority w:val="0"/>
    <w:pPr>
      <w:widowControl/>
      <w:autoSpaceDE/>
      <w:autoSpaceDN/>
    </w:pPr>
    <w:rPr>
      <w:snapToGrid/>
      <w:kern w:val="0"/>
      <w:sz w:val="22"/>
      <w:szCs w:val="20"/>
    </w:rPr>
  </w:style>
  <w:style w:type="paragraph" w:styleId="18">
    <w:name w:val="List 2"/>
    <w:basedOn w:val="1"/>
    <w:qFormat/>
    <w:uiPriority w:val="0"/>
    <w:pPr>
      <w:ind w:left="720" w:hanging="360"/>
      <w:contextualSpacing/>
    </w:pPr>
  </w:style>
  <w:style w:type="paragraph" w:styleId="19">
    <w:name w:val="toc 3"/>
    <w:basedOn w:val="1"/>
    <w:next w:val="1"/>
    <w:qFormat/>
    <w:uiPriority w:val="0"/>
    <w:pPr>
      <w:spacing w:after="100"/>
      <w:ind w:left="400"/>
    </w:pPr>
  </w:style>
  <w:style w:type="paragraph" w:styleId="20">
    <w:name w:val="Plain Text"/>
    <w:basedOn w:val="1"/>
    <w:link w:val="67"/>
    <w:unhideWhenUsed/>
    <w:qFormat/>
    <w:uiPriority w:val="99"/>
    <w:pPr>
      <w:jc w:val="left"/>
    </w:pPr>
    <w:rPr>
      <w:rFonts w:ascii="Courier New" w:hAnsi="Courier New" w:eastAsia="Gulim"/>
      <w:szCs w:val="20"/>
      <w:lang w:val="zh-CN" w:eastAsia="zh-CN"/>
    </w:rPr>
  </w:style>
  <w:style w:type="paragraph" w:styleId="21">
    <w:name w:val="toc 8"/>
    <w:basedOn w:val="1"/>
    <w:next w:val="1"/>
    <w:qFormat/>
    <w:uiPriority w:val="0"/>
    <w:pPr>
      <w:ind w:left="2975" w:leftChars="1400"/>
    </w:pPr>
  </w:style>
  <w:style w:type="paragraph" w:styleId="22">
    <w:name w:val="Balloon Text"/>
    <w:basedOn w:val="1"/>
    <w:semiHidden/>
    <w:qFormat/>
    <w:uiPriority w:val="0"/>
    <w:rPr>
      <w:rFonts w:ascii="Arial" w:hAnsi="Arial" w:eastAsia="Dotum"/>
      <w:sz w:val="18"/>
      <w:szCs w:val="18"/>
    </w:rPr>
  </w:style>
  <w:style w:type="paragraph" w:styleId="23">
    <w:name w:val="footer"/>
    <w:basedOn w:val="1"/>
    <w:link w:val="93"/>
    <w:qFormat/>
    <w:uiPriority w:val="0"/>
    <w:pPr>
      <w:tabs>
        <w:tab w:val="center" w:pos="4252"/>
        <w:tab w:val="right" w:pos="8504"/>
      </w:tabs>
      <w:snapToGrid w:val="0"/>
    </w:pPr>
  </w:style>
  <w:style w:type="paragraph" w:styleId="24">
    <w:name w:val="header"/>
    <w:basedOn w:val="1"/>
    <w:link w:val="61"/>
    <w:qFormat/>
    <w:uiPriority w:val="0"/>
    <w:pPr>
      <w:tabs>
        <w:tab w:val="center" w:pos="4252"/>
        <w:tab w:val="right" w:pos="8504"/>
      </w:tabs>
      <w:snapToGrid w:val="0"/>
    </w:pPr>
  </w:style>
  <w:style w:type="paragraph" w:styleId="25">
    <w:name w:val="List"/>
    <w:basedOn w:val="1"/>
    <w:qFormat/>
    <w:uiPriority w:val="0"/>
    <w:pPr>
      <w:ind w:left="360" w:hanging="360"/>
      <w:contextualSpacing/>
    </w:pPr>
  </w:style>
  <w:style w:type="paragraph" w:styleId="26">
    <w:name w:val="footnote text"/>
    <w:basedOn w:val="1"/>
    <w:link w:val="63"/>
    <w:qFormat/>
    <w:uiPriority w:val="0"/>
    <w:pPr>
      <w:snapToGrid w:val="0"/>
      <w:jc w:val="left"/>
    </w:pPr>
    <w:rPr>
      <w:lang w:val="zh-CN" w:eastAsia="zh-CN"/>
    </w:rPr>
  </w:style>
  <w:style w:type="paragraph" w:styleId="27">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i/>
      <w:iCs/>
    </w:rPr>
  </w:style>
  <w:style w:type="character" w:styleId="32">
    <w:name w:val="Hyperlink"/>
    <w:qFormat/>
    <w:uiPriority w:val="0"/>
    <w:rPr>
      <w:rFonts w:ascii="Arial" w:hAnsi="Arial" w:eastAsia="宋体" w:cs="Arial"/>
      <w:color w:val="0000FF"/>
      <w:kern w:val="2"/>
      <w:u w:val="single"/>
      <w:lang w:val="en-US" w:eastAsia="zh-CN" w:bidi="ar-SA"/>
    </w:rPr>
  </w:style>
  <w:style w:type="character" w:styleId="33">
    <w:name w:val="annotation reference"/>
    <w:qFormat/>
    <w:uiPriority w:val="0"/>
    <w:rPr>
      <w:sz w:val="18"/>
      <w:szCs w:val="18"/>
    </w:rPr>
  </w:style>
  <w:style w:type="character" w:styleId="34">
    <w:name w:val="footnote reference"/>
    <w:qFormat/>
    <w:uiPriority w:val="0"/>
    <w:rPr>
      <w:vertAlign w:val="superscript"/>
    </w:rPr>
  </w:style>
  <w:style w:type="table" w:styleId="36">
    <w:name w:val="Table Grid"/>
    <w:basedOn w:val="35"/>
    <w:qFormat/>
    <w:uiPriority w:val="59"/>
    <w:pPr>
      <w:widowControl w:val="0"/>
      <w:wordWrap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题注 Char"/>
    <w:link w:val="14"/>
    <w:qFormat/>
    <w:uiPriority w:val="0"/>
    <w:rPr>
      <w:b/>
      <w:lang w:val="en-GB" w:eastAsia="en-US" w:bidi="ar-SA"/>
    </w:rPr>
  </w:style>
  <w:style w:type="character" w:customStyle="1" w:styleId="49">
    <w:name w:val="正文文本 Char"/>
    <w:link w:val="17"/>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61">
    <w:name w:val="页眉 Char"/>
    <w:link w:val="24"/>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3">
    <w:name w:val="脚注文本 Char"/>
    <w:link w:val="26"/>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수정1"/>
    <w:hidden/>
    <w:semiHidden/>
    <w:uiPriority w:val="99"/>
    <w:pPr>
      <w:spacing w:after="160" w:line="259" w:lineRule="auto"/>
      <w:jc w:val="both"/>
    </w:pPr>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纯文本 Char"/>
    <w:link w:val="20"/>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pPr>
      <w:spacing w:after="160" w:line="259" w:lineRule="auto"/>
      <w:jc w:val="both"/>
    </w:pPr>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spacing w:after="160" w:line="259" w:lineRule="auto"/>
      <w:jc w:val="both"/>
    </w:pPr>
    <w:rPr>
      <w:rFonts w:ascii="Arial" w:hAnsi="Arial" w:eastAsia="Batang" w:cs="Arial"/>
      <w:color w:val="000000"/>
      <w:sz w:val="24"/>
      <w:szCs w:val="24"/>
      <w:lang w:val="en-US" w:eastAsia="zh-CN" w:bidi="ar-SA"/>
    </w:rPr>
  </w:style>
  <w:style w:type="paragraph" w:customStyle="1" w:styleId="72">
    <w:name w:val="TAN"/>
    <w:basedOn w:val="41"/>
    <w:uiPriority w:val="0"/>
    <w:pPr>
      <w:ind w:left="851" w:hanging="851"/>
    </w:pPr>
    <w:rPr>
      <w:rFonts w:eastAsia="Times New Roman"/>
    </w:rPr>
  </w:style>
  <w:style w:type="table" w:customStyle="1" w:styleId="73">
    <w:name w:val="눈금 표 2 - 강조색 31"/>
    <w:basedOn w:val="35"/>
    <w:qFormat/>
    <w:uiPriority w:val="47"/>
    <w:tblPr>
      <w:tblBorders>
        <w:top w:val="single" w:color="C9C9C9" w:sz="2" w:space="0"/>
        <w:bottom w:val="single" w:color="C9C9C9" w:sz="2" w:space="0"/>
        <w:insideH w:val="single" w:color="C9C9C9" w:sz="2" w:space="0"/>
        <w:insideV w:val="single" w:color="C9C9C9" w:sz="2" w:space="0"/>
      </w:tblBorders>
      <w:tblLayout w:type="fixed"/>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눈금 표 6 색상형 - 강조색 31"/>
    <w:basedOn w:val="35"/>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fixed"/>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列出段落 Char"/>
    <w:link w:val="66"/>
    <w:qFormat/>
    <w:uiPriority w:val="34"/>
    <w:rPr>
      <w:rFonts w:eastAsia="Gulim"/>
      <w:snapToGrid w:val="0"/>
      <w:szCs w:val="22"/>
      <w:lang w:val="en-GB" w:eastAsia="ko-KR"/>
    </w:rPr>
  </w:style>
  <w:style w:type="character" w:styleId="76">
    <w:name w:val="Placeholder Text"/>
    <w:basedOn w:val="28"/>
    <w:semiHidden/>
    <w:qFormat/>
    <w:uiPriority w:val="99"/>
    <w:rPr>
      <w:color w:val="808080"/>
    </w:rPr>
  </w:style>
  <w:style w:type="character" w:customStyle="1" w:styleId="77">
    <w:name w:val="标题 3 Char"/>
    <w:basedOn w:val="28"/>
    <w:link w:val="4"/>
    <w:qFormat/>
    <w:uiPriority w:val="0"/>
    <w:rPr>
      <w:rFonts w:ascii="Arial" w:hAnsi="Arial"/>
      <w:sz w:val="28"/>
      <w:lang w:val="en-GB"/>
    </w:rPr>
  </w:style>
  <w:style w:type="table" w:customStyle="1" w:styleId="78">
    <w:name w:val="일반 표 31"/>
    <w:basedOn w:val="35"/>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일반 표 51"/>
    <w:basedOn w:val="35"/>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28"/>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28"/>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页脚 Char"/>
    <w:link w:val="23"/>
    <w:qFormat/>
    <w:uiPriority w:val="0"/>
    <w:rPr>
      <w:snapToGrid w:val="0"/>
      <w:kern w:val="2"/>
      <w:szCs w:val="22"/>
      <w:lang w:val="en-GB" w:eastAsia="ko-KR"/>
    </w:rPr>
  </w:style>
  <w:style w:type="paragraph" w:customStyle="1" w:styleId="94">
    <w:name w:val="B1"/>
    <w:basedOn w:val="25"/>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8"/>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28"/>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批注文字 Char"/>
    <w:link w:val="13"/>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A15EE-A12B-475F-8FE4-0B7F95388EE5}">
  <ds:schemaRefs/>
</ds:datastoreItem>
</file>

<file path=customXml/itemProps3.xml><?xml version="1.0" encoding="utf-8"?>
<ds:datastoreItem xmlns:ds="http://schemas.openxmlformats.org/officeDocument/2006/customXml" ds:itemID="{72D12D2E-C53D-4CB0-B1D4-DBEA39CF3CC4}">
  <ds:schemaRefs/>
</ds:datastoreItem>
</file>

<file path=customXml/itemProps4.xml><?xml version="1.0" encoding="utf-8"?>
<ds:datastoreItem xmlns:ds="http://schemas.openxmlformats.org/officeDocument/2006/customXml" ds:itemID="{A52DCE01-5C02-4A9A-A082-3F14FD8A0453}">
  <ds:schemaRefs/>
</ds:datastoreItem>
</file>

<file path=customXml/itemProps5.xml><?xml version="1.0" encoding="utf-8"?>
<ds:datastoreItem xmlns:ds="http://schemas.openxmlformats.org/officeDocument/2006/customXml" ds:itemID="{8AD54B38-7B72-453D-861E-F9A44DF845C0}">
  <ds:schemaRefs/>
</ds:datastoreItem>
</file>

<file path=customXml/itemProps6.xml><?xml version="1.0" encoding="utf-8"?>
<ds:datastoreItem xmlns:ds="http://schemas.openxmlformats.org/officeDocument/2006/customXml" ds:itemID="{0BF08FB2-FAA9-4D2D-96EB-10A557223B6A}">
  <ds:schemaRefs/>
</ds:datastoreItem>
</file>

<file path=customXml/itemProps7.xml><?xml version="1.0" encoding="utf-8"?>
<ds:datastoreItem xmlns:ds="http://schemas.openxmlformats.org/officeDocument/2006/customXml" ds:itemID="{52441935-4644-45CB-848D-32FF54027708}">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5</Pages>
  <Words>1915</Words>
  <Characters>10919</Characters>
  <Lines>90</Lines>
  <Paragraphs>25</Paragraphs>
  <TotalTime>106</TotalTime>
  <ScaleCrop>false</ScaleCrop>
  <LinksUpToDate>false</LinksUpToDate>
  <CharactersWithSpaces>12809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2020-08-18T01:12:00Z</dcterms:created>
  <dc:creator>weichao@qti.qualcomm.com</dc:creator>
  <cp:lastModifiedBy>Ziyang ZTE</cp:lastModifiedBy>
  <cp:lastPrinted>2019-01-10T09:30:00Z</cp:lastPrinted>
  <dcterms:modified xsi:type="dcterms:W3CDTF">2020-08-18T08:23:16Z</dcterms:modified>
  <dc:title>Updated for review</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