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6FC9672C"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6C67AC">
        <w:rPr>
          <w:rFonts w:ascii="Arial" w:hAnsi="Arial" w:cs="Arial"/>
          <w:b/>
          <w:bCs/>
          <w:sz w:val="24"/>
        </w:rPr>
        <w:t>2</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R1-20</w:t>
      </w:r>
      <w:r w:rsidR="000852D5">
        <w:rPr>
          <w:rFonts w:ascii="Arial" w:hAnsi="Arial" w:cs="Arial"/>
          <w:b/>
          <w:bCs/>
          <w:sz w:val="24"/>
        </w:rPr>
        <w:t>06130</w:t>
      </w:r>
    </w:p>
    <w:p w14:paraId="0A1AA35D" w14:textId="42EC0DDD" w:rsidR="00CE3813" w:rsidRDefault="00671FB5"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A05208">
        <w:rPr>
          <w:rFonts w:ascii="Arial" w:eastAsia="MS Mincho" w:hAnsi="Arial" w:cs="Arial"/>
          <w:b/>
          <w:bCs/>
          <w:sz w:val="24"/>
          <w:lang w:eastAsia="ja-JP"/>
        </w:rPr>
        <w:t>August</w:t>
      </w:r>
      <w:r w:rsidRPr="008D31A3">
        <w:rPr>
          <w:rFonts w:ascii="Arial" w:eastAsia="MS Mincho" w:hAnsi="Arial" w:cs="Arial"/>
          <w:b/>
          <w:bCs/>
          <w:sz w:val="24"/>
          <w:lang w:eastAsia="ja-JP"/>
        </w:rPr>
        <w:t xml:space="preserve"> </w:t>
      </w:r>
      <w:r w:rsidR="00A05208">
        <w:rPr>
          <w:rFonts w:ascii="Arial" w:eastAsia="MS Mincho" w:hAnsi="Arial" w:cs="Arial"/>
          <w:b/>
          <w:bCs/>
          <w:sz w:val="24"/>
          <w:lang w:eastAsia="ja-JP"/>
        </w:rPr>
        <w:t>17</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w:t>
      </w:r>
      <w:r w:rsidR="00A05208">
        <w:rPr>
          <w:rFonts w:ascii="Arial" w:eastAsia="MS Mincho" w:hAnsi="Arial" w:cs="Arial"/>
          <w:b/>
          <w:bCs/>
          <w:sz w:val="24"/>
          <w:lang w:eastAsia="ja-JP"/>
        </w:rPr>
        <w:t>28</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2020</w:t>
      </w:r>
    </w:p>
    <w:p w14:paraId="1F1E32DE" w14:textId="77777777" w:rsidR="00671FB5" w:rsidRPr="00BF5EF5" w:rsidRDefault="00671FB5" w:rsidP="00671FB5">
      <w:pPr>
        <w:tabs>
          <w:tab w:val="center" w:pos="4536"/>
          <w:tab w:val="right" w:pos="9072"/>
        </w:tabs>
        <w:spacing w:after="0" w:line="276" w:lineRule="auto"/>
        <w:rPr>
          <w:rFonts w:ascii="Arial" w:hAnsi="Arial" w:cs="Arial"/>
          <w:b/>
          <w:bCs/>
          <w:sz w:val="24"/>
          <w:szCs w:val="24"/>
        </w:rPr>
      </w:pPr>
    </w:p>
    <w:p w14:paraId="3AF9CE59" w14:textId="232AE4A4"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C77C50">
        <w:rPr>
          <w:rFonts w:ascii="Arial" w:hAnsi="Arial"/>
          <w:sz w:val="24"/>
          <w:lang w:val="en-US" w:eastAsia="ko-KR"/>
        </w:rPr>
        <w:t>2.2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4F2AA6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C08F6">
        <w:rPr>
          <w:rFonts w:ascii="Arial" w:hAnsi="Arial"/>
          <w:sz w:val="24"/>
          <w:lang w:val="en-US"/>
        </w:rPr>
        <w:t>Enhancements on multi-TRP inter-cell operation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Heading1"/>
        <w:spacing w:before="0" w:after="60"/>
        <w:jc w:val="both"/>
        <w:rPr>
          <w:sz w:val="28"/>
          <w:szCs w:val="28"/>
          <w:lang w:val="en-US"/>
        </w:rPr>
      </w:pPr>
      <w:r>
        <w:rPr>
          <w:sz w:val="28"/>
          <w:szCs w:val="28"/>
          <w:lang w:val="en-US"/>
        </w:rPr>
        <w:t>Introduction</w:t>
      </w:r>
    </w:p>
    <w:tbl>
      <w:tblPr>
        <w:tblStyle w:val="TableGrid"/>
        <w:tblW w:w="9810" w:type="dxa"/>
        <w:tblInd w:w="-185" w:type="dxa"/>
        <w:tblLook w:val="04A0" w:firstRow="1" w:lastRow="0" w:firstColumn="1" w:lastColumn="0" w:noHBand="0" w:noVBand="1"/>
      </w:tblPr>
      <w:tblGrid>
        <w:gridCol w:w="9810"/>
      </w:tblGrid>
      <w:tr w:rsidR="004D0FE7" w:rsidRPr="001026E8" w14:paraId="018580EE" w14:textId="77777777" w:rsidTr="00F74B9D">
        <w:tc>
          <w:tcPr>
            <w:tcW w:w="9810" w:type="dxa"/>
          </w:tcPr>
          <w:p w14:paraId="6E0A8169" w14:textId="77777777" w:rsidR="004D0FE7" w:rsidRPr="001026E8" w:rsidRDefault="004D0FE7" w:rsidP="00F74B9D">
            <w:pPr>
              <w:pStyle w:val="ListParagraph"/>
              <w:spacing w:after="0"/>
              <w:ind w:leftChars="0" w:left="720"/>
              <w:jc w:val="both"/>
              <w:rPr>
                <w:sz w:val="18"/>
                <w:szCs w:val="18"/>
              </w:rPr>
            </w:pPr>
            <w:r w:rsidRPr="001026E8">
              <w:rPr>
                <w:sz w:val="18"/>
                <w:szCs w:val="18"/>
              </w:rPr>
              <w:t xml:space="preserve">Enhancement on the support for multi-TRP deployment, </w:t>
            </w:r>
            <w:r w:rsidRPr="004D0FE7">
              <w:rPr>
                <w:sz w:val="18"/>
                <w:szCs w:val="18"/>
              </w:rPr>
              <w:t>targeting both FR1 and FR2:</w:t>
            </w:r>
          </w:p>
          <w:p w14:paraId="24139BD2" w14:textId="77777777" w:rsidR="004D0FE7" w:rsidRPr="001026E8" w:rsidRDefault="004D0FE7" w:rsidP="004D0FE7">
            <w:pPr>
              <w:pStyle w:val="ListParagraph"/>
              <w:numPr>
                <w:ilvl w:val="1"/>
                <w:numId w:val="10"/>
              </w:numPr>
              <w:spacing w:after="0"/>
              <w:ind w:leftChars="0" w:left="1440"/>
              <w:jc w:val="both"/>
              <w:rPr>
                <w:sz w:val="18"/>
                <w:szCs w:val="18"/>
              </w:rPr>
            </w:pPr>
            <w:r w:rsidRPr="001026E8">
              <w:rPr>
                <w:sz w:val="18"/>
                <w:szCs w:val="18"/>
              </w:rPr>
              <w:t xml:space="preserve">Identify and specify features to improve reliability and robustness for channels other than PDSCH (that is, PDCCH, PUSCH, and PUCCH) using multi-TRP and/or multi-panel, with Rel.16 reliability features as the baseline </w:t>
            </w:r>
          </w:p>
          <w:p w14:paraId="1F4D98BD" w14:textId="77777777" w:rsidR="004D0FE7" w:rsidRPr="004D0FE7" w:rsidRDefault="004D0FE7" w:rsidP="004D0FE7">
            <w:pPr>
              <w:pStyle w:val="ListParagraph"/>
              <w:numPr>
                <w:ilvl w:val="1"/>
                <w:numId w:val="10"/>
              </w:numPr>
              <w:spacing w:after="0"/>
              <w:ind w:leftChars="0" w:left="1440"/>
              <w:jc w:val="both"/>
              <w:rPr>
                <w:sz w:val="18"/>
                <w:szCs w:val="18"/>
                <w:highlight w:val="yellow"/>
              </w:rPr>
            </w:pPr>
            <w:r w:rsidRPr="004D0FE7">
              <w:rPr>
                <w:sz w:val="18"/>
                <w:szCs w:val="18"/>
                <w:highlight w:val="yellow"/>
              </w:rPr>
              <w:t>Identify and specify QCL/TCI-related enhancements to enable inter-cell multi-TRP operations, assuming multi-DCI based multi-PDSCH reception</w:t>
            </w:r>
          </w:p>
          <w:p w14:paraId="7EE94F24" w14:textId="77777777" w:rsidR="004D0FE7" w:rsidRPr="001026E8" w:rsidRDefault="004D0FE7" w:rsidP="004D0FE7">
            <w:pPr>
              <w:pStyle w:val="ListParagraph"/>
              <w:numPr>
                <w:ilvl w:val="1"/>
                <w:numId w:val="10"/>
              </w:numPr>
              <w:spacing w:after="0"/>
              <w:ind w:leftChars="0" w:left="1440"/>
              <w:jc w:val="both"/>
              <w:rPr>
                <w:sz w:val="18"/>
                <w:szCs w:val="18"/>
              </w:rPr>
            </w:pPr>
            <w:r w:rsidRPr="001026E8">
              <w:rPr>
                <w:sz w:val="18"/>
                <w:szCs w:val="18"/>
              </w:rPr>
              <w:t>Evaluate and, if needed, specify beam-management-related enhancements for simultaneous multi-TRP transmission with multi-panel reception</w:t>
            </w:r>
          </w:p>
          <w:p w14:paraId="578E1907" w14:textId="77777777" w:rsidR="004D0FE7" w:rsidRPr="004D0FE7" w:rsidRDefault="004D0FE7" w:rsidP="004D0FE7">
            <w:pPr>
              <w:pStyle w:val="ListParagraph"/>
              <w:numPr>
                <w:ilvl w:val="1"/>
                <w:numId w:val="10"/>
              </w:numPr>
              <w:spacing w:after="0"/>
              <w:ind w:leftChars="0" w:left="1440"/>
              <w:jc w:val="both"/>
              <w:rPr>
                <w:sz w:val="18"/>
                <w:szCs w:val="18"/>
              </w:rPr>
            </w:pPr>
            <w:r w:rsidRPr="004D0FE7">
              <w:rPr>
                <w:sz w:val="18"/>
                <w:szCs w:val="18"/>
              </w:rPr>
              <w:t>Enhancement to support HST-SFN deployment scenario:</w:t>
            </w:r>
          </w:p>
          <w:p w14:paraId="0163129D" w14:textId="77777777" w:rsidR="004D0FE7" w:rsidRPr="004D0FE7" w:rsidRDefault="004D0FE7" w:rsidP="004D0FE7">
            <w:pPr>
              <w:pStyle w:val="ListParagraph"/>
              <w:numPr>
                <w:ilvl w:val="2"/>
                <w:numId w:val="10"/>
              </w:numPr>
              <w:spacing w:after="0"/>
              <w:ind w:leftChars="0" w:left="2160"/>
              <w:jc w:val="both"/>
              <w:rPr>
                <w:sz w:val="18"/>
                <w:szCs w:val="18"/>
              </w:rPr>
            </w:pPr>
            <w:r w:rsidRPr="004D0FE7">
              <w:rPr>
                <w:sz w:val="18"/>
                <w:szCs w:val="18"/>
              </w:rPr>
              <w:t>Identify and specify solution(s) on QCL assumption for DMRS, e.g. multiple QCL assumptions for the same DMRS port(s), targeting DL-only transmission</w:t>
            </w:r>
          </w:p>
          <w:p w14:paraId="50CDC82F" w14:textId="77777777" w:rsidR="004D0FE7" w:rsidRPr="006C67AC" w:rsidRDefault="004D0FE7" w:rsidP="004D0FE7">
            <w:pPr>
              <w:pStyle w:val="ListParagraph"/>
              <w:numPr>
                <w:ilvl w:val="2"/>
                <w:numId w:val="10"/>
              </w:numPr>
              <w:spacing w:after="0"/>
              <w:ind w:leftChars="0" w:left="2160"/>
              <w:jc w:val="both"/>
              <w:rPr>
                <w:sz w:val="18"/>
                <w:szCs w:val="18"/>
              </w:rPr>
            </w:pPr>
            <w:r w:rsidRPr="004D0FE7">
              <w:rPr>
                <w:sz w:val="18"/>
                <w:szCs w:val="18"/>
              </w:rPr>
              <w:t>Evaluate and, if the benefit over Rel.16 HST enhancement baseline is demonstrated, specify QCL/QCL-like relation (including applicable type(s) and the associated requirement) between DL and UL signal by reusing the unified TCI framework</w:t>
            </w:r>
          </w:p>
        </w:tc>
      </w:tr>
    </w:tbl>
    <w:p w14:paraId="79AFDED5" w14:textId="77777777" w:rsidR="004D0FE7" w:rsidRDefault="004D0FE7" w:rsidP="004D0FE7">
      <w:pPr>
        <w:pStyle w:val="0Maintext"/>
        <w:spacing w:after="60" w:afterAutospacing="0"/>
        <w:ind w:firstLine="0"/>
        <w:rPr>
          <w:lang w:val="en-US"/>
        </w:rPr>
      </w:pPr>
    </w:p>
    <w:p w14:paraId="6B04904E" w14:textId="2A8A4A38" w:rsidR="004D0FE7" w:rsidRDefault="004D0FE7" w:rsidP="004D0FE7">
      <w:pPr>
        <w:pStyle w:val="0Maintext"/>
        <w:spacing w:after="60" w:afterAutospacing="0"/>
        <w:rPr>
          <w:lang w:val="en-US"/>
        </w:rPr>
      </w:pPr>
      <w:r>
        <w:rPr>
          <w:lang w:val="en-US"/>
        </w:rPr>
        <w:t>This contribution provides Samsung’s view</w:t>
      </w:r>
      <w:r w:rsidR="00E043B6">
        <w:rPr>
          <w:lang w:val="en-US"/>
        </w:rPr>
        <w:t>s on the highlighted topic</w:t>
      </w:r>
      <w:r>
        <w:rPr>
          <w:lang w:val="en-US"/>
        </w:rPr>
        <w:t xml:space="preserve"> above.</w:t>
      </w:r>
    </w:p>
    <w:p w14:paraId="76C10DDF" w14:textId="77777777" w:rsidR="006C67AC" w:rsidRPr="004D0FE7" w:rsidRDefault="006C67AC" w:rsidP="007C35B4">
      <w:pPr>
        <w:pStyle w:val="0Maintext"/>
        <w:spacing w:after="60" w:afterAutospacing="0"/>
        <w:rPr>
          <w:rFonts w:eastAsiaTheme="minorEastAsia" w:cs="Times New Roman"/>
          <w:color w:val="000000" w:themeColor="text1"/>
          <w:kern w:val="24"/>
          <w:lang w:val="en-US"/>
        </w:rPr>
      </w:pPr>
    </w:p>
    <w:p w14:paraId="204F3709" w14:textId="750FB8DF" w:rsidR="00DA4751" w:rsidRPr="0097197C" w:rsidRDefault="004D0FE7" w:rsidP="0097197C">
      <w:pPr>
        <w:pStyle w:val="Heading1"/>
        <w:spacing w:before="0" w:after="60"/>
        <w:jc w:val="both"/>
        <w:rPr>
          <w:sz w:val="28"/>
          <w:szCs w:val="28"/>
          <w:lang w:val="en-US"/>
        </w:rPr>
      </w:pPr>
      <w:r>
        <w:rPr>
          <w:sz w:val="28"/>
          <w:lang w:val="en-US"/>
        </w:rPr>
        <w:t>QCL enhancements for inter-cell multi-TRP</w:t>
      </w:r>
    </w:p>
    <w:p w14:paraId="12D350C1" w14:textId="77777777" w:rsidR="00EE4026" w:rsidRPr="00F27612" w:rsidRDefault="00EE4026" w:rsidP="00F37A33">
      <w:pPr>
        <w:pStyle w:val="ListParagraph"/>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2889ED27" w14:textId="337A9F81" w:rsidR="00C77C50" w:rsidRPr="00C77C50" w:rsidRDefault="00BF5EF5" w:rsidP="00C77C50">
      <w:pPr>
        <w:pStyle w:val="0Maintext"/>
        <w:spacing w:after="60" w:afterAutospacing="0"/>
        <w:rPr>
          <w:lang w:val="en-US" w:eastAsia="ko-KR"/>
        </w:rPr>
      </w:pPr>
      <w:r>
        <w:rPr>
          <w:lang w:val="en-US" w:eastAsia="ko-KR"/>
        </w:rPr>
        <w:t>Perhaps the most important enhancement over</w:t>
      </w:r>
      <w:r w:rsidR="00C77C50" w:rsidRPr="00C77C50">
        <w:rPr>
          <w:lang w:val="en-US" w:eastAsia="ko-KR"/>
        </w:rPr>
        <w:t xml:space="preserve"> the Rel. 16 QCL/TCI framework for the inter-cell multi-TRP transmission </w:t>
      </w:r>
      <w:r>
        <w:rPr>
          <w:lang w:val="en-US" w:eastAsia="ko-KR"/>
        </w:rPr>
        <w:t>pertains to</w:t>
      </w:r>
      <w:r w:rsidRPr="00C77C50">
        <w:rPr>
          <w:lang w:val="en-US" w:eastAsia="ko-KR"/>
        </w:rPr>
        <w:t xml:space="preserve"> </w:t>
      </w:r>
      <w:r>
        <w:rPr>
          <w:lang w:val="en-US" w:eastAsia="ko-KR"/>
        </w:rPr>
        <w:t xml:space="preserve">the scenario </w:t>
      </w:r>
      <w:r w:rsidR="00C77C50" w:rsidRPr="00C77C50">
        <w:rPr>
          <w:lang w:val="en-US" w:eastAsia="ko-KR"/>
        </w:rPr>
        <w:t xml:space="preserve">when </w:t>
      </w:r>
      <w:r>
        <w:rPr>
          <w:lang w:val="en-US" w:eastAsia="ko-KR"/>
        </w:rPr>
        <w:t xml:space="preserve">at least </w:t>
      </w:r>
      <w:r w:rsidR="00C77C50" w:rsidRPr="00C77C50">
        <w:rPr>
          <w:lang w:val="en-US" w:eastAsia="ko-KR"/>
        </w:rPr>
        <w:t>one coordinating TRP is not presented with a valid serving cell ID (SCI). Without a valid SCI, the SSBs from the non-serving-cell TRP cannot be used as the QCL source/reference as they cannot be inferred from the TCI-State/QCL-Info in the current TCI framework. Further</w:t>
      </w:r>
      <w:r w:rsidR="00AD6452">
        <w:rPr>
          <w:lang w:val="en-US" w:eastAsia="ko-KR"/>
        </w:rPr>
        <w:t>more</w:t>
      </w:r>
      <w:bookmarkStart w:id="2" w:name="_GoBack"/>
      <w:bookmarkEnd w:id="2"/>
      <w:r w:rsidR="00C77C50" w:rsidRPr="00C77C50">
        <w:rPr>
          <w:lang w:val="en-US" w:eastAsia="ko-KR"/>
        </w:rPr>
        <w:t xml:space="preserve">, how to efficiently measure/monitor the SSBs from the non-serving-cell TRP and make their information available to the UE may also need to be specified. Reusing the Rel. 16 TCI framework to indicate the SSBs from the serving-cell TRP as the QCL source for the TRS from the non-serving-cell TRP could be problematic because the two TRPs are </w:t>
      </w:r>
      <w:r>
        <w:rPr>
          <w:lang w:val="en-US" w:eastAsia="ko-KR"/>
        </w:rPr>
        <w:t xml:space="preserve">not </w:t>
      </w:r>
      <w:r w:rsidR="00C77C50" w:rsidRPr="00C77C50">
        <w:rPr>
          <w:lang w:val="en-US" w:eastAsia="ko-KR"/>
        </w:rPr>
        <w:t>geographically</w:t>
      </w:r>
      <w:r>
        <w:rPr>
          <w:lang w:val="en-US" w:eastAsia="ko-KR"/>
        </w:rPr>
        <w:t xml:space="preserve"> co-located – not to mention that </w:t>
      </w:r>
      <w:r w:rsidR="00C77C50" w:rsidRPr="00C77C50">
        <w:rPr>
          <w:lang w:val="en-US" w:eastAsia="ko-KR"/>
        </w:rPr>
        <w:t>they could be loosely synchronized in both time and frequency. In Figure 1, examples of the inter-cell multi-TRP transmission under the non-CA framework are provided assuming two coordinating TRPs (serving-cell TRP-1 and non-serving-cell TRP-2).</w:t>
      </w:r>
    </w:p>
    <w:p w14:paraId="4E5BB92C" w14:textId="77777777" w:rsidR="00C77C50" w:rsidRDefault="00C77C50" w:rsidP="00C77C50">
      <w:pPr>
        <w:pStyle w:val="maintext"/>
        <w:ind w:firstLineChars="0" w:firstLine="0"/>
        <w:jc w:val="center"/>
      </w:pPr>
      <w:r>
        <w:object w:dxaOrig="16100" w:dyaOrig="4027" w14:anchorId="44078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118.5pt" o:ole="">
            <v:imagedata r:id="rId8" o:title=""/>
          </v:shape>
          <o:OLEObject Type="Embed" ProgID="PowerPoint.Show.12" ShapeID="_x0000_i1025" DrawAspect="Content" ObjectID="_1658254987" r:id="rId9"/>
        </w:object>
      </w:r>
    </w:p>
    <w:p w14:paraId="2FDBBC2E" w14:textId="77777777" w:rsidR="00C77C50" w:rsidRPr="00C77C50" w:rsidRDefault="00C77C50" w:rsidP="00C77C50">
      <w:pPr>
        <w:pStyle w:val="0Maintext"/>
        <w:spacing w:after="60" w:afterAutospacing="0"/>
        <w:jc w:val="center"/>
        <w:rPr>
          <w:lang w:val="en-US" w:eastAsia="ko-KR"/>
        </w:rPr>
      </w:pPr>
      <w:r w:rsidRPr="00C77C50">
        <w:rPr>
          <w:lang w:val="en-US" w:eastAsia="ko-KR"/>
        </w:rPr>
        <w:t>Figure 1. Illustrative examples of inter-cell multi-TRP transmission</w:t>
      </w:r>
    </w:p>
    <w:p w14:paraId="1BCEF978" w14:textId="546AE3D5" w:rsidR="00C77C50" w:rsidRPr="00C77C50" w:rsidRDefault="00C77C50" w:rsidP="00C77C50">
      <w:pPr>
        <w:pStyle w:val="0Maintext"/>
        <w:spacing w:after="60" w:afterAutospacing="0"/>
        <w:rPr>
          <w:lang w:val="en-US" w:eastAsia="ko-KR"/>
        </w:rPr>
      </w:pPr>
      <w:r w:rsidRPr="00C77C50">
        <w:rPr>
          <w:lang w:val="en-US" w:eastAsia="ko-KR"/>
        </w:rPr>
        <w:t xml:space="preserve">As illustrated on the LHS in Figure 1, the receive timing difference between the two TRPs could be larger than the CP especially </w:t>
      </w:r>
      <w:r w:rsidR="009C2A1C">
        <w:rPr>
          <w:lang w:val="en-US" w:eastAsia="ko-KR"/>
        </w:rPr>
        <w:t>in</w:t>
      </w:r>
      <w:r w:rsidRPr="00C77C50">
        <w:rPr>
          <w:lang w:val="en-US" w:eastAsia="ko-KR"/>
        </w:rPr>
        <w:t xml:space="preserve"> FR2 with short symbol duration and sharp </w:t>
      </w:r>
      <w:r w:rsidR="001B27AB">
        <w:rPr>
          <w:lang w:val="en-US" w:eastAsia="ko-KR"/>
        </w:rPr>
        <w:t xml:space="preserve">TX </w:t>
      </w:r>
      <w:r w:rsidRPr="00C77C50">
        <w:rPr>
          <w:lang w:val="en-US" w:eastAsia="ko-KR"/>
        </w:rPr>
        <w:t xml:space="preserve">beams. In this case, using the RSs from the serving-cell </w:t>
      </w:r>
      <w:r w:rsidRPr="00C77C50">
        <w:rPr>
          <w:lang w:val="en-US" w:eastAsia="ko-KR"/>
        </w:rPr>
        <w:lastRenderedPageBreak/>
        <w:t xml:space="preserve">TRP-1 as the QCL source to determine the corresponding time-frequency related parameters such as those defined in QCL-TypeC to receive the downlink transmissions from the non-serving-cell TRP-2 would cause the RX timing offset larger than CP, resulting in significant inter-symbol interference. Note that, however, some level of time-frequency synchronization between the two coordinating TRPs, e.g., the receive timing difference between them is smaller than the CP, can be achieved via tight coordination between the TRPs. In this case, one or more SSBs from TRP-1 could still be used as the QCL source, e.g., QCL-TypeC, for the downlink transmissions from TRP-2. Tight/dynamic coordination across TRPs, however, would be challenging </w:t>
      </w:r>
      <w:r w:rsidR="001B27AB">
        <w:rPr>
          <w:lang w:val="en-US" w:eastAsia="ko-KR"/>
        </w:rPr>
        <w:t xml:space="preserve">especially </w:t>
      </w:r>
      <w:r w:rsidRPr="00C77C50">
        <w:rPr>
          <w:lang w:val="en-US" w:eastAsia="ko-KR"/>
        </w:rPr>
        <w:t xml:space="preserve">for non-ideal backhaul. The problem of reusing the Rel. 16 TCI framework for the inter-cell multi-TRP may be more significant for QCL-TypeD at FR2 as illustrated on the RHS in Figure 1. It is </w:t>
      </w:r>
      <w:r w:rsidR="001B27AB">
        <w:rPr>
          <w:lang w:val="en-US" w:eastAsia="ko-KR"/>
        </w:rPr>
        <w:t>evident</w:t>
      </w:r>
      <w:r w:rsidR="001B27AB" w:rsidRPr="00C77C50">
        <w:rPr>
          <w:lang w:val="en-US" w:eastAsia="ko-KR"/>
        </w:rPr>
        <w:t xml:space="preserve"> </w:t>
      </w:r>
      <w:r w:rsidRPr="00C77C50">
        <w:rPr>
          <w:lang w:val="en-US" w:eastAsia="ko-KR"/>
        </w:rPr>
        <w:t xml:space="preserve">from Figure 1 that the SSBs from TRP-1 could not be used as the spatial QCL source for the TRS from TRP-2 for most of the cases because the two TRPs are </w:t>
      </w:r>
      <w:r w:rsidR="00C2015D">
        <w:rPr>
          <w:lang w:val="en-US" w:eastAsia="ko-KR"/>
        </w:rPr>
        <w:t>typically not geographically co-located</w:t>
      </w:r>
      <w:r w:rsidRPr="00C77C50">
        <w:rPr>
          <w:lang w:val="en-US" w:eastAsia="ko-KR"/>
        </w:rPr>
        <w:t>.</w:t>
      </w:r>
    </w:p>
    <w:p w14:paraId="6E453261" w14:textId="7E10FCB0" w:rsidR="00C77C50" w:rsidRPr="00C77C50" w:rsidRDefault="00C77C50" w:rsidP="00C77C50">
      <w:pPr>
        <w:pStyle w:val="0Maintext"/>
        <w:spacing w:after="60" w:afterAutospacing="0"/>
        <w:rPr>
          <w:lang w:val="en-US" w:eastAsia="ko-KR"/>
        </w:rPr>
      </w:pPr>
      <w:r w:rsidRPr="00C77C50">
        <w:rPr>
          <w:lang w:val="en-US" w:eastAsia="ko-KR"/>
        </w:rPr>
        <w:t>To alleviate the problems stated above, QCL framework needs to be enhanced to allow</w:t>
      </w:r>
      <w:r w:rsidR="0030119E">
        <w:rPr>
          <w:lang w:val="en-US" w:eastAsia="ko-KR"/>
        </w:rPr>
        <w:t xml:space="preserve"> using</w:t>
      </w:r>
      <w:r w:rsidRPr="00C77C50">
        <w:rPr>
          <w:lang w:val="en-US" w:eastAsia="ko-KR"/>
        </w:rPr>
        <w:t xml:space="preserve"> SSBs from non-serving-cell TRP </w:t>
      </w:r>
      <w:r w:rsidR="0030119E">
        <w:rPr>
          <w:lang w:val="en-US" w:eastAsia="ko-KR"/>
        </w:rPr>
        <w:t>as</w:t>
      </w:r>
      <w:r w:rsidRPr="00C77C50">
        <w:rPr>
          <w:lang w:val="en-US" w:eastAsia="ko-KR"/>
        </w:rPr>
        <w:t xml:space="preserve"> both time/frequency and spatial</w:t>
      </w:r>
      <w:r w:rsidR="0030119E">
        <w:rPr>
          <w:lang w:val="en-US" w:eastAsia="ko-KR"/>
        </w:rPr>
        <w:t xml:space="preserve"> QCL</w:t>
      </w:r>
      <w:r w:rsidRPr="00C77C50">
        <w:rPr>
          <w:lang w:val="en-US" w:eastAsia="ko-KR"/>
        </w:rPr>
        <w:t xml:space="preserve"> source</w:t>
      </w:r>
      <w:r w:rsidR="0030119E">
        <w:rPr>
          <w:lang w:val="en-US" w:eastAsia="ko-KR"/>
        </w:rPr>
        <w:t>s</w:t>
      </w:r>
      <w:r w:rsidRPr="00C77C50">
        <w:rPr>
          <w:lang w:val="en-US" w:eastAsia="ko-KR"/>
        </w:rPr>
        <w:t>. Since those SSBs should be monitored/measured at UE side in prior to be utilized as QCL references, the details on monito</w:t>
      </w:r>
      <w:r w:rsidR="0030119E">
        <w:rPr>
          <w:lang w:val="en-US" w:eastAsia="ko-KR"/>
        </w:rPr>
        <w:t>ring/measurement procedure need</w:t>
      </w:r>
      <w:r w:rsidRPr="00C77C50">
        <w:rPr>
          <w:lang w:val="en-US" w:eastAsia="ko-KR"/>
        </w:rPr>
        <w:t xml:space="preserve"> to be specified.</w:t>
      </w:r>
    </w:p>
    <w:p w14:paraId="074A5E9F" w14:textId="2DE5E855" w:rsidR="00834856" w:rsidRDefault="00C77C50" w:rsidP="00C77C50">
      <w:pPr>
        <w:pStyle w:val="0Maintext"/>
        <w:spacing w:after="60" w:afterAutospacing="0"/>
        <w:ind w:leftChars="129" w:left="284" w:firstLine="0"/>
        <w:rPr>
          <w:i/>
          <w:lang w:val="en-US" w:eastAsia="ko-KR"/>
        </w:rPr>
      </w:pPr>
      <w:r w:rsidRPr="00C77C50">
        <w:rPr>
          <w:b/>
          <w:lang w:val="en-US" w:eastAsia="ko-KR"/>
        </w:rPr>
        <w:t xml:space="preserve">Proposal 1: </w:t>
      </w:r>
      <w:r w:rsidR="00D102D1">
        <w:rPr>
          <w:i/>
          <w:lang w:val="en-US" w:eastAsia="ko-KR"/>
        </w:rPr>
        <w:t>Support t</w:t>
      </w:r>
      <w:r w:rsidRPr="00C77C50">
        <w:rPr>
          <w:i/>
          <w:lang w:val="en-US" w:eastAsia="ko-KR"/>
        </w:rPr>
        <w:t xml:space="preserve">he </w:t>
      </w:r>
      <w:r w:rsidR="00D102D1">
        <w:rPr>
          <w:i/>
          <w:lang w:val="en-US" w:eastAsia="ko-KR"/>
        </w:rPr>
        <w:t xml:space="preserve">use of </w:t>
      </w:r>
      <w:r w:rsidRPr="00C77C50">
        <w:rPr>
          <w:i/>
          <w:lang w:val="en-US" w:eastAsia="ko-KR"/>
        </w:rPr>
        <w:t>SSBs from the serving-cell TRP as the QCL source/reference for the downlink transmissions from the non-serving-cell TRP depending on the QCL type</w:t>
      </w:r>
    </w:p>
    <w:p w14:paraId="6FAA9F82" w14:textId="1CBF9350" w:rsidR="00C77C50" w:rsidRPr="00C77C50" w:rsidRDefault="00834856" w:rsidP="00501CA2">
      <w:pPr>
        <w:pStyle w:val="0Maintext"/>
        <w:numPr>
          <w:ilvl w:val="0"/>
          <w:numId w:val="14"/>
        </w:numPr>
        <w:spacing w:after="60" w:afterAutospacing="0"/>
        <w:rPr>
          <w:i/>
          <w:lang w:val="en-US" w:eastAsia="ko-KR"/>
        </w:rPr>
      </w:pPr>
      <w:r>
        <w:rPr>
          <w:i/>
          <w:lang w:val="en-US" w:eastAsia="ko-KR"/>
        </w:rPr>
        <w:t>T</w:t>
      </w:r>
      <w:r w:rsidR="00C77C50" w:rsidRPr="00C77C50">
        <w:rPr>
          <w:i/>
          <w:lang w:val="en-US" w:eastAsia="ko-KR"/>
        </w:rPr>
        <w:t>he information of the SSBs from the non-serving-cell TRP may need to be available at the UE, and their monitoring/measurement procedure may also need to be specified.</w:t>
      </w:r>
    </w:p>
    <w:p w14:paraId="7FB62A32" w14:textId="77777777" w:rsidR="00C77C50" w:rsidRDefault="00C77C50" w:rsidP="00C77C50">
      <w:pPr>
        <w:pStyle w:val="maintext"/>
        <w:ind w:firstLineChars="0" w:firstLine="0"/>
        <w:jc w:val="center"/>
      </w:pPr>
      <w:r>
        <w:object w:dxaOrig="6153" w:dyaOrig="3056" w14:anchorId="70633234">
          <v:shape id="_x0000_i1026" type="#_x0000_t75" style="width:245.95pt;height:122.95pt" o:ole="">
            <v:imagedata r:id="rId10" o:title=""/>
          </v:shape>
          <o:OLEObject Type="Embed" ProgID="PowerPoint.Show.12" ShapeID="_x0000_i1026" DrawAspect="Content" ObjectID="_1658254988" r:id="rId11"/>
        </w:object>
      </w:r>
    </w:p>
    <w:p w14:paraId="0A7DB6A1" w14:textId="77777777" w:rsidR="00C77C50" w:rsidRPr="00C77C50" w:rsidRDefault="00C77C50" w:rsidP="00C77C50">
      <w:pPr>
        <w:pStyle w:val="0Maintext"/>
        <w:spacing w:after="60" w:afterAutospacing="0"/>
        <w:jc w:val="center"/>
        <w:rPr>
          <w:lang w:val="en-US" w:eastAsia="ko-KR"/>
        </w:rPr>
      </w:pPr>
      <w:r w:rsidRPr="00C77C50">
        <w:rPr>
          <w:lang w:val="en-US" w:eastAsia="ko-KR"/>
        </w:rPr>
        <w:t>Figure 2. An illustrative example of indicating the PCI in the TCI-State</w:t>
      </w:r>
    </w:p>
    <w:p w14:paraId="1F930141" w14:textId="4D6A6E15" w:rsidR="00D83326" w:rsidRDefault="00C77C50" w:rsidP="00C77C50">
      <w:pPr>
        <w:pStyle w:val="0Maintext"/>
        <w:spacing w:after="60" w:afterAutospacing="0"/>
        <w:rPr>
          <w:lang w:val="en-US" w:eastAsia="ko-KR"/>
        </w:rPr>
      </w:pPr>
      <w:r w:rsidRPr="00C77C50">
        <w:rPr>
          <w:lang w:val="en-US" w:eastAsia="ko-KR"/>
        </w:rPr>
        <w:t>To enable the use of SSBs from the non-serving-cell TRP as the QCL source, certain TRP-specific identification such as physical cell ID (PCI), TRP ID and etc. may need to be explicitly included in the TCI state along with the corresponding SSB index indication. A</w:t>
      </w:r>
      <w:r w:rsidR="00834856">
        <w:rPr>
          <w:lang w:val="en-US" w:eastAsia="ko-KR"/>
        </w:rPr>
        <w:t>n a</w:t>
      </w:r>
      <w:r w:rsidRPr="00C77C50">
        <w:rPr>
          <w:lang w:val="en-US" w:eastAsia="ko-KR"/>
        </w:rPr>
        <w:t>dditional field may be needed in the QCL-Info for this purpose and/or definition of ServCellIndex in the current QCL-Info may need to be expanded from its current form by referring to the non-serving-cell TRP. One illustrative example of indicating the PCI in the QCL-Info is given in Figure 2. It is evident from Figure 2 that the PCI field could be optional and configured for the non-serving-cell TRP if the RS from the non-serving-cell TRP is used as the QCL source/reference. Some remaining details, however, may need to be specified for the PCI</w:t>
      </w:r>
      <w:r w:rsidR="00C60AD5">
        <w:rPr>
          <w:lang w:val="en-US" w:eastAsia="ko-KR"/>
        </w:rPr>
        <w:t>-</w:t>
      </w:r>
      <w:r w:rsidRPr="00C77C50">
        <w:rPr>
          <w:lang w:val="en-US" w:eastAsia="ko-KR"/>
        </w:rPr>
        <w:t>based explicit indication method such as, whether both the SCI and PCI need to be configured if the SSBs from the serving-cell TRP are indicated as the QCL source</w:t>
      </w:r>
      <w:r w:rsidR="00D83326">
        <w:rPr>
          <w:lang w:val="en-US" w:eastAsia="ko-KR"/>
        </w:rPr>
        <w:t>. This is</w:t>
      </w:r>
      <w:r w:rsidRPr="00C77C50">
        <w:rPr>
          <w:lang w:val="en-US" w:eastAsia="ko-KR"/>
        </w:rPr>
        <w:t xml:space="preserve"> because the configuration of the PCI may also imply the inter-cell multi-TRP transmission; there may exist PCI collision problem though it is expected that each TRP has their own unique identity in the QCL information. </w:t>
      </w:r>
    </w:p>
    <w:p w14:paraId="13D3F8B6" w14:textId="070DF818" w:rsidR="00C77C50" w:rsidRPr="00C77C50" w:rsidRDefault="00C77C50" w:rsidP="00C77C50">
      <w:pPr>
        <w:pStyle w:val="0Maintext"/>
        <w:spacing w:after="60" w:afterAutospacing="0"/>
        <w:rPr>
          <w:lang w:val="en-US" w:eastAsia="ko-KR"/>
        </w:rPr>
      </w:pPr>
      <w:r w:rsidRPr="00C77C50">
        <w:rPr>
          <w:lang w:val="en-US" w:eastAsia="ko-KR"/>
        </w:rPr>
        <w:t>Another alternative to adding the PCI in the TCI framework is to add CSI-RS for mobility as the QCL source for the TRS. This is because the Rel. 15 CSI-RS for mobility has already included the PCI configuration. Introducing the CSI-RS for mobility as the QCL source/reference for the TRS could be two-fold: (1) the SSBs associated with the CSI-RS for mobility are QCL’ed, rather than the CSI-RS for mobility itself, and (2) the CSI-RS for mobility is directly used as the QCL source for the TRS. The details of using CSI-RS for mobility as a QCL reference, such as applicable QCL type and possible target RSs, can be further</w:t>
      </w:r>
      <w:r w:rsidR="00D83326">
        <w:rPr>
          <w:lang w:val="en-US" w:eastAsia="ko-KR"/>
        </w:rPr>
        <w:t xml:space="preserve"> investigated</w:t>
      </w:r>
      <w:r w:rsidRPr="00C77C50">
        <w:rPr>
          <w:lang w:val="en-US" w:eastAsia="ko-KR"/>
        </w:rPr>
        <w:t>.</w:t>
      </w:r>
    </w:p>
    <w:p w14:paraId="446C6A2E" w14:textId="77777777" w:rsidR="00510DE0" w:rsidRDefault="00C77C50" w:rsidP="00C77C50">
      <w:pPr>
        <w:pStyle w:val="0Maintext"/>
        <w:spacing w:after="60" w:afterAutospacing="0"/>
        <w:ind w:leftChars="129" w:left="284" w:firstLine="0"/>
        <w:rPr>
          <w:i/>
          <w:lang w:val="en-US" w:eastAsia="ko-KR"/>
        </w:rPr>
      </w:pPr>
      <w:r w:rsidRPr="00C77C50">
        <w:rPr>
          <w:b/>
          <w:lang w:val="en-US" w:eastAsia="ko-KR"/>
        </w:rPr>
        <w:t xml:space="preserve">Proposal 2: </w:t>
      </w:r>
      <w:r w:rsidRPr="00C77C50">
        <w:rPr>
          <w:i/>
          <w:lang w:val="en-US" w:eastAsia="ko-KR"/>
        </w:rPr>
        <w:t>I</w:t>
      </w:r>
      <w:r w:rsidR="00510DE0">
        <w:rPr>
          <w:i/>
          <w:lang w:val="en-US" w:eastAsia="ko-KR"/>
        </w:rPr>
        <w:t>nvestigate at least the following alternatives for enabling</w:t>
      </w:r>
      <w:r w:rsidR="00510DE0" w:rsidRPr="00510DE0">
        <w:rPr>
          <w:i/>
          <w:lang w:val="en-US" w:eastAsia="ko-KR"/>
        </w:rPr>
        <w:t xml:space="preserve"> the use of SSBs from the non-serving-cell TRP as the QCL source</w:t>
      </w:r>
      <w:r w:rsidR="00510DE0">
        <w:rPr>
          <w:i/>
          <w:lang w:val="en-US" w:eastAsia="ko-KR"/>
        </w:rPr>
        <w:t xml:space="preserve">: </w:t>
      </w:r>
    </w:p>
    <w:p w14:paraId="1F35C041" w14:textId="1BA6C647" w:rsidR="00510DE0" w:rsidRPr="00501CA2" w:rsidRDefault="00510DE0" w:rsidP="00501CA2">
      <w:pPr>
        <w:pStyle w:val="0Maintext"/>
        <w:numPr>
          <w:ilvl w:val="0"/>
          <w:numId w:val="14"/>
        </w:numPr>
        <w:spacing w:after="60" w:afterAutospacing="0"/>
        <w:rPr>
          <w:b/>
          <w:lang w:val="en-US" w:eastAsia="ko-KR"/>
        </w:rPr>
      </w:pPr>
      <w:r>
        <w:rPr>
          <w:i/>
          <w:lang w:val="en-US" w:eastAsia="ko-KR"/>
        </w:rPr>
        <w:t>I</w:t>
      </w:r>
      <w:r w:rsidR="00C77C50" w:rsidRPr="00C77C50">
        <w:rPr>
          <w:i/>
          <w:lang w:val="en-US" w:eastAsia="ko-KR"/>
        </w:rPr>
        <w:t>ncluding the TRP-specific information such as the PCI in the QCL information</w:t>
      </w:r>
      <w:r w:rsidRPr="00C77C50" w:rsidDel="00510DE0">
        <w:rPr>
          <w:i/>
          <w:lang w:val="en-US" w:eastAsia="ko-KR"/>
        </w:rPr>
        <w:t xml:space="preserve"> </w:t>
      </w:r>
    </w:p>
    <w:p w14:paraId="5E3B9BCB" w14:textId="681144BE" w:rsidR="004254A1" w:rsidRPr="00501CA2" w:rsidRDefault="00510DE0" w:rsidP="00501CA2">
      <w:pPr>
        <w:pStyle w:val="0Maintext"/>
        <w:numPr>
          <w:ilvl w:val="0"/>
          <w:numId w:val="14"/>
        </w:numPr>
        <w:spacing w:after="60" w:afterAutospacing="0"/>
        <w:rPr>
          <w:b/>
          <w:lang w:val="en-US" w:eastAsia="ko-KR"/>
        </w:rPr>
      </w:pPr>
      <w:r>
        <w:rPr>
          <w:i/>
          <w:lang w:val="en-US" w:eastAsia="ko-KR"/>
        </w:rPr>
        <w:t>A</w:t>
      </w:r>
      <w:r w:rsidR="00C77C50" w:rsidRPr="00C77C50">
        <w:rPr>
          <w:i/>
          <w:lang w:val="en-US" w:eastAsia="ko-KR"/>
        </w:rPr>
        <w:t>dding CSI-RS for mobility as the QCL source for the TRS from the non-serving-cell TRP</w:t>
      </w:r>
    </w:p>
    <w:p w14:paraId="79C31FAC" w14:textId="48691106" w:rsidR="00C77C50" w:rsidRPr="00C77C50" w:rsidRDefault="00C77C50" w:rsidP="00C77C50">
      <w:pPr>
        <w:pStyle w:val="0Maintext"/>
        <w:spacing w:after="60" w:afterAutospacing="0"/>
        <w:rPr>
          <w:lang w:val="en-US" w:eastAsia="ko-KR"/>
        </w:rPr>
      </w:pPr>
      <w:r w:rsidRPr="00C77C50">
        <w:rPr>
          <w:lang w:val="en-US" w:eastAsia="ko-KR"/>
        </w:rPr>
        <w:lastRenderedPageBreak/>
        <w:t xml:space="preserve">Inter-cell multi-TRP enhancements need to consider uplink aspects as well. Since the cooperating TRPs are </w:t>
      </w:r>
      <w:r w:rsidR="007E26DF">
        <w:rPr>
          <w:lang w:val="en-US" w:eastAsia="ko-KR"/>
        </w:rPr>
        <w:t>typically not geographically co-located</w:t>
      </w:r>
      <w:r w:rsidRPr="00C77C50">
        <w:rPr>
          <w:lang w:val="en-US" w:eastAsia="ko-KR"/>
        </w:rPr>
        <w:t xml:space="preserve">, UL transmissions to those TRPs experience different transmission delays. If UL transmission timing is aligned with </w:t>
      </w:r>
      <w:r w:rsidR="006668A7">
        <w:rPr>
          <w:lang w:val="en-US" w:eastAsia="ko-KR"/>
        </w:rPr>
        <w:t xml:space="preserve">respect to one TRP only via Rel. </w:t>
      </w:r>
      <w:r w:rsidRPr="00C77C50">
        <w:rPr>
          <w:lang w:val="en-US" w:eastAsia="ko-KR"/>
        </w:rPr>
        <w:t>16 based TA command, UL transmission to the other TRP may cause timing offset between UL and DL frames which results in ISI between UL and DL signals.</w:t>
      </w:r>
    </w:p>
    <w:p w14:paraId="4DA2F1B6" w14:textId="50D16779" w:rsidR="00C77C50" w:rsidRPr="00C77C50" w:rsidRDefault="00BD7345" w:rsidP="00C77C50">
      <w:pPr>
        <w:pStyle w:val="0Maintext"/>
        <w:spacing w:after="60" w:afterAutospacing="0"/>
        <w:rPr>
          <w:lang w:val="en-US" w:eastAsia="ko-KR"/>
        </w:rPr>
      </w:pPr>
      <w:r>
        <w:rPr>
          <w:lang w:val="en-US" w:eastAsia="ko-KR"/>
        </w:rPr>
        <w:t xml:space="preserve">In Rel. </w:t>
      </w:r>
      <w:r w:rsidR="00C77C50" w:rsidRPr="00C77C50">
        <w:rPr>
          <w:lang w:val="en-US" w:eastAsia="ko-KR"/>
        </w:rPr>
        <w:t>16, we have multiple TAGs (timing advance groups) to align UL timing in a CA scenario where different TA offsets can be assigned in different CCs. In inter-cell multi-TRP scenario, the aforementioned UL timing problem can be alleviated by applying similar approach as in CA scenario, by applying different TA offsets for different TRPs.</w:t>
      </w:r>
    </w:p>
    <w:p w14:paraId="1703EAF5" w14:textId="5F51D38E" w:rsidR="00C91A3B" w:rsidRPr="00C77C50" w:rsidRDefault="00C77C50" w:rsidP="00C77C50">
      <w:pPr>
        <w:pStyle w:val="0Maintext"/>
        <w:spacing w:after="60" w:afterAutospacing="0"/>
        <w:ind w:leftChars="129" w:left="284" w:firstLine="0"/>
        <w:rPr>
          <w:i/>
          <w:lang w:val="en-US" w:eastAsia="ko-KR"/>
        </w:rPr>
      </w:pPr>
      <w:r w:rsidRPr="00C77C50">
        <w:rPr>
          <w:b/>
          <w:lang w:val="en-US" w:eastAsia="ko-KR"/>
        </w:rPr>
        <w:t xml:space="preserve">Proposal 3: </w:t>
      </w:r>
      <w:r w:rsidR="004254A1">
        <w:rPr>
          <w:i/>
          <w:lang w:val="en-US" w:eastAsia="ko-KR"/>
        </w:rPr>
        <w:t>Support TRP-specific</w:t>
      </w:r>
      <w:r w:rsidRPr="00C77C50">
        <w:rPr>
          <w:i/>
          <w:lang w:val="en-US" w:eastAsia="ko-KR"/>
        </w:rPr>
        <w:t xml:space="preserve"> TA offset value in UL transm</w:t>
      </w:r>
      <w:r w:rsidR="00FA312F">
        <w:rPr>
          <w:i/>
          <w:lang w:val="en-US" w:eastAsia="ko-KR"/>
        </w:rPr>
        <w:t>ission for inter-cell multi-TRP</w:t>
      </w:r>
    </w:p>
    <w:p w14:paraId="53D6CE5D" w14:textId="4E273B03" w:rsidR="00F5164D" w:rsidRDefault="00181920" w:rsidP="00133F82">
      <w:pPr>
        <w:pStyle w:val="Heading1"/>
        <w:rPr>
          <w:sz w:val="28"/>
          <w:lang w:val="en-US"/>
        </w:rPr>
      </w:pPr>
      <w:r>
        <w:rPr>
          <w:sz w:val="28"/>
          <w:lang w:val="en-US"/>
        </w:rPr>
        <w:t>Conclusion</w:t>
      </w:r>
    </w:p>
    <w:p w14:paraId="2F3D2B37" w14:textId="1BFA3467" w:rsidR="00C031ED" w:rsidRDefault="00C031ED" w:rsidP="00C031ED">
      <w:pPr>
        <w:pStyle w:val="0Maintext"/>
        <w:spacing w:after="60" w:afterAutospacing="0"/>
        <w:rPr>
          <w:lang w:val="en-US" w:eastAsia="ko-KR"/>
        </w:rPr>
      </w:pPr>
      <w:r>
        <w:rPr>
          <w:lang w:val="en-US" w:eastAsia="ko-KR"/>
        </w:rPr>
        <w:t xml:space="preserve">In this contribution, </w:t>
      </w:r>
      <w:r w:rsidR="00C77C50">
        <w:rPr>
          <w:lang w:val="en-US" w:eastAsia="ko-KR"/>
        </w:rPr>
        <w:t>we provide the following proposals regarding Rel. 17 QCL enhancements for inter-cell multi-TRP</w:t>
      </w:r>
      <w:r>
        <w:rPr>
          <w:lang w:val="en-US" w:eastAsia="ko-KR"/>
        </w:rPr>
        <w:t xml:space="preserve">: </w:t>
      </w:r>
    </w:p>
    <w:p w14:paraId="7372D88F" w14:textId="77777777" w:rsidR="0098158A" w:rsidRDefault="0098158A" w:rsidP="0098158A">
      <w:pPr>
        <w:pStyle w:val="0Maintext"/>
        <w:spacing w:after="60" w:afterAutospacing="0"/>
        <w:ind w:leftChars="129" w:left="284" w:firstLine="0"/>
        <w:rPr>
          <w:i/>
          <w:lang w:val="en-US" w:eastAsia="ko-KR"/>
        </w:rPr>
      </w:pPr>
      <w:r w:rsidRPr="00C77C50">
        <w:rPr>
          <w:b/>
          <w:lang w:val="en-US" w:eastAsia="ko-KR"/>
        </w:rPr>
        <w:t xml:space="preserve">Proposal 1: </w:t>
      </w:r>
      <w:r>
        <w:rPr>
          <w:i/>
          <w:lang w:val="en-US" w:eastAsia="ko-KR"/>
        </w:rPr>
        <w:t>Support t</w:t>
      </w:r>
      <w:r w:rsidRPr="00C77C50">
        <w:rPr>
          <w:i/>
          <w:lang w:val="en-US" w:eastAsia="ko-KR"/>
        </w:rPr>
        <w:t xml:space="preserve">he </w:t>
      </w:r>
      <w:r>
        <w:rPr>
          <w:i/>
          <w:lang w:val="en-US" w:eastAsia="ko-KR"/>
        </w:rPr>
        <w:t xml:space="preserve">use of </w:t>
      </w:r>
      <w:r w:rsidRPr="00C77C50">
        <w:rPr>
          <w:i/>
          <w:lang w:val="en-US" w:eastAsia="ko-KR"/>
        </w:rPr>
        <w:t>SSBs from the serving-cell TRP as the QCL source/reference for the downlink transmissions from the non-serving-cell TRP depending on the QCL type</w:t>
      </w:r>
    </w:p>
    <w:p w14:paraId="17EAD7C5" w14:textId="77777777" w:rsidR="0098158A" w:rsidRPr="00C77C50" w:rsidRDefault="0098158A" w:rsidP="0098158A">
      <w:pPr>
        <w:pStyle w:val="0Maintext"/>
        <w:numPr>
          <w:ilvl w:val="0"/>
          <w:numId w:val="14"/>
        </w:numPr>
        <w:spacing w:after="60" w:afterAutospacing="0"/>
        <w:rPr>
          <w:i/>
          <w:lang w:val="en-US" w:eastAsia="ko-KR"/>
        </w:rPr>
      </w:pPr>
      <w:r>
        <w:rPr>
          <w:i/>
          <w:lang w:val="en-US" w:eastAsia="ko-KR"/>
        </w:rPr>
        <w:t>T</w:t>
      </w:r>
      <w:r w:rsidRPr="00C77C50">
        <w:rPr>
          <w:i/>
          <w:lang w:val="en-US" w:eastAsia="ko-KR"/>
        </w:rPr>
        <w:t>he information of the SSBs from the non-serving-cell TRP may need to be available at the UE, and their monitoring/measurement procedure may also need to be specified.</w:t>
      </w:r>
    </w:p>
    <w:p w14:paraId="34BEAEE5" w14:textId="77777777" w:rsidR="0098158A" w:rsidRDefault="0098158A" w:rsidP="0098158A">
      <w:pPr>
        <w:pStyle w:val="0Maintext"/>
        <w:spacing w:after="60" w:afterAutospacing="0"/>
        <w:ind w:leftChars="129" w:left="284" w:firstLine="0"/>
        <w:rPr>
          <w:i/>
          <w:lang w:val="en-US" w:eastAsia="ko-KR"/>
        </w:rPr>
      </w:pPr>
      <w:r w:rsidRPr="00C77C50">
        <w:rPr>
          <w:b/>
          <w:lang w:val="en-US" w:eastAsia="ko-KR"/>
        </w:rPr>
        <w:t xml:space="preserve">Proposal 2: </w:t>
      </w:r>
      <w:r w:rsidRPr="00C77C50">
        <w:rPr>
          <w:i/>
          <w:lang w:val="en-US" w:eastAsia="ko-KR"/>
        </w:rPr>
        <w:t>I</w:t>
      </w:r>
      <w:r>
        <w:rPr>
          <w:i/>
          <w:lang w:val="en-US" w:eastAsia="ko-KR"/>
        </w:rPr>
        <w:t>nvestigate at least the following alternatives for enabling</w:t>
      </w:r>
      <w:r w:rsidRPr="00510DE0">
        <w:rPr>
          <w:i/>
          <w:lang w:val="en-US" w:eastAsia="ko-KR"/>
        </w:rPr>
        <w:t xml:space="preserve"> the use of SSBs from the non-serving-cell TRP as the QCL source</w:t>
      </w:r>
      <w:r>
        <w:rPr>
          <w:i/>
          <w:lang w:val="en-US" w:eastAsia="ko-KR"/>
        </w:rPr>
        <w:t xml:space="preserve">: </w:t>
      </w:r>
    </w:p>
    <w:p w14:paraId="12485472" w14:textId="77777777" w:rsidR="0098158A" w:rsidRPr="00501CA2" w:rsidRDefault="0098158A" w:rsidP="0098158A">
      <w:pPr>
        <w:pStyle w:val="0Maintext"/>
        <w:numPr>
          <w:ilvl w:val="0"/>
          <w:numId w:val="14"/>
        </w:numPr>
        <w:spacing w:after="60" w:afterAutospacing="0"/>
        <w:rPr>
          <w:b/>
          <w:lang w:val="en-US" w:eastAsia="ko-KR"/>
        </w:rPr>
      </w:pPr>
      <w:r>
        <w:rPr>
          <w:i/>
          <w:lang w:val="en-US" w:eastAsia="ko-KR"/>
        </w:rPr>
        <w:t>I</w:t>
      </w:r>
      <w:r w:rsidRPr="00C77C50">
        <w:rPr>
          <w:i/>
          <w:lang w:val="en-US" w:eastAsia="ko-KR"/>
        </w:rPr>
        <w:t>ncluding the TRP-specific information such as the PCI in the QCL information</w:t>
      </w:r>
      <w:r w:rsidRPr="00C77C50" w:rsidDel="00510DE0">
        <w:rPr>
          <w:i/>
          <w:lang w:val="en-US" w:eastAsia="ko-KR"/>
        </w:rPr>
        <w:t xml:space="preserve"> </w:t>
      </w:r>
    </w:p>
    <w:p w14:paraId="7BDC574D" w14:textId="77777777" w:rsidR="0098158A" w:rsidRPr="00501CA2" w:rsidRDefault="0098158A" w:rsidP="0098158A">
      <w:pPr>
        <w:pStyle w:val="0Maintext"/>
        <w:numPr>
          <w:ilvl w:val="0"/>
          <w:numId w:val="14"/>
        </w:numPr>
        <w:spacing w:after="60" w:afterAutospacing="0"/>
        <w:rPr>
          <w:b/>
          <w:lang w:val="en-US" w:eastAsia="ko-KR"/>
        </w:rPr>
      </w:pPr>
      <w:r>
        <w:rPr>
          <w:i/>
          <w:lang w:val="en-US" w:eastAsia="ko-KR"/>
        </w:rPr>
        <w:t>A</w:t>
      </w:r>
      <w:r w:rsidRPr="00C77C50">
        <w:rPr>
          <w:i/>
          <w:lang w:val="en-US" w:eastAsia="ko-KR"/>
        </w:rPr>
        <w:t>dding CSI-RS for mobility as the QCL source for the TRS from the non-serving-cell TRP</w:t>
      </w:r>
    </w:p>
    <w:p w14:paraId="258ACD34" w14:textId="046D3E4A" w:rsidR="00FA312F" w:rsidRPr="00FA312F" w:rsidRDefault="00FA312F" w:rsidP="00FA312F">
      <w:pPr>
        <w:pStyle w:val="0Maintext"/>
        <w:spacing w:after="60" w:afterAutospacing="0"/>
        <w:ind w:leftChars="129" w:left="284" w:firstLine="0"/>
        <w:rPr>
          <w:b/>
          <w:lang w:val="en-US" w:eastAsia="ko-KR"/>
        </w:rPr>
      </w:pPr>
      <w:r w:rsidRPr="00C77C50">
        <w:rPr>
          <w:b/>
          <w:lang w:val="en-US" w:eastAsia="ko-KR"/>
        </w:rPr>
        <w:t xml:space="preserve">Proposal 3: </w:t>
      </w:r>
      <w:r w:rsidRPr="00FA312F">
        <w:rPr>
          <w:i/>
          <w:lang w:val="en-US" w:eastAsia="ko-KR"/>
        </w:rPr>
        <w:t>Support TRP-specific TA offset value in UL transmission for inter-cell multi-TRP</w:t>
      </w:r>
    </w:p>
    <w:p w14:paraId="68FE2E9B" w14:textId="53E52207" w:rsidR="00C77C50" w:rsidRPr="00C77C50" w:rsidRDefault="00C77C50" w:rsidP="00C77C50">
      <w:pPr>
        <w:pStyle w:val="0Maintext"/>
        <w:spacing w:after="60" w:afterAutospacing="0"/>
        <w:ind w:leftChars="129" w:left="284" w:firstLine="0"/>
        <w:rPr>
          <w:b/>
          <w:lang w:val="en-US" w:eastAsia="ko-KR"/>
        </w:rPr>
      </w:pPr>
      <w:r w:rsidRPr="00C77C50">
        <w:rPr>
          <w:b/>
          <w:lang w:val="en-US" w:eastAsia="ko-KR"/>
        </w:rPr>
        <w:t xml:space="preserve">     </w:t>
      </w:r>
    </w:p>
    <w:p w14:paraId="520FC212" w14:textId="41952087" w:rsidR="00B10B31" w:rsidRPr="00A176E7" w:rsidRDefault="00B10B31" w:rsidP="00B10B31">
      <w:pPr>
        <w:rPr>
          <w:lang w:val="en-US" w:eastAsia="ko-KR"/>
        </w:rPr>
      </w:pPr>
    </w:p>
    <w:p w14:paraId="7EF669F0" w14:textId="77777777" w:rsidR="000F762B" w:rsidRPr="00824037" w:rsidRDefault="000F762B" w:rsidP="00FB6F1A">
      <w:pPr>
        <w:pStyle w:val="Heading1"/>
        <w:spacing w:before="0"/>
        <w:jc w:val="both"/>
        <w:rPr>
          <w:sz w:val="28"/>
          <w:lang w:val="en-US"/>
        </w:rPr>
      </w:pPr>
      <w:r w:rsidRPr="00824037">
        <w:rPr>
          <w:sz w:val="28"/>
          <w:lang w:val="en-US"/>
        </w:rPr>
        <w:t>References</w:t>
      </w:r>
    </w:p>
    <w:p w14:paraId="43625A1B" w14:textId="4CB5FCF8" w:rsidR="00B10B31" w:rsidRPr="00C77C50" w:rsidRDefault="001D56C6" w:rsidP="00C77C50">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3"/>
      <w:bookmarkEnd w:id="4"/>
    </w:p>
    <w:sectPr w:rsidR="00B10B31" w:rsidRPr="00C77C50" w:rsidSect="00667E9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8D3B1" w14:textId="77777777" w:rsidR="0088287E" w:rsidRDefault="0088287E">
      <w:r>
        <w:separator/>
      </w:r>
    </w:p>
  </w:endnote>
  <w:endnote w:type="continuationSeparator" w:id="0">
    <w:p w14:paraId="7BD6A2B5" w14:textId="77777777" w:rsidR="0088287E" w:rsidRDefault="00882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AF546" w14:textId="77777777" w:rsidR="0088287E" w:rsidRDefault="0088287E">
      <w:r>
        <w:separator/>
      </w:r>
    </w:p>
  </w:footnote>
  <w:footnote w:type="continuationSeparator" w:id="0">
    <w:p w14:paraId="64DC4F4B" w14:textId="77777777" w:rsidR="0088287E" w:rsidRDefault="008828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B1C2711"/>
    <w:multiLevelType w:val="hybridMultilevel"/>
    <w:tmpl w:val="1C6472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6"/>
  </w:num>
  <w:num w:numId="3">
    <w:abstractNumId w:val="10"/>
  </w:num>
  <w:num w:numId="4">
    <w:abstractNumId w:val="13"/>
  </w:num>
  <w:num w:numId="5">
    <w:abstractNumId w:val="2"/>
  </w:num>
  <w:num w:numId="6">
    <w:abstractNumId w:val="1"/>
  </w:num>
  <w:num w:numId="7">
    <w:abstractNumId w:val="11"/>
  </w:num>
  <w:num w:numId="8">
    <w:abstractNumId w:val="1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3"/>
  </w:num>
  <w:num w:numId="13">
    <w:abstractNumId w:val="4"/>
  </w:num>
  <w:num w:numId="1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505"/>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0BA8"/>
    <w:rsid w:val="00061035"/>
    <w:rsid w:val="000611B9"/>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2D5"/>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1725"/>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538"/>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98F"/>
    <w:rsid w:val="00180AD4"/>
    <w:rsid w:val="001810D7"/>
    <w:rsid w:val="001811BE"/>
    <w:rsid w:val="001811F6"/>
    <w:rsid w:val="00181489"/>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7AB"/>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44A"/>
    <w:rsid w:val="0027050B"/>
    <w:rsid w:val="00270ACA"/>
    <w:rsid w:val="00270B63"/>
    <w:rsid w:val="00271226"/>
    <w:rsid w:val="002713DA"/>
    <w:rsid w:val="002714B9"/>
    <w:rsid w:val="00271ABA"/>
    <w:rsid w:val="00271FF9"/>
    <w:rsid w:val="002724C1"/>
    <w:rsid w:val="00272B9F"/>
    <w:rsid w:val="00272C69"/>
    <w:rsid w:val="00272E51"/>
    <w:rsid w:val="00273861"/>
    <w:rsid w:val="002738B0"/>
    <w:rsid w:val="002738CD"/>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ACD"/>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19E"/>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8FF"/>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9CE"/>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2D0"/>
    <w:rsid w:val="00424A64"/>
    <w:rsid w:val="00424A72"/>
    <w:rsid w:val="00424D6E"/>
    <w:rsid w:val="004251C3"/>
    <w:rsid w:val="004254A1"/>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1BFC"/>
    <w:rsid w:val="004A1E0B"/>
    <w:rsid w:val="004A2162"/>
    <w:rsid w:val="004A22E4"/>
    <w:rsid w:val="004A2784"/>
    <w:rsid w:val="004A2B80"/>
    <w:rsid w:val="004A2F45"/>
    <w:rsid w:val="004A3338"/>
    <w:rsid w:val="004A340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0FE7"/>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BBF"/>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2"/>
    <w:rsid w:val="00501CA4"/>
    <w:rsid w:val="00501CC1"/>
    <w:rsid w:val="00501E42"/>
    <w:rsid w:val="00502A51"/>
    <w:rsid w:val="005033DA"/>
    <w:rsid w:val="00503546"/>
    <w:rsid w:val="00503993"/>
    <w:rsid w:val="00503F9D"/>
    <w:rsid w:val="00504B52"/>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0DE0"/>
    <w:rsid w:val="0051122C"/>
    <w:rsid w:val="0051171F"/>
    <w:rsid w:val="005118DC"/>
    <w:rsid w:val="005119E7"/>
    <w:rsid w:val="00512229"/>
    <w:rsid w:val="00512337"/>
    <w:rsid w:val="005124A8"/>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B48"/>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846"/>
    <w:rsid w:val="005E2852"/>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34E"/>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A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692"/>
    <w:rsid w:val="00664E5E"/>
    <w:rsid w:val="0066551F"/>
    <w:rsid w:val="006663DD"/>
    <w:rsid w:val="00666633"/>
    <w:rsid w:val="006668A7"/>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3F10"/>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A63"/>
    <w:rsid w:val="00770E92"/>
    <w:rsid w:val="007716AF"/>
    <w:rsid w:val="00771906"/>
    <w:rsid w:val="00771BF8"/>
    <w:rsid w:val="00771C2E"/>
    <w:rsid w:val="00771F90"/>
    <w:rsid w:val="00772158"/>
    <w:rsid w:val="00773BD6"/>
    <w:rsid w:val="00773C05"/>
    <w:rsid w:val="00774013"/>
    <w:rsid w:val="0077429E"/>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5B4"/>
    <w:rsid w:val="007C3791"/>
    <w:rsid w:val="007C4099"/>
    <w:rsid w:val="007C40A7"/>
    <w:rsid w:val="007C440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6DF"/>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56"/>
    <w:rsid w:val="008348F8"/>
    <w:rsid w:val="008349CE"/>
    <w:rsid w:val="00834E69"/>
    <w:rsid w:val="008353DB"/>
    <w:rsid w:val="00835CD4"/>
    <w:rsid w:val="0083619F"/>
    <w:rsid w:val="0083669C"/>
    <w:rsid w:val="00836BF4"/>
    <w:rsid w:val="00836E06"/>
    <w:rsid w:val="0083716A"/>
    <w:rsid w:val="008371E6"/>
    <w:rsid w:val="008371F9"/>
    <w:rsid w:val="00837A49"/>
    <w:rsid w:val="00837E33"/>
    <w:rsid w:val="00840022"/>
    <w:rsid w:val="00840029"/>
    <w:rsid w:val="00840044"/>
    <w:rsid w:val="008403DA"/>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87E"/>
    <w:rsid w:val="00882A58"/>
    <w:rsid w:val="008830D9"/>
    <w:rsid w:val="008835D0"/>
    <w:rsid w:val="00884284"/>
    <w:rsid w:val="008843F0"/>
    <w:rsid w:val="00884465"/>
    <w:rsid w:val="008844A3"/>
    <w:rsid w:val="00884784"/>
    <w:rsid w:val="00884AB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58A"/>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8F6"/>
    <w:rsid w:val="009C09A4"/>
    <w:rsid w:val="009C0CF2"/>
    <w:rsid w:val="009C0D1A"/>
    <w:rsid w:val="009C1A4B"/>
    <w:rsid w:val="009C1C7D"/>
    <w:rsid w:val="009C27D6"/>
    <w:rsid w:val="009C29B2"/>
    <w:rsid w:val="009C2A1C"/>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5C5"/>
    <w:rsid w:val="009D4F61"/>
    <w:rsid w:val="009D5246"/>
    <w:rsid w:val="009D528C"/>
    <w:rsid w:val="009D5499"/>
    <w:rsid w:val="009D5C82"/>
    <w:rsid w:val="009D5F0E"/>
    <w:rsid w:val="009D611C"/>
    <w:rsid w:val="009D6324"/>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4EE"/>
    <w:rsid w:val="00A176E7"/>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1EA3"/>
    <w:rsid w:val="00A929E0"/>
    <w:rsid w:val="00A92D1B"/>
    <w:rsid w:val="00A930E9"/>
    <w:rsid w:val="00A9312C"/>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557B"/>
    <w:rsid w:val="00AD568E"/>
    <w:rsid w:val="00AD5DED"/>
    <w:rsid w:val="00AD5F65"/>
    <w:rsid w:val="00AD5F6E"/>
    <w:rsid w:val="00AD5F7B"/>
    <w:rsid w:val="00AD6452"/>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C2D"/>
    <w:rsid w:val="00BC3F8D"/>
    <w:rsid w:val="00BC4515"/>
    <w:rsid w:val="00BC46D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345"/>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5EF5"/>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15D"/>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AD5"/>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77C50"/>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346"/>
    <w:rsid w:val="00D06B44"/>
    <w:rsid w:val="00D06BC8"/>
    <w:rsid w:val="00D06CB7"/>
    <w:rsid w:val="00D06E17"/>
    <w:rsid w:val="00D07214"/>
    <w:rsid w:val="00D073F9"/>
    <w:rsid w:val="00D07B6D"/>
    <w:rsid w:val="00D07B94"/>
    <w:rsid w:val="00D07EC2"/>
    <w:rsid w:val="00D10244"/>
    <w:rsid w:val="00D102D1"/>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2C6"/>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326"/>
    <w:rsid w:val="00D83627"/>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77B"/>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3B6"/>
    <w:rsid w:val="00E048B1"/>
    <w:rsid w:val="00E048BA"/>
    <w:rsid w:val="00E05043"/>
    <w:rsid w:val="00E051D9"/>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F62"/>
    <w:rsid w:val="00E41046"/>
    <w:rsid w:val="00E41417"/>
    <w:rsid w:val="00E41660"/>
    <w:rsid w:val="00E41835"/>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E9"/>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60"/>
    <w:rsid w:val="00F17C78"/>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12F"/>
    <w:rsid w:val="00FA3276"/>
    <w:rsid w:val="00FA37F1"/>
    <w:rsid w:val="00FA3A73"/>
    <w:rsid w:val="00FA3E3F"/>
    <w:rsid w:val="00FA3F9D"/>
    <w:rsid w:val="00FA4978"/>
    <w:rsid w:val="00FA4BA9"/>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72E"/>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F9D"/>
    <w:rsid w:val="00FE11A8"/>
    <w:rsid w:val="00FE1211"/>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AEB"/>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Caption Char2"/>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Normal"/>
    <w:rsid w:val="00E82A31"/>
    <w:pPr>
      <w:overflowPunct w:val="0"/>
      <w:autoSpaceDE w:val="0"/>
      <w:autoSpaceDN w:val="0"/>
      <w:adjustRightInd w:val="0"/>
      <w:textAlignment w:val="baseline"/>
    </w:pPr>
    <w:rPr>
      <w:rFonts w:ascii="Arial" w:eastAsia="SimSun"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Presentation1.ppt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02E4A-1850-4145-95CC-6837D4644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1296</Words>
  <Characters>7390</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朱大琳/New Communication Technology /SRA/Engineer/삼성전자</cp:lastModifiedBy>
  <cp:revision>7</cp:revision>
  <cp:lastPrinted>2017-03-24T05:34:00Z</cp:lastPrinted>
  <dcterms:created xsi:type="dcterms:W3CDTF">2020-08-07T01:41:00Z</dcterms:created>
  <dcterms:modified xsi:type="dcterms:W3CDTF">2020-08-07T02:34:00Z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