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44FAA2" w14:textId="3FB9CA99" w:rsidR="00B91DBB" w:rsidRDefault="00B91DBB" w:rsidP="00B91DBB">
      <w:pPr>
        <w:tabs>
          <w:tab w:val="center" w:pos="4536"/>
          <w:tab w:val="right" w:pos="8280"/>
          <w:tab w:val="right" w:pos="9639"/>
        </w:tabs>
        <w:ind w:right="2"/>
        <w:rPr>
          <w:rFonts w:ascii="Arial" w:hAnsi="Arial" w:cs="Arial"/>
          <w:b/>
          <w:bCs/>
          <w:sz w:val="28"/>
          <w:szCs w:val="24"/>
        </w:rPr>
      </w:pPr>
      <w:r>
        <w:rPr>
          <w:rFonts w:ascii="Arial" w:hAnsi="Arial" w:cs="Arial"/>
          <w:b/>
          <w:bCs/>
          <w:sz w:val="28"/>
        </w:rPr>
        <w:t>3GPP TSG RAN WG1 #102-e</w:t>
      </w:r>
      <w:r>
        <w:rPr>
          <w:rFonts w:ascii="Arial" w:hAnsi="Arial" w:cs="Arial"/>
          <w:b/>
          <w:bCs/>
          <w:sz w:val="28"/>
        </w:rPr>
        <w:tab/>
      </w:r>
      <w:r>
        <w:rPr>
          <w:rFonts w:ascii="Arial" w:hAnsi="Arial" w:cs="Arial"/>
          <w:b/>
          <w:bCs/>
          <w:sz w:val="28"/>
        </w:rPr>
        <w:tab/>
      </w:r>
      <w:r w:rsidRPr="007B3F55">
        <w:rPr>
          <w:rFonts w:ascii="Arial" w:hAnsi="Arial" w:cs="Arial"/>
          <w:b/>
          <w:bCs/>
          <w:sz w:val="28"/>
        </w:rPr>
        <w:t>R1-20</w:t>
      </w:r>
      <w:r w:rsidR="007B3F55" w:rsidRPr="007B3F55">
        <w:rPr>
          <w:rFonts w:ascii="Arial" w:hAnsi="Arial" w:cs="Arial"/>
          <w:b/>
          <w:bCs/>
          <w:sz w:val="28"/>
        </w:rPr>
        <w:t>05</w:t>
      </w:r>
      <w:r w:rsidR="007B3F55">
        <w:rPr>
          <w:rFonts w:ascii="Arial" w:hAnsi="Arial" w:cs="Arial"/>
          <w:b/>
          <w:bCs/>
          <w:sz w:val="28"/>
        </w:rPr>
        <w:t>834</w:t>
      </w:r>
    </w:p>
    <w:p w14:paraId="564FDB50" w14:textId="77777777" w:rsidR="00B91DBB" w:rsidRDefault="00B91DBB" w:rsidP="00B91DB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54C86DFB" w14:textId="77777777" w:rsidR="009C0564" w:rsidRPr="00B91DBB" w:rsidRDefault="009C0564" w:rsidP="00071D7D">
      <w:pPr>
        <w:pBdr>
          <w:top w:val="single" w:sz="4" w:space="1" w:color="auto"/>
        </w:pBdr>
        <w:spacing w:after="0"/>
        <w:jc w:val="left"/>
        <w:rPr>
          <w:rFonts w:ascii="Arial" w:hAnsi="Arial" w:cs="Arial"/>
          <w:b/>
          <w:kern w:val="2"/>
          <w:sz w:val="24"/>
          <w:lang w:eastAsia="zh-CN"/>
        </w:rPr>
      </w:pPr>
    </w:p>
    <w:p w14:paraId="28301472" w14:textId="285B4124"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4E0A60">
        <w:rPr>
          <w:rFonts w:ascii="Arial" w:hAnsi="Arial" w:cs="Arial"/>
          <w:b/>
          <w:bCs/>
          <w:szCs w:val="20"/>
          <w:lang w:val="en-GB" w:eastAsia="zh-CN"/>
        </w:rPr>
        <w:t>8</w:t>
      </w:r>
      <w:r w:rsidR="004E0A60">
        <w:rPr>
          <w:rFonts w:ascii="Arial" w:hAnsi="Arial" w:cs="Arial" w:hint="eastAsia"/>
          <w:b/>
          <w:bCs/>
          <w:szCs w:val="20"/>
          <w:lang w:val="en-GB" w:eastAsia="zh-CN"/>
        </w:rPr>
        <w:t>.</w:t>
      </w:r>
      <w:r w:rsidR="004E0A60">
        <w:rPr>
          <w:rFonts w:ascii="Arial" w:hAnsi="Arial" w:cs="Arial"/>
          <w:b/>
          <w:bCs/>
          <w:szCs w:val="20"/>
          <w:lang w:val="en-GB" w:eastAsia="zh-CN"/>
        </w:rPr>
        <w:t>4</w:t>
      </w:r>
      <w:r w:rsidR="004E0A60">
        <w:rPr>
          <w:rFonts w:ascii="Arial" w:hAnsi="Arial" w:cs="Arial" w:hint="eastAsia"/>
          <w:b/>
          <w:bCs/>
          <w:szCs w:val="20"/>
          <w:lang w:val="en-GB" w:eastAsia="zh-CN"/>
        </w:rPr>
        <w:t>.</w:t>
      </w:r>
      <w:r w:rsidR="004E0A60">
        <w:rPr>
          <w:rFonts w:ascii="Arial" w:hAnsi="Arial" w:cs="Arial"/>
          <w:b/>
          <w:bCs/>
          <w:szCs w:val="20"/>
          <w:lang w:val="en-GB" w:eastAsia="zh-CN"/>
        </w:rPr>
        <w:t>2</w:t>
      </w:r>
    </w:p>
    <w:p w14:paraId="578D2038"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14:paraId="5C19F722" w14:textId="00176168"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FD2270">
        <w:rPr>
          <w:rFonts w:ascii="Arial" w:hAnsi="Arial" w:cs="Arial"/>
          <w:b/>
          <w:bCs/>
          <w:szCs w:val="20"/>
          <w:lang w:val="en-GB" w:eastAsia="zh-CN"/>
        </w:rPr>
        <w:t>Discussion on NTN</w:t>
      </w:r>
      <w:r w:rsidR="00EE7E0C">
        <w:rPr>
          <w:rFonts w:ascii="Arial" w:hAnsi="Arial" w:cs="Arial"/>
          <w:b/>
          <w:bCs/>
          <w:szCs w:val="20"/>
          <w:lang w:val="en-GB" w:eastAsia="zh-CN"/>
        </w:rPr>
        <w:t xml:space="preserve"> </w:t>
      </w:r>
      <w:r w:rsidR="00C161A1">
        <w:rPr>
          <w:rFonts w:ascii="Arial" w:hAnsi="Arial" w:cs="Arial"/>
          <w:b/>
          <w:bCs/>
          <w:szCs w:val="20"/>
          <w:lang w:val="en-GB" w:eastAsia="zh-CN"/>
        </w:rPr>
        <w:t>TA indication</w:t>
      </w:r>
    </w:p>
    <w:p w14:paraId="6B2AB7A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0D2B5B7E" w:rsidR="005C6EB8" w:rsidRDefault="004845AB" w:rsidP="003203E1">
      <w:pPr>
        <w:pStyle w:val="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5B13C8BB" w14:textId="77777777" w:rsidR="00CD1F9B" w:rsidRDefault="00CD1F9B" w:rsidP="0023727C">
      <w:pPr>
        <w:rPr>
          <w:sz w:val="20"/>
          <w:szCs w:val="20"/>
          <w:lang w:val="en-GB" w:eastAsia="zh-CN"/>
        </w:rPr>
      </w:pPr>
    </w:p>
    <w:p w14:paraId="4E214053" w14:textId="01BFCB87" w:rsidR="00FD2270" w:rsidRPr="00CD1F9B" w:rsidRDefault="00CD1F9B" w:rsidP="0023727C">
      <w:pPr>
        <w:rPr>
          <w:sz w:val="20"/>
          <w:szCs w:val="20"/>
          <w:lang w:val="en-GB" w:eastAsia="zh-CN"/>
        </w:rPr>
      </w:pPr>
      <w:r>
        <w:rPr>
          <w:noProof/>
          <w:sz w:val="20"/>
          <w:szCs w:val="20"/>
          <w:lang w:eastAsia="zh-CN"/>
        </w:rPr>
        <mc:AlternateContent>
          <mc:Choice Requires="wps">
            <w:drawing>
              <wp:anchor distT="0" distB="0" distL="114300" distR="114300" simplePos="0" relativeHeight="251660288" behindDoc="0" locked="0" layoutInCell="1" allowOverlap="1" wp14:anchorId="35EFAD72" wp14:editId="68949988">
                <wp:simplePos x="0" y="0"/>
                <wp:positionH relativeFrom="column">
                  <wp:posOffset>-7951</wp:posOffset>
                </wp:positionH>
                <wp:positionV relativeFrom="paragraph">
                  <wp:posOffset>171312</wp:posOffset>
                </wp:positionV>
                <wp:extent cx="5971429" cy="1311965"/>
                <wp:effectExtent l="0" t="0" r="10795" b="21590"/>
                <wp:wrapNone/>
                <wp:docPr id="2" name="矩形 2"/>
                <wp:cNvGraphicFramePr/>
                <a:graphic xmlns:a="http://schemas.openxmlformats.org/drawingml/2006/main">
                  <a:graphicData uri="http://schemas.microsoft.com/office/word/2010/wordprocessingShape">
                    <wps:wsp>
                      <wps:cNvSpPr/>
                      <wps:spPr>
                        <a:xfrm>
                          <a:off x="0" y="0"/>
                          <a:ext cx="5971429" cy="13119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5FD7930" id="矩形 2" o:spid="_x0000_s1026" style="position:absolute;left:0;text-align:left;margin-left:-.65pt;margin-top:13.5pt;width:470.2pt;height:103.3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" filled="f" strokecolor="#243f60 [1604]" strokeweight="2pt"/>
            </w:pict>
          </mc:Fallback>
        </mc:AlternateContent>
      </w:r>
      <w:r w:rsidRPr="00CD1F9B">
        <w:rPr>
          <w:sz w:val="20"/>
          <w:szCs w:val="20"/>
          <w:lang w:val="en-GB" w:eastAsia="zh-CN"/>
        </w:rPr>
        <w:t>The objective related to NTN is as following:</w:t>
      </w:r>
    </w:p>
    <w:p w14:paraId="49B8CD69" w14:textId="77777777" w:rsidR="00FD2270" w:rsidRPr="00CD1F9B" w:rsidRDefault="00FD2270" w:rsidP="00FD2270">
      <w:pPr>
        <w:spacing w:after="0"/>
        <w:rPr>
          <w:rFonts w:eastAsia="PMingLiU"/>
          <w:sz w:val="20"/>
          <w:szCs w:val="20"/>
          <w:lang w:eastAsia="zh-TW"/>
        </w:rPr>
      </w:pPr>
      <w:r w:rsidRPr="00CD1F9B">
        <w:rPr>
          <w:sz w:val="20"/>
          <w:szCs w:val="20"/>
          <w:lang w:eastAsia="ko-KR"/>
        </w:rPr>
        <w:t>The work item aims to specify the enhancements identified for NR NTN (non-terrestr</w:t>
      </w:r>
      <w:r w:rsidRPr="00CD1F9B">
        <w:rPr>
          <w:bCs/>
          <w:sz w:val="20"/>
          <w:szCs w:val="20"/>
        </w:rPr>
        <w:t>ial networks</w:t>
      </w:r>
      <w:r w:rsidRPr="00CD1F9B">
        <w:rPr>
          <w:sz w:val="20"/>
          <w:szCs w:val="20"/>
          <w:lang w:eastAsia="ko-KR"/>
        </w:rPr>
        <w:t>) especially LEO and GEO with implicit compatibility to support HAPS (high altitude platform station) and ATG (air to ground) scenarios according to the following principles:</w:t>
      </w:r>
    </w:p>
    <w:p w14:paraId="51AD1DF8" w14:textId="77777777" w:rsidR="00FD2270" w:rsidRPr="00CD1F9B" w:rsidRDefault="00FD2270" w:rsidP="00FD2270">
      <w:pPr>
        <w:numPr>
          <w:ilvl w:val="0"/>
          <w:numId w:val="20"/>
        </w:numPr>
        <w:overflowPunct w:val="0"/>
        <w:snapToGrid/>
        <w:spacing w:after="0"/>
        <w:jc w:val="left"/>
        <w:textAlignment w:val="baseline"/>
        <w:rPr>
          <w:rFonts w:eastAsia="PMingLiU"/>
          <w:sz w:val="20"/>
          <w:szCs w:val="20"/>
          <w:lang w:eastAsia="zh-TW"/>
        </w:rPr>
      </w:pPr>
      <w:r w:rsidRPr="00CD1F9B">
        <w:rPr>
          <w:rFonts w:eastAsia="PMingLiU"/>
          <w:sz w:val="20"/>
          <w:szCs w:val="20"/>
          <w:lang w:eastAsia="zh-TW"/>
        </w:rPr>
        <w:t>FDD is assumed for core specification work for NR-NTN.</w:t>
      </w:r>
    </w:p>
    <w:p w14:paraId="7963915A" w14:textId="77777777" w:rsidR="00FD2270" w:rsidRPr="00CD1F9B" w:rsidRDefault="00FD2270" w:rsidP="00FD2270">
      <w:pPr>
        <w:numPr>
          <w:ilvl w:val="1"/>
          <w:numId w:val="20"/>
        </w:numPr>
        <w:overflowPunct w:val="0"/>
        <w:snapToGrid/>
        <w:spacing w:after="0"/>
        <w:jc w:val="left"/>
        <w:textAlignment w:val="baseline"/>
        <w:rPr>
          <w:rFonts w:eastAsia="PMingLiU"/>
          <w:sz w:val="20"/>
          <w:szCs w:val="20"/>
          <w:lang w:eastAsia="zh-TW"/>
        </w:rPr>
      </w:pPr>
      <w:r w:rsidRPr="00CD1F9B">
        <w:rPr>
          <w:rFonts w:eastAsia="PMingLiU"/>
          <w:sz w:val="20"/>
          <w:szCs w:val="20"/>
          <w:lang w:eastAsia="zh-TW"/>
        </w:rPr>
        <w:t>NOTE: This does not imply that TDD cannot be used for relevant scenarios e.g. HAPS, ATG</w:t>
      </w:r>
    </w:p>
    <w:p w14:paraId="7BCC16DD" w14:textId="77777777" w:rsidR="00FD2270" w:rsidRPr="00CD1F9B" w:rsidRDefault="00FD2270" w:rsidP="00FD2270">
      <w:pPr>
        <w:numPr>
          <w:ilvl w:val="0"/>
          <w:numId w:val="20"/>
        </w:numPr>
        <w:overflowPunct w:val="0"/>
        <w:snapToGrid/>
        <w:spacing w:after="0"/>
        <w:jc w:val="left"/>
        <w:textAlignment w:val="baseline"/>
        <w:rPr>
          <w:rFonts w:eastAsia="PMingLiU"/>
          <w:sz w:val="20"/>
          <w:szCs w:val="20"/>
          <w:lang w:eastAsia="zh-TW"/>
        </w:rPr>
      </w:pPr>
      <w:r w:rsidRPr="00CD1F9B">
        <w:rPr>
          <w:rFonts w:eastAsia="PMingLiU"/>
          <w:sz w:val="20"/>
          <w:szCs w:val="20"/>
          <w:lang w:eastAsia="zh-TW"/>
        </w:rPr>
        <w:t>Earth fixed Tracking area is assumed with Earth fixed and moving cells</w:t>
      </w:r>
    </w:p>
    <w:p w14:paraId="5F960F26" w14:textId="77777777" w:rsidR="00FD2270" w:rsidRPr="00CD1F9B" w:rsidRDefault="00FD2270" w:rsidP="00FD2270">
      <w:pPr>
        <w:numPr>
          <w:ilvl w:val="0"/>
          <w:numId w:val="20"/>
        </w:numPr>
        <w:overflowPunct w:val="0"/>
        <w:snapToGrid/>
        <w:spacing w:after="0"/>
        <w:jc w:val="left"/>
        <w:textAlignment w:val="baseline"/>
        <w:rPr>
          <w:rFonts w:eastAsia="PMingLiU"/>
          <w:sz w:val="20"/>
          <w:szCs w:val="20"/>
          <w:lang w:eastAsia="zh-TW"/>
        </w:rPr>
      </w:pPr>
      <w:r w:rsidRPr="00CD1F9B">
        <w:rPr>
          <w:rFonts w:eastAsia="PMingLiU"/>
          <w:sz w:val="20"/>
          <w:szCs w:val="20"/>
          <w:lang w:eastAsia="zh-TW"/>
        </w:rPr>
        <w:t>UEs with GNSS capabilities are assumed.</w:t>
      </w:r>
    </w:p>
    <w:p w14:paraId="1AD0102E" w14:textId="77777777" w:rsidR="00FD2270" w:rsidRPr="00CD1F9B" w:rsidRDefault="00FD2270" w:rsidP="00FD2270">
      <w:pPr>
        <w:numPr>
          <w:ilvl w:val="0"/>
          <w:numId w:val="20"/>
        </w:numPr>
        <w:overflowPunct w:val="0"/>
        <w:snapToGrid/>
        <w:spacing w:after="0"/>
        <w:jc w:val="left"/>
        <w:textAlignment w:val="baseline"/>
        <w:rPr>
          <w:rFonts w:eastAsia="PMingLiU"/>
          <w:sz w:val="20"/>
          <w:szCs w:val="20"/>
          <w:lang w:eastAsia="zh-TW"/>
        </w:rPr>
      </w:pPr>
      <w:r w:rsidRPr="00CD1F9B">
        <w:rPr>
          <w:rFonts w:eastAsia="PMingLiU"/>
          <w:sz w:val="20"/>
          <w:szCs w:val="20"/>
          <w:lang w:eastAsia="zh-TW"/>
        </w:rPr>
        <w:t>Transparent payload is assumed</w:t>
      </w:r>
    </w:p>
    <w:p w14:paraId="2FC54CC6" w14:textId="77777777" w:rsidR="00CD1F9B" w:rsidRPr="00CD1F9B" w:rsidRDefault="00CD1F9B" w:rsidP="00CD1F9B">
      <w:pPr>
        <w:rPr>
          <w:sz w:val="20"/>
          <w:szCs w:val="20"/>
          <w:lang w:eastAsia="zh-CN"/>
        </w:rPr>
      </w:pPr>
    </w:p>
    <w:p w14:paraId="61BC72E6" w14:textId="27C13B5A" w:rsidR="00FD2270" w:rsidRPr="00CD1F9B" w:rsidRDefault="00CD1F9B" w:rsidP="00CD1F9B">
      <w:pPr>
        <w:rPr>
          <w:sz w:val="20"/>
          <w:szCs w:val="20"/>
          <w:lang w:eastAsia="zh-CN"/>
        </w:rPr>
      </w:pPr>
      <w:r>
        <w:rPr>
          <w:rFonts w:hint="eastAsia"/>
          <w:noProof/>
          <w:sz w:val="20"/>
          <w:szCs w:val="20"/>
          <w:lang w:eastAsia="zh-CN"/>
        </w:rPr>
        <mc:AlternateContent>
          <mc:Choice Requires="wps">
            <w:drawing>
              <wp:anchor distT="0" distB="0" distL="114300" distR="114300" simplePos="0" relativeHeight="251659264" behindDoc="0" locked="0" layoutInCell="1" allowOverlap="1" wp14:anchorId="3B0EC190" wp14:editId="6C5CDBB8">
                <wp:simplePos x="0" y="0"/>
                <wp:positionH relativeFrom="column">
                  <wp:posOffset>-63610</wp:posOffset>
                </wp:positionH>
                <wp:positionV relativeFrom="paragraph">
                  <wp:posOffset>199942</wp:posOffset>
                </wp:positionV>
                <wp:extent cx="6042991" cy="2719346"/>
                <wp:effectExtent l="0" t="0" r="15240" b="24130"/>
                <wp:wrapNone/>
                <wp:docPr id="1" name="矩形 1"/>
                <wp:cNvGraphicFramePr/>
                <a:graphic xmlns:a="http://schemas.openxmlformats.org/drawingml/2006/main">
                  <a:graphicData uri="http://schemas.microsoft.com/office/word/2010/wordprocessingShape">
                    <wps:wsp>
                      <wps:cNvSpPr/>
                      <wps:spPr>
                        <a:xfrm>
                          <a:off x="0" y="0"/>
                          <a:ext cx="6042991" cy="2719346"/>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4CB45BD" id="矩形 1" o:spid="_x0000_s1026" style="position:absolute;left:0;text-align:left;margin-left:-5pt;margin-top:15.75pt;width:475.85pt;height:214.1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" filled="f" strokecolor="#243f60 [1604]" strokeweight="2pt"/>
            </w:pict>
          </mc:Fallback>
        </mc:AlternateContent>
      </w:r>
      <w:r w:rsidRPr="00CD1F9B">
        <w:rPr>
          <w:rFonts w:hint="eastAsia"/>
          <w:sz w:val="20"/>
          <w:szCs w:val="20"/>
          <w:lang w:eastAsia="zh-CN"/>
        </w:rPr>
        <w:t>A</w:t>
      </w:r>
      <w:r w:rsidRPr="00CD1F9B">
        <w:rPr>
          <w:sz w:val="20"/>
          <w:szCs w:val="20"/>
          <w:lang w:eastAsia="zh-CN"/>
        </w:rPr>
        <w:t>nd RAN1 related part is as following:</w:t>
      </w:r>
    </w:p>
    <w:p w14:paraId="1590C7AF" w14:textId="77777777" w:rsidR="00FD2270" w:rsidRPr="00CD1F9B" w:rsidRDefault="00FD2270" w:rsidP="00FD2270">
      <w:pPr>
        <w:rPr>
          <w:sz w:val="20"/>
          <w:szCs w:val="20"/>
          <w:lang w:eastAsia="ja-JP"/>
        </w:rPr>
      </w:pPr>
      <w:r w:rsidRPr="00CD1F9B">
        <w:rPr>
          <w:sz w:val="20"/>
          <w:szCs w:val="20"/>
        </w:rPr>
        <w:t>Enhancing features to address the identified issues due to long propagation delays, large Doppler effects, and moving cells in NTN,</w:t>
      </w:r>
      <w:r w:rsidRPr="00CD1F9B">
        <w:rPr>
          <w:sz w:val="20"/>
          <w:szCs w:val="20"/>
          <w:lang w:eastAsia="ja-JP"/>
        </w:rPr>
        <w:t xml:space="preserve"> the following should be specified (see TR 38.821):</w:t>
      </w:r>
    </w:p>
    <w:p w14:paraId="6E494E27" w14:textId="77777777" w:rsidR="00FD2270" w:rsidRPr="00CD1F9B" w:rsidRDefault="00FD2270" w:rsidP="00FD2270">
      <w:pPr>
        <w:numPr>
          <w:ilvl w:val="0"/>
          <w:numId w:val="20"/>
        </w:numPr>
        <w:overflowPunct w:val="0"/>
        <w:snapToGrid/>
        <w:spacing w:before="100" w:beforeAutospacing="1" w:after="100" w:afterAutospacing="1"/>
        <w:jc w:val="left"/>
        <w:textAlignment w:val="baseline"/>
        <w:rPr>
          <w:sz w:val="20"/>
          <w:szCs w:val="20"/>
        </w:rPr>
      </w:pPr>
      <w:r w:rsidRPr="00CD1F9B">
        <w:rPr>
          <w:sz w:val="20"/>
          <w:szCs w:val="20"/>
        </w:rPr>
        <w:t>Timing relationship enhancements[RAN1,RAN2]</w:t>
      </w:r>
    </w:p>
    <w:p w14:paraId="0D48163F" w14:textId="77777777" w:rsidR="00FD2270" w:rsidRPr="00CD1F9B" w:rsidRDefault="00FD2270" w:rsidP="00FD2270">
      <w:pPr>
        <w:numPr>
          <w:ilvl w:val="0"/>
          <w:numId w:val="20"/>
        </w:numPr>
        <w:overflowPunct w:val="0"/>
        <w:snapToGrid/>
        <w:spacing w:before="100" w:beforeAutospacing="1" w:after="100" w:afterAutospacing="1"/>
        <w:jc w:val="left"/>
        <w:textAlignment w:val="baseline"/>
        <w:rPr>
          <w:sz w:val="20"/>
          <w:szCs w:val="20"/>
        </w:rPr>
      </w:pPr>
      <w:r w:rsidRPr="00CD1F9B">
        <w:rPr>
          <w:sz w:val="20"/>
          <w:szCs w:val="20"/>
        </w:rPr>
        <w:t>Enhancements on UL time and frequency synchronization [RAN1,RAN2]</w:t>
      </w:r>
    </w:p>
    <w:p w14:paraId="218A2DE7" w14:textId="77777777" w:rsidR="00FD2270" w:rsidRPr="00CD1F9B" w:rsidRDefault="00FD2270" w:rsidP="00FD2270">
      <w:pPr>
        <w:numPr>
          <w:ilvl w:val="0"/>
          <w:numId w:val="20"/>
        </w:numPr>
        <w:overflowPunct w:val="0"/>
        <w:snapToGrid/>
        <w:spacing w:before="100" w:beforeAutospacing="1" w:after="100" w:afterAutospacing="1"/>
        <w:jc w:val="left"/>
        <w:textAlignment w:val="baseline"/>
        <w:rPr>
          <w:sz w:val="20"/>
          <w:szCs w:val="20"/>
        </w:rPr>
      </w:pPr>
      <w:r w:rsidRPr="00CD1F9B">
        <w:rPr>
          <w:sz w:val="20"/>
          <w:szCs w:val="20"/>
        </w:rPr>
        <w:t>HARQ</w:t>
      </w:r>
    </w:p>
    <w:p w14:paraId="4D0FC78A" w14:textId="77777777" w:rsidR="00FD2270" w:rsidRPr="00CD1F9B" w:rsidRDefault="00FD2270" w:rsidP="00FD2270">
      <w:pPr>
        <w:numPr>
          <w:ilvl w:val="1"/>
          <w:numId w:val="20"/>
        </w:numPr>
        <w:overflowPunct w:val="0"/>
        <w:snapToGrid/>
        <w:spacing w:before="100" w:beforeAutospacing="1" w:after="100" w:afterAutospacing="1"/>
        <w:jc w:val="left"/>
        <w:textAlignment w:val="baseline"/>
        <w:rPr>
          <w:sz w:val="20"/>
          <w:szCs w:val="20"/>
        </w:rPr>
      </w:pPr>
      <w:r w:rsidRPr="00CD1F9B">
        <w:rPr>
          <w:sz w:val="20"/>
          <w:szCs w:val="20"/>
        </w:rPr>
        <w:t>Number of HARQ process [RAN1]</w:t>
      </w:r>
    </w:p>
    <w:p w14:paraId="7166E40E" w14:textId="77777777" w:rsidR="00FD2270" w:rsidRPr="00CD1F9B" w:rsidRDefault="00FD2270" w:rsidP="00FD2270">
      <w:pPr>
        <w:numPr>
          <w:ilvl w:val="1"/>
          <w:numId w:val="20"/>
        </w:numPr>
        <w:overflowPunct w:val="0"/>
        <w:snapToGrid/>
        <w:spacing w:before="100" w:beforeAutospacing="1" w:after="100" w:afterAutospacing="1"/>
        <w:jc w:val="left"/>
        <w:textAlignment w:val="baseline"/>
        <w:rPr>
          <w:sz w:val="20"/>
          <w:szCs w:val="20"/>
        </w:rPr>
      </w:pPr>
      <w:r w:rsidRPr="00CD1F9B">
        <w:rPr>
          <w:sz w:val="20"/>
          <w:szCs w:val="20"/>
        </w:rPr>
        <w:t xml:space="preserve">Enabling / disabling of HARQ feedback as described in the TR 38.821 </w:t>
      </w:r>
      <w:r w:rsidRPr="00CD1F9B">
        <w:rPr>
          <w:rFonts w:hint="eastAsia"/>
          <w:sz w:val="20"/>
          <w:szCs w:val="20"/>
        </w:rPr>
        <w:t>[</w:t>
      </w:r>
      <w:r w:rsidRPr="00CD1F9B">
        <w:rPr>
          <w:sz w:val="20"/>
          <w:szCs w:val="20"/>
        </w:rPr>
        <w:t>RAN1&amp;2</w:t>
      </w:r>
      <w:r w:rsidRPr="00CD1F9B">
        <w:rPr>
          <w:rFonts w:hint="eastAsia"/>
          <w:sz w:val="20"/>
          <w:szCs w:val="20"/>
        </w:rPr>
        <w:t>]</w:t>
      </w:r>
    </w:p>
    <w:p w14:paraId="44CF5699" w14:textId="77777777" w:rsidR="00FD2270" w:rsidRPr="00CD1F9B" w:rsidRDefault="00FD2270" w:rsidP="00FD2270">
      <w:pPr>
        <w:rPr>
          <w:sz w:val="20"/>
          <w:szCs w:val="20"/>
        </w:rPr>
      </w:pPr>
      <w:r w:rsidRPr="00CD1F9B">
        <w:rPr>
          <w:sz w:val="20"/>
          <w:szCs w:val="20"/>
        </w:rPr>
        <w:t>In addition, the following topics should be specified if beneficial and needed</w:t>
      </w:r>
    </w:p>
    <w:p w14:paraId="613A106F" w14:textId="77777777" w:rsidR="00FD2270" w:rsidRPr="00CD1F9B" w:rsidRDefault="00FD2270" w:rsidP="00FD2270">
      <w:pPr>
        <w:numPr>
          <w:ilvl w:val="0"/>
          <w:numId w:val="20"/>
        </w:numPr>
        <w:overflowPunct w:val="0"/>
        <w:snapToGrid/>
        <w:spacing w:before="100" w:beforeAutospacing="1" w:after="100" w:afterAutospacing="1"/>
        <w:jc w:val="left"/>
        <w:textAlignment w:val="baseline"/>
        <w:rPr>
          <w:sz w:val="20"/>
          <w:szCs w:val="20"/>
        </w:rPr>
      </w:pPr>
      <w:r w:rsidRPr="00CD1F9B">
        <w:rPr>
          <w:sz w:val="20"/>
          <w:szCs w:val="20"/>
        </w:rPr>
        <w:t>Enhancement on the PRACH sequence and/or format and extension of the ra-ResponseWindow duration (in the case of UE with GNSS capability but without pre-compensation of timing and frequency offset capabilities) [RAN1/2]</w:t>
      </w:r>
      <w:r w:rsidRPr="00CD1F9B">
        <w:rPr>
          <w:rFonts w:eastAsia="PMingLiU"/>
          <w:sz w:val="20"/>
          <w:szCs w:val="20"/>
          <w:lang w:eastAsia="zh-TW"/>
        </w:rPr>
        <w:t>.</w:t>
      </w:r>
    </w:p>
    <w:p w14:paraId="0B955EE6" w14:textId="77777777" w:rsidR="00FD2270" w:rsidRPr="00CD1F9B" w:rsidRDefault="00FD2270" w:rsidP="00FD2270">
      <w:pPr>
        <w:numPr>
          <w:ilvl w:val="0"/>
          <w:numId w:val="20"/>
        </w:numPr>
        <w:overflowPunct w:val="0"/>
        <w:snapToGrid/>
        <w:spacing w:before="100" w:beforeAutospacing="1" w:after="100" w:afterAutospacing="1"/>
        <w:jc w:val="left"/>
        <w:textAlignment w:val="baseline"/>
        <w:rPr>
          <w:sz w:val="20"/>
          <w:szCs w:val="20"/>
        </w:rPr>
      </w:pPr>
      <w:r w:rsidRPr="00CD1F9B">
        <w:rPr>
          <w:sz w:val="20"/>
          <w:szCs w:val="20"/>
        </w:rPr>
        <w:t>Feeder link switch [RAN2,RAN1]</w:t>
      </w:r>
    </w:p>
    <w:p w14:paraId="7C665898" w14:textId="77777777" w:rsidR="00FD2270" w:rsidRPr="00CD1F9B" w:rsidRDefault="00FD2270" w:rsidP="00FD2270">
      <w:pPr>
        <w:numPr>
          <w:ilvl w:val="0"/>
          <w:numId w:val="20"/>
        </w:numPr>
        <w:overflowPunct w:val="0"/>
        <w:snapToGrid/>
        <w:spacing w:before="100" w:beforeAutospacing="1" w:after="100" w:afterAutospacing="1"/>
        <w:jc w:val="left"/>
        <w:textAlignment w:val="baseline"/>
        <w:rPr>
          <w:sz w:val="20"/>
          <w:szCs w:val="20"/>
        </w:rPr>
      </w:pPr>
      <w:r w:rsidRPr="00CD1F9B">
        <w:rPr>
          <w:sz w:val="20"/>
          <w:szCs w:val="20"/>
        </w:rPr>
        <w:t>Beam management and Bandwidth Parts (BWP) operation for NTN with frequency reuse [RAN1/2]</w:t>
      </w:r>
    </w:p>
    <w:p w14:paraId="7D61C483" w14:textId="77777777" w:rsidR="00FD2270" w:rsidRPr="00CD1F9B" w:rsidRDefault="00FD2270" w:rsidP="00FD2270">
      <w:pPr>
        <w:numPr>
          <w:ilvl w:val="1"/>
          <w:numId w:val="20"/>
        </w:numPr>
        <w:overflowPunct w:val="0"/>
        <w:snapToGrid/>
        <w:spacing w:after="0"/>
        <w:jc w:val="left"/>
        <w:textAlignment w:val="baseline"/>
        <w:rPr>
          <w:rFonts w:eastAsia="PMingLiU"/>
          <w:sz w:val="20"/>
          <w:szCs w:val="20"/>
          <w:lang w:eastAsia="zh-TW"/>
        </w:rPr>
      </w:pPr>
      <w:r w:rsidRPr="00CD1F9B">
        <w:rPr>
          <w:rFonts w:eastAsia="PMingLiU"/>
          <w:sz w:val="20"/>
          <w:szCs w:val="20"/>
          <w:lang w:eastAsia="zh-TW"/>
        </w:rPr>
        <w:t>Including signalling of polarization mode</w:t>
      </w:r>
    </w:p>
    <w:p w14:paraId="2ABCDB30" w14:textId="77777777" w:rsidR="00FD2270" w:rsidRPr="00CD1F9B" w:rsidRDefault="00FD2270" w:rsidP="00FD2270">
      <w:pPr>
        <w:rPr>
          <w:strike/>
          <w:sz w:val="20"/>
          <w:szCs w:val="20"/>
        </w:rPr>
      </w:pPr>
    </w:p>
    <w:p w14:paraId="282E49CC" w14:textId="2D0CF3D0" w:rsidR="00D91E1B" w:rsidRDefault="00D91E1B" w:rsidP="0023727C">
      <w:pPr>
        <w:rPr>
          <w:sz w:val="20"/>
          <w:szCs w:val="20"/>
          <w:lang w:val="en-GB" w:eastAsia="zh-CN"/>
        </w:rPr>
      </w:pPr>
      <w:r>
        <w:rPr>
          <w:rFonts w:hint="eastAsia"/>
          <w:sz w:val="20"/>
          <w:szCs w:val="20"/>
          <w:lang w:val="en-GB" w:eastAsia="zh-CN"/>
        </w:rPr>
        <w:t>The</w:t>
      </w:r>
      <w:r>
        <w:rPr>
          <w:sz w:val="20"/>
          <w:szCs w:val="20"/>
          <w:lang w:val="en-GB" w:eastAsia="zh-CN"/>
        </w:rPr>
        <w:t xml:space="preserve"> description in TR 38.821 is as following:</w:t>
      </w:r>
    </w:p>
    <w:p w14:paraId="64F23938" w14:textId="3B89FE33" w:rsidR="00D91E1B" w:rsidRPr="00D91E1B" w:rsidRDefault="00D91E1B" w:rsidP="0023727C">
      <w:pPr>
        <w:rPr>
          <w:sz w:val="20"/>
          <w:szCs w:val="20"/>
          <w:lang w:val="en-GB" w:eastAsia="zh-CN"/>
        </w:rPr>
      </w:pPr>
    </w:p>
    <w:p w14:paraId="60361A7C" w14:textId="77777777" w:rsidR="00D91E1B" w:rsidRPr="00D91E1B" w:rsidRDefault="00D91E1B" w:rsidP="00D91E1B">
      <w:pPr>
        <w:rPr>
          <w:sz w:val="20"/>
          <w:szCs w:val="20"/>
        </w:rPr>
      </w:pPr>
      <w:r w:rsidRPr="00D91E1B">
        <w:rPr>
          <w:sz w:val="20"/>
          <w:szCs w:val="20"/>
        </w:rPr>
        <w:t xml:space="preserve">With consideration on the larger cell coverage, long round trip time (RTT) and high Doppler, enhancements are considered to ensure the performance for timing and frequency synchronization for UL transmission. </w:t>
      </w:r>
    </w:p>
    <w:p w14:paraId="16A2E35D" w14:textId="135ECF82" w:rsidR="00D91E1B" w:rsidRPr="00D91E1B" w:rsidRDefault="00D91E1B" w:rsidP="00D91E1B">
      <w:pPr>
        <w:pStyle w:val="TH"/>
        <w:rPr>
          <w:rFonts w:ascii="Times New Roman" w:hAnsi="Times New Roman"/>
        </w:rPr>
      </w:pPr>
      <w:r w:rsidRPr="00D91E1B">
        <w:rPr>
          <w:rFonts w:ascii="Times New Roman" w:hAnsi="Times New Roman"/>
          <w:noProof/>
          <w:lang w:val="en-US" w:eastAsia="zh-CN"/>
        </w:rPr>
        <w:lastRenderedPageBreak/>
        <w:drawing>
          <wp:inline distT="0" distB="0" distL="0" distR="0" wp14:anchorId="59B3E66C" wp14:editId="7C95A16D">
            <wp:extent cx="5876925" cy="2352675"/>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76925" cy="2352675"/>
                    </a:xfrm>
                    <a:prstGeom prst="rect">
                      <a:avLst/>
                    </a:prstGeom>
                    <a:noFill/>
                    <a:ln>
                      <a:noFill/>
                    </a:ln>
                  </pic:spPr>
                </pic:pic>
              </a:graphicData>
            </a:graphic>
          </wp:inline>
        </w:drawing>
      </w:r>
    </w:p>
    <w:p w14:paraId="01F911DF" w14:textId="77777777" w:rsidR="00D91E1B" w:rsidRPr="00D91E1B" w:rsidRDefault="00D91E1B" w:rsidP="00D91E1B">
      <w:pPr>
        <w:pStyle w:val="TF"/>
        <w:rPr>
          <w:rFonts w:ascii="Times New Roman" w:hAnsi="Times New Roman"/>
        </w:rPr>
      </w:pPr>
      <w:r w:rsidRPr="00D91E1B">
        <w:rPr>
          <w:rFonts w:ascii="Times New Roman" w:hAnsi="Times New Roman"/>
        </w:rPr>
        <w:t>Figure 6.3</w:t>
      </w:r>
      <w:r w:rsidRPr="00D91E1B">
        <w:rPr>
          <w:rFonts w:ascii="Times New Roman" w:eastAsia="微软雅黑" w:hAnsi="Times New Roman"/>
          <w:lang w:eastAsia="zh-CN"/>
        </w:rPr>
        <w:t>.</w:t>
      </w:r>
      <w:r w:rsidRPr="00D91E1B">
        <w:rPr>
          <w:rFonts w:ascii="Times New Roman" w:hAnsi="Times New Roman"/>
        </w:rPr>
        <w:t xml:space="preserve">4-1: Illustration of the TA components in NTN (For simplicity, TA offset </w:t>
      </w:r>
      <w:r w:rsidRPr="00D91E1B">
        <w:rPr>
          <w:rFonts w:ascii="Times New Roman" w:hAnsi="Times New Roman"/>
        </w:rPr>
        <w:fldChar w:fldCharType="begin"/>
      </w:r>
      <w:r w:rsidRPr="00D91E1B">
        <w:rPr>
          <w:rFonts w:ascii="Times New Roman" w:hAnsi="Times New Roman"/>
        </w:rPr>
        <w:instrText xml:space="preserve"> QUOTE </w:instrText>
      </w:r>
      <w:r w:rsidR="00FF188A">
        <w:rPr>
          <w:rFonts w:ascii="Times New Roman" w:hAnsi="Times New Roman"/>
          <w:position w:val="-8"/>
        </w:rPr>
        <w:pict w14:anchorId="659BA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13.15pt" equationxml="&lt;">
            <v:imagedata r:id="rId9" o:title="" chromakey="white"/>
          </v:shape>
        </w:pict>
      </w:r>
      <w:r w:rsidRPr="00D91E1B">
        <w:rPr>
          <w:rFonts w:ascii="Times New Roman" w:hAnsi="Times New Roman"/>
        </w:rPr>
        <w:instrText xml:space="preserve"> </w:instrText>
      </w:r>
      <w:r w:rsidRPr="00D91E1B">
        <w:rPr>
          <w:rFonts w:ascii="Times New Roman" w:hAnsi="Times New Roman"/>
        </w:rPr>
        <w:fldChar w:fldCharType="separate"/>
      </w:r>
      <w:r w:rsidR="00FF188A">
        <w:rPr>
          <w:rFonts w:ascii="Times New Roman" w:hAnsi="Times New Roman"/>
          <w:position w:val="-8"/>
        </w:rPr>
        <w:pict w14:anchorId="1E91F379">
          <v:shape id="_x0000_i1026" type="#_x0000_t75" style="width:38.2pt;height:13.15pt" equationxml="&lt;">
            <v:imagedata r:id="rId9" o:title="" chromakey="white"/>
          </v:shape>
        </w:pict>
      </w:r>
      <w:r w:rsidRPr="00D91E1B">
        <w:rPr>
          <w:rFonts w:ascii="Times New Roman" w:hAnsi="Times New Roman"/>
        </w:rPr>
        <w:fldChar w:fldCharType="end"/>
      </w:r>
      <w:r w:rsidRPr="00D91E1B">
        <w:rPr>
          <w:rFonts w:ascii="Times New Roman" w:hAnsi="Times New Roman"/>
        </w:rPr>
        <w:t xml:space="preserve"> is not plotted.)</w:t>
      </w:r>
    </w:p>
    <w:p w14:paraId="4B2F5C7F" w14:textId="77777777" w:rsidR="00D91E1B" w:rsidRPr="00D91E1B" w:rsidRDefault="00D91E1B" w:rsidP="00D91E1B">
      <w:pPr>
        <w:rPr>
          <w:sz w:val="20"/>
          <w:szCs w:val="20"/>
        </w:rPr>
      </w:pPr>
      <w:r w:rsidRPr="00D91E1B">
        <w:rPr>
          <w:sz w:val="20"/>
          <w:szCs w:val="20"/>
        </w:rPr>
        <w:t>For the timing advance (TA) in the initial access and the subsequent TA maintenance, the following solutions are identified with an illustration of the definition of terminology given in Figure 6.3</w:t>
      </w:r>
      <w:r w:rsidRPr="00D91E1B">
        <w:rPr>
          <w:rFonts w:eastAsia="微软雅黑"/>
          <w:sz w:val="20"/>
          <w:szCs w:val="20"/>
          <w:lang w:eastAsia="zh-CN"/>
        </w:rPr>
        <w:t>.</w:t>
      </w:r>
      <w:r w:rsidRPr="00D91E1B">
        <w:rPr>
          <w:sz w:val="20"/>
          <w:szCs w:val="20"/>
        </w:rPr>
        <w:t>4-1:</w:t>
      </w:r>
    </w:p>
    <w:p w14:paraId="72FC4EB9" w14:textId="77777777" w:rsidR="00D91E1B" w:rsidRPr="00D91E1B" w:rsidRDefault="00D91E1B" w:rsidP="00D91E1B">
      <w:pPr>
        <w:pStyle w:val="B1"/>
      </w:pPr>
      <w:r w:rsidRPr="00D91E1B">
        <w:t>●</w:t>
      </w:r>
      <w:r w:rsidRPr="00D91E1B">
        <w:tab/>
        <w:t xml:space="preserve">Option 1: Autonomous acquisition of the TA at UE with UE known location and satellite ephemeris. </w:t>
      </w:r>
    </w:p>
    <w:p w14:paraId="54651733" w14:textId="77777777" w:rsidR="00D91E1B" w:rsidRPr="00D91E1B" w:rsidRDefault="00D91E1B" w:rsidP="00D91E1B">
      <w:pPr>
        <w:spacing w:beforeLines="50" w:before="120" w:after="0"/>
        <w:ind w:left="501"/>
        <w:rPr>
          <w:sz w:val="20"/>
          <w:szCs w:val="20"/>
          <w:lang w:eastAsia="x-none"/>
        </w:rPr>
      </w:pPr>
      <w:r w:rsidRPr="00D91E1B">
        <w:rPr>
          <w:sz w:val="20"/>
          <w:szCs w:val="20"/>
          <w:lang w:eastAsia="x-none"/>
        </w:rPr>
        <w:t xml:space="preserve">In this way, the required TA value for UL transmission including PRACH can be calculated by the UE. The corresponding adjustment can be done, either with UE-specific differential TA or full TA (consisting of UE specific differential TA and common TA). </w:t>
      </w:r>
    </w:p>
    <w:p w14:paraId="4537F371" w14:textId="77777777" w:rsidR="00D91E1B" w:rsidRPr="00D91E1B" w:rsidRDefault="00D91E1B" w:rsidP="00D91E1B">
      <w:pPr>
        <w:spacing w:beforeLines="50" w:before="120" w:after="0"/>
        <w:ind w:left="501"/>
        <w:rPr>
          <w:sz w:val="20"/>
          <w:szCs w:val="20"/>
          <w:lang w:eastAsia="x-none"/>
        </w:rPr>
      </w:pPr>
      <w:r w:rsidRPr="00D91E1B">
        <w:rPr>
          <w:sz w:val="20"/>
          <w:szCs w:val="20"/>
          <w:lang w:eastAsia="x-none"/>
        </w:rPr>
        <w:t xml:space="preserve">W.r.t the full TA compensation at the UE </w:t>
      </w:r>
      <w:r w:rsidRPr="00D91E1B">
        <w:rPr>
          <w:color w:val="000000"/>
          <w:sz w:val="20"/>
          <w:szCs w:val="20"/>
          <w:lang w:eastAsia="x-none"/>
        </w:rPr>
        <w:t>side, both the alignment on the UL timing among UEs and DL and UL frame timing at n</w:t>
      </w:r>
      <w:r w:rsidRPr="00824B0B">
        <w:rPr>
          <w:color w:val="000000"/>
          <w:sz w:val="20"/>
          <w:szCs w:val="20"/>
          <w:lang w:eastAsia="x-none"/>
        </w:rPr>
        <w:t>etwork side can be achieved</w:t>
      </w:r>
      <w:r w:rsidRPr="00824B0B">
        <w:rPr>
          <w:color w:val="000000"/>
          <w:sz w:val="20"/>
          <w:szCs w:val="20"/>
        </w:rPr>
        <w:t>. However, in case of satellite with transparent payload, further discussion on how to handle the impact introduced by feeder link will be conducted in normative work. Additional needs</w:t>
      </w:r>
      <w:r w:rsidRPr="00D91E1B">
        <w:rPr>
          <w:color w:val="000000"/>
          <w:sz w:val="20"/>
          <w:szCs w:val="20"/>
        </w:rPr>
        <w:t xml:space="preserve"> for the network to manage the timing offset between the DL and UL frame timing can be considered, if impacts introduced by feeder link is not compensated by UE in corresponding compensation.</w:t>
      </w:r>
    </w:p>
    <w:p w14:paraId="0E830FD1" w14:textId="77777777" w:rsidR="00D91E1B" w:rsidRPr="00D91E1B" w:rsidRDefault="00D91E1B" w:rsidP="00D91E1B">
      <w:pPr>
        <w:spacing w:beforeLines="50" w:before="120" w:after="0"/>
        <w:ind w:left="501"/>
        <w:rPr>
          <w:sz w:val="20"/>
          <w:szCs w:val="20"/>
          <w:lang w:eastAsia="x-none"/>
        </w:rPr>
      </w:pPr>
      <w:r w:rsidRPr="00D91E1B">
        <w:rPr>
          <w:sz w:val="20"/>
          <w:szCs w:val="20"/>
          <w:lang w:eastAsia="x-none"/>
        </w:rPr>
        <w:t>W.r.t the UE specific differential TA only, additional indication on a single reference point should be signalled to UEs per beam/cell for achieving the UL timing alignment among UEs within the coverage of the same beam/cell. Timing offset between DL and UL frame timing at the network side should also be managed by the network regardless of the satellite payload type.</w:t>
      </w:r>
    </w:p>
    <w:p w14:paraId="55028FA1" w14:textId="77777777" w:rsidR="00D91E1B" w:rsidRPr="00D91E1B" w:rsidRDefault="00D91E1B" w:rsidP="00D91E1B">
      <w:pPr>
        <w:spacing w:beforeLines="50" w:before="120" w:after="0"/>
        <w:ind w:left="501"/>
        <w:rPr>
          <w:sz w:val="20"/>
          <w:szCs w:val="20"/>
          <w:lang w:eastAsia="x-none"/>
        </w:rPr>
      </w:pPr>
      <w:r w:rsidRPr="00D91E1B">
        <w:rPr>
          <w:sz w:val="20"/>
          <w:szCs w:val="20"/>
          <w:lang w:eastAsia="x-none"/>
        </w:rPr>
        <w:t>With concern on the accuracy on the self-calculated TA value at the UE side, additional TA signalling from network to UE for TA refinement, e.g., during initial access and/or TA maintenance, can be determined in the normative work.</w:t>
      </w:r>
    </w:p>
    <w:p w14:paraId="5E4CF0FF" w14:textId="77777777" w:rsidR="00D91E1B" w:rsidRPr="00D91E1B" w:rsidRDefault="00D91E1B" w:rsidP="00D91E1B">
      <w:pPr>
        <w:pStyle w:val="B1"/>
      </w:pPr>
      <w:r w:rsidRPr="00D91E1B">
        <w:t>●</w:t>
      </w:r>
      <w:r w:rsidRPr="00D91E1B">
        <w:tab/>
        <w:t>Option 2: Timing advanced adjustment based on network indication</w:t>
      </w:r>
    </w:p>
    <w:p w14:paraId="48C65ADA" w14:textId="77777777" w:rsidR="00D91E1B" w:rsidRPr="000C058B" w:rsidRDefault="00D91E1B" w:rsidP="00D91E1B">
      <w:pPr>
        <w:spacing w:beforeLines="50" w:before="120" w:after="0"/>
        <w:ind w:left="501"/>
        <w:rPr>
          <w:sz w:val="20"/>
          <w:szCs w:val="20"/>
          <w:lang w:eastAsia="x-none"/>
        </w:rPr>
      </w:pPr>
      <w:r w:rsidRPr="00D91E1B">
        <w:rPr>
          <w:sz w:val="20"/>
          <w:szCs w:val="20"/>
          <w:lang w:eastAsia="x-none"/>
        </w:rPr>
        <w:t>In t</w:t>
      </w:r>
      <w:r w:rsidRPr="000C058B">
        <w:rPr>
          <w:sz w:val="20"/>
          <w:szCs w:val="20"/>
          <w:lang w:eastAsia="x-none"/>
        </w:rPr>
        <w:t>his way, the common TA, which refers to the common component of propagation delay shared by all UEs within the coverage of same satellite beam/cell, is broadcasted by the network per satellite beam/cell. The calculation of this common TA is conducted by the network with assumption on at least a single reference point per satellite beam/cell.</w:t>
      </w:r>
    </w:p>
    <w:p w14:paraId="7C982C77" w14:textId="77777777" w:rsidR="00D91E1B" w:rsidRPr="000C058B" w:rsidRDefault="00D91E1B" w:rsidP="00D91E1B">
      <w:pPr>
        <w:spacing w:beforeLines="50" w:before="120" w:after="0"/>
        <w:ind w:left="501"/>
        <w:rPr>
          <w:sz w:val="20"/>
          <w:szCs w:val="20"/>
          <w:lang w:eastAsia="x-none"/>
        </w:rPr>
      </w:pPr>
      <w:r w:rsidRPr="000C058B">
        <w:rPr>
          <w:sz w:val="20"/>
          <w:szCs w:val="20"/>
          <w:lang w:eastAsia="x-none"/>
        </w:rPr>
        <w:t xml:space="preserve">The indication for UE-specific differential TA from network as the Rel-15 TA mechanism is also needed. For satisfying the larger coverage of NTN, extension of value range for TA indication in RAR, either explicitly or implicitly, is identified. Whether to support negative TA value in corresponding indication will be determined in the normative phase. </w:t>
      </w:r>
    </w:p>
    <w:p w14:paraId="74EED82C" w14:textId="77777777" w:rsidR="00D91E1B" w:rsidRPr="000C058B" w:rsidRDefault="00D91E1B" w:rsidP="00D91E1B">
      <w:pPr>
        <w:spacing w:beforeLines="50" w:before="120" w:after="0"/>
        <w:ind w:left="501"/>
        <w:rPr>
          <w:sz w:val="20"/>
          <w:szCs w:val="20"/>
          <w:lang w:eastAsia="x-none"/>
        </w:rPr>
      </w:pPr>
      <w:r w:rsidRPr="000C058B">
        <w:rPr>
          <w:sz w:val="20"/>
          <w:szCs w:val="20"/>
          <w:lang w:eastAsia="x-none"/>
        </w:rPr>
        <w:t>Moreover, indication of timing drift rate, from the network to UE, is also supported to enable the TA adjustment at UE side.</w:t>
      </w:r>
    </w:p>
    <w:p w14:paraId="09E8156F" w14:textId="77777777" w:rsidR="00D91E1B" w:rsidRPr="000C058B" w:rsidRDefault="00D91E1B" w:rsidP="00D91E1B">
      <w:pPr>
        <w:rPr>
          <w:sz w:val="20"/>
          <w:szCs w:val="20"/>
        </w:rPr>
      </w:pPr>
      <w:r w:rsidRPr="000C058B">
        <w:rPr>
          <w:sz w:val="20"/>
          <w:szCs w:val="20"/>
        </w:rPr>
        <w:t>For calculation of common TA in the above two options, single reference point per beam is considered as the baseline. Whether and how to support the multiple reference points can be further discussed in the normative work.</w:t>
      </w:r>
    </w:p>
    <w:p w14:paraId="37E9B0BC" w14:textId="77777777" w:rsidR="00D91E1B" w:rsidRPr="000C058B" w:rsidRDefault="00D91E1B" w:rsidP="0023727C">
      <w:pPr>
        <w:rPr>
          <w:sz w:val="20"/>
          <w:szCs w:val="20"/>
          <w:lang w:eastAsia="zh-CN"/>
        </w:rPr>
      </w:pPr>
    </w:p>
    <w:p w14:paraId="4A5D45E6" w14:textId="6F23BB8E" w:rsidR="00FD2270" w:rsidRDefault="00CD1F9B" w:rsidP="0023727C">
      <w:pPr>
        <w:rPr>
          <w:sz w:val="20"/>
          <w:szCs w:val="20"/>
          <w:lang w:val="en-GB" w:eastAsia="zh-CN"/>
        </w:rPr>
      </w:pPr>
      <w:r w:rsidRPr="000C058B">
        <w:rPr>
          <w:rFonts w:hint="eastAsia"/>
          <w:sz w:val="20"/>
          <w:szCs w:val="20"/>
          <w:lang w:val="en-GB" w:eastAsia="zh-CN"/>
        </w:rPr>
        <w:t>I</w:t>
      </w:r>
      <w:r w:rsidRPr="000C058B">
        <w:rPr>
          <w:sz w:val="20"/>
          <w:szCs w:val="20"/>
          <w:lang w:val="en-GB" w:eastAsia="zh-CN"/>
        </w:rPr>
        <w:t xml:space="preserve">n this contribution, we discuss the issues </w:t>
      </w:r>
      <w:r w:rsidR="0064304A" w:rsidRPr="000C058B">
        <w:rPr>
          <w:sz w:val="20"/>
          <w:szCs w:val="20"/>
          <w:lang w:val="en-GB" w:eastAsia="zh-CN"/>
        </w:rPr>
        <w:t>for TA indication.</w:t>
      </w:r>
      <w:r w:rsidR="0064304A">
        <w:rPr>
          <w:sz w:val="20"/>
          <w:szCs w:val="20"/>
          <w:lang w:val="en-GB" w:eastAsia="zh-CN"/>
        </w:rPr>
        <w:t xml:space="preserve"> </w:t>
      </w:r>
    </w:p>
    <w:p w14:paraId="66AB60FE" w14:textId="67FDBC83" w:rsidR="0075101E" w:rsidRPr="0075101E" w:rsidRDefault="0075101E" w:rsidP="0075101E">
      <w:pPr>
        <w:pStyle w:val="1"/>
        <w:numPr>
          <w:ilvl w:val="0"/>
          <w:numId w:val="4"/>
        </w:numPr>
        <w:rPr>
          <w:rFonts w:ascii="Arial" w:hAnsi="Arial" w:cs="Arial"/>
          <w:lang w:eastAsia="zh-CN"/>
        </w:rPr>
      </w:pPr>
      <w:r w:rsidRPr="0075101E">
        <w:rPr>
          <w:rFonts w:ascii="Arial" w:hAnsi="Arial" w:cs="Arial" w:hint="eastAsia"/>
          <w:lang w:eastAsia="zh-CN"/>
        </w:rPr>
        <w:lastRenderedPageBreak/>
        <w:t>D</w:t>
      </w:r>
      <w:r w:rsidRPr="0075101E">
        <w:rPr>
          <w:rFonts w:ascii="Arial" w:hAnsi="Arial" w:cs="Arial"/>
          <w:lang w:eastAsia="zh-CN"/>
        </w:rPr>
        <w:t>iscussion</w:t>
      </w:r>
    </w:p>
    <w:p w14:paraId="66962194" w14:textId="7232818C" w:rsidR="00FD2270" w:rsidRDefault="00547A43" w:rsidP="0023727C">
      <w:pPr>
        <w:rPr>
          <w:sz w:val="20"/>
          <w:szCs w:val="20"/>
          <w:lang w:val="en-GB" w:eastAsia="zh-CN"/>
        </w:rPr>
      </w:pPr>
      <w:r>
        <w:rPr>
          <w:rFonts w:hint="eastAsia"/>
          <w:sz w:val="20"/>
          <w:szCs w:val="20"/>
          <w:lang w:val="en-GB" w:eastAsia="zh-CN"/>
        </w:rPr>
        <w:t>F</w:t>
      </w:r>
      <w:r>
        <w:rPr>
          <w:sz w:val="20"/>
          <w:szCs w:val="20"/>
          <w:lang w:val="en-GB" w:eastAsia="zh-CN"/>
        </w:rPr>
        <w:t xml:space="preserve">or LEO, </w:t>
      </w:r>
      <w:r w:rsidR="00CB0327">
        <w:rPr>
          <w:sz w:val="20"/>
          <w:szCs w:val="20"/>
          <w:lang w:val="en-GB" w:eastAsia="zh-CN"/>
        </w:rPr>
        <w:t>t</w:t>
      </w:r>
      <w:r>
        <w:rPr>
          <w:sz w:val="20"/>
          <w:szCs w:val="20"/>
          <w:lang w:val="en-GB" w:eastAsia="zh-CN"/>
        </w:rPr>
        <w:t xml:space="preserve">he associated footprint for a UE will change from time to time </w:t>
      </w:r>
      <w:r w:rsidR="00CB0327">
        <w:rPr>
          <w:sz w:val="20"/>
          <w:szCs w:val="20"/>
          <w:lang w:val="en-GB" w:eastAsia="zh-CN"/>
        </w:rPr>
        <w:t xml:space="preserve">as the moving of satellite </w:t>
      </w:r>
      <w:r>
        <w:rPr>
          <w:sz w:val="20"/>
          <w:szCs w:val="20"/>
          <w:lang w:val="en-GB" w:eastAsia="zh-CN"/>
        </w:rPr>
        <w:t xml:space="preserve">shown in Fig 1. If different footprints are associated with different cells, frequent handover will happen, which will cause large signalling overhead and latency. Consequently, it is proposed in the SI phase that different footprints are associated with different beams, so physical layer beam management procedure can be adopted, and signalling overhead and latency can be reduced. An example association between footprint and cell/beam is shown in Fig 1. </w:t>
      </w:r>
      <w:r w:rsidR="00CB0327">
        <w:rPr>
          <w:sz w:val="20"/>
          <w:szCs w:val="20"/>
          <w:lang w:val="en-GB" w:eastAsia="zh-CN"/>
        </w:rPr>
        <w:t>F</w:t>
      </w:r>
      <w:r>
        <w:rPr>
          <w:sz w:val="20"/>
          <w:szCs w:val="20"/>
          <w:lang w:val="en-GB" w:eastAsia="zh-CN"/>
        </w:rPr>
        <w:t xml:space="preserve">our footprints </w:t>
      </w:r>
      <w:r w:rsidR="00CB0327">
        <w:rPr>
          <w:sz w:val="20"/>
          <w:szCs w:val="20"/>
          <w:lang w:val="en-GB" w:eastAsia="zh-CN"/>
        </w:rPr>
        <w:t xml:space="preserve">are </w:t>
      </w:r>
      <w:r>
        <w:rPr>
          <w:sz w:val="20"/>
          <w:szCs w:val="20"/>
          <w:lang w:val="en-GB" w:eastAsia="zh-CN"/>
        </w:rPr>
        <w:t xml:space="preserve">associated </w:t>
      </w:r>
      <w:r w:rsidR="007B3F55">
        <w:rPr>
          <w:sz w:val="20"/>
          <w:szCs w:val="20"/>
          <w:lang w:val="en-GB" w:eastAsia="zh-CN"/>
        </w:rPr>
        <w:t xml:space="preserve">with </w:t>
      </w:r>
      <w:r w:rsidR="00CB0327">
        <w:rPr>
          <w:sz w:val="20"/>
          <w:szCs w:val="20"/>
          <w:lang w:val="en-GB" w:eastAsia="zh-CN"/>
        </w:rPr>
        <w:t xml:space="preserve">SSB#1/2/3/4 </w:t>
      </w:r>
      <w:r w:rsidR="007B3F55">
        <w:rPr>
          <w:sz w:val="20"/>
          <w:szCs w:val="20"/>
          <w:lang w:val="en-GB" w:eastAsia="zh-CN"/>
        </w:rPr>
        <w:t>of</w:t>
      </w:r>
      <w:r>
        <w:rPr>
          <w:sz w:val="20"/>
          <w:szCs w:val="20"/>
          <w:lang w:val="en-GB" w:eastAsia="zh-CN"/>
        </w:rPr>
        <w:t xml:space="preserve"> same PCI#1.</w:t>
      </w:r>
    </w:p>
    <w:p w14:paraId="4E4E78DF" w14:textId="401F8BA2" w:rsidR="00547A43" w:rsidRDefault="00CB0327" w:rsidP="0023727C">
      <w:r>
        <w:object w:dxaOrig="20320" w:dyaOrig="7660" w14:anchorId="337FED56">
          <v:shape id="_x0000_i1027" type="#_x0000_t75" style="width:480.85pt;height:181.55pt" o:ole="">
            <v:imagedata r:id="rId10" o:title=""/>
          </v:shape>
          <o:OLEObject Type="Embed" ProgID="Visio.Drawing.11" ShapeID="_x0000_i1027" DrawAspect="Content" ObjectID="_1658303845" r:id="rId11"/>
        </w:object>
      </w:r>
    </w:p>
    <w:p w14:paraId="2567EE73" w14:textId="7A02AC45" w:rsidR="00547A43" w:rsidRDefault="00547A43" w:rsidP="00547A43">
      <w:pPr>
        <w:jc w:val="center"/>
        <w:rPr>
          <w:sz w:val="20"/>
          <w:szCs w:val="20"/>
          <w:lang w:val="en-GB" w:eastAsia="zh-CN"/>
        </w:rPr>
      </w:pPr>
      <w:r>
        <w:rPr>
          <w:rFonts w:hint="eastAsia"/>
          <w:lang w:eastAsia="zh-CN"/>
        </w:rPr>
        <w:t>F</w:t>
      </w:r>
      <w:r>
        <w:rPr>
          <w:lang w:eastAsia="zh-CN"/>
        </w:rPr>
        <w:t>ig 1. Association between footprint and cell/beam</w:t>
      </w:r>
    </w:p>
    <w:p w14:paraId="069982E4" w14:textId="61BEA063" w:rsidR="000F49B6" w:rsidRPr="000629A3" w:rsidRDefault="00EC11E0" w:rsidP="0023727C">
      <w:pPr>
        <w:rPr>
          <w:sz w:val="20"/>
          <w:szCs w:val="20"/>
          <w:lang w:val="en-GB" w:eastAsia="zh-CN"/>
        </w:rPr>
      </w:pPr>
      <w:r>
        <w:rPr>
          <w:sz w:val="20"/>
          <w:szCs w:val="20"/>
          <w:lang w:val="en-GB" w:eastAsia="zh-CN"/>
        </w:rPr>
        <w:t>There are two types of TA indication in SI discussion [2]. One is full TA indication and another is TA indicated by common TA and differential TA.</w:t>
      </w:r>
      <w:r>
        <w:rPr>
          <w:rFonts w:hint="eastAsia"/>
          <w:sz w:val="20"/>
          <w:szCs w:val="20"/>
          <w:lang w:val="en-GB" w:eastAsia="zh-CN"/>
        </w:rPr>
        <w:t xml:space="preserve"> </w:t>
      </w:r>
      <w:r>
        <w:rPr>
          <w:sz w:val="20"/>
          <w:szCs w:val="20"/>
          <w:lang w:val="en-GB" w:eastAsia="zh-CN"/>
        </w:rPr>
        <w:t>Consider</w:t>
      </w:r>
      <w:r w:rsidR="007B3F55">
        <w:rPr>
          <w:sz w:val="20"/>
          <w:szCs w:val="20"/>
          <w:lang w:val="en-GB" w:eastAsia="zh-CN"/>
        </w:rPr>
        <w:t>ing</w:t>
      </w:r>
      <w:r>
        <w:rPr>
          <w:sz w:val="20"/>
          <w:szCs w:val="20"/>
          <w:lang w:val="en-GB" w:eastAsia="zh-CN"/>
        </w:rPr>
        <w:t xml:space="preserve"> the </w:t>
      </w:r>
      <w:r w:rsidR="008E6237">
        <w:rPr>
          <w:sz w:val="20"/>
          <w:szCs w:val="20"/>
          <w:lang w:val="en-GB" w:eastAsia="zh-CN"/>
        </w:rPr>
        <w:t>large propagation delay in NTN scenario</w:t>
      </w:r>
      <w:r>
        <w:rPr>
          <w:sz w:val="20"/>
          <w:szCs w:val="20"/>
          <w:lang w:val="en-GB" w:eastAsia="zh-CN"/>
        </w:rPr>
        <w:t xml:space="preserve"> and signalling overhead</w:t>
      </w:r>
      <w:r w:rsidR="008E6237">
        <w:rPr>
          <w:sz w:val="20"/>
          <w:szCs w:val="20"/>
          <w:lang w:val="en-GB" w:eastAsia="zh-CN"/>
        </w:rPr>
        <w:t xml:space="preserve">, </w:t>
      </w:r>
      <w:r>
        <w:rPr>
          <w:sz w:val="20"/>
          <w:szCs w:val="20"/>
          <w:lang w:val="en-GB" w:eastAsia="zh-CN"/>
        </w:rPr>
        <w:t xml:space="preserve">we prefer the second option. </w:t>
      </w:r>
      <w:r w:rsidR="008E6237">
        <w:rPr>
          <w:sz w:val="20"/>
          <w:szCs w:val="20"/>
          <w:lang w:val="en-GB" w:eastAsia="zh-CN"/>
        </w:rPr>
        <w:t>Common TA depends on the position of the satellite and a reference point in a footprint, and the different</w:t>
      </w:r>
      <w:r w:rsidR="00E61532">
        <w:rPr>
          <w:sz w:val="20"/>
          <w:szCs w:val="20"/>
          <w:lang w:val="en-GB" w:eastAsia="zh-CN"/>
        </w:rPr>
        <w:t>ial</w:t>
      </w:r>
      <w:r w:rsidR="008E6237">
        <w:rPr>
          <w:sz w:val="20"/>
          <w:szCs w:val="20"/>
          <w:lang w:val="en-GB" w:eastAsia="zh-CN"/>
        </w:rPr>
        <w:t xml:space="preserve"> TA depends on the UE’s position within the footprint. </w:t>
      </w:r>
      <w:r w:rsidR="000F49B6">
        <w:rPr>
          <w:sz w:val="20"/>
          <w:szCs w:val="20"/>
          <w:lang w:val="en-GB" w:eastAsia="zh-CN"/>
        </w:rPr>
        <w:t>As different footprints are associated with different beams, we prefer per beam common TA indication.</w:t>
      </w:r>
      <w:r w:rsidR="000629A3" w:rsidRPr="000629A3">
        <w:rPr>
          <w:sz w:val="20"/>
          <w:szCs w:val="20"/>
          <w:lang w:val="en-GB" w:eastAsia="zh-CN"/>
        </w:rPr>
        <w:t xml:space="preserve"> </w:t>
      </w:r>
      <w:r w:rsidR="000629A3">
        <w:rPr>
          <w:sz w:val="20"/>
          <w:szCs w:val="20"/>
          <w:lang w:val="en-GB" w:eastAsia="zh-CN"/>
        </w:rPr>
        <w:t>When the associated footprints for a UE changes due to satellite moving, the common TA should also be updated and informed to the UE.</w:t>
      </w:r>
    </w:p>
    <w:p w14:paraId="66C9610B" w14:textId="633469C2" w:rsidR="000F49B6" w:rsidRPr="000F49B6" w:rsidRDefault="000F49B6" w:rsidP="000F49B6">
      <w:pPr>
        <w:rPr>
          <w:b/>
          <w:bCs/>
          <w:i/>
          <w:iCs/>
          <w:sz w:val="20"/>
          <w:szCs w:val="20"/>
          <w:lang w:val="en-GB" w:eastAsia="zh-CN"/>
        </w:rPr>
      </w:pPr>
      <w:r w:rsidRPr="000F49B6">
        <w:rPr>
          <w:rFonts w:hint="eastAsia"/>
          <w:b/>
          <w:bCs/>
          <w:i/>
          <w:iCs/>
          <w:sz w:val="20"/>
          <w:szCs w:val="20"/>
          <w:lang w:val="en-GB" w:eastAsia="zh-CN"/>
        </w:rPr>
        <w:t>P</w:t>
      </w:r>
      <w:r w:rsidRPr="000F49B6">
        <w:rPr>
          <w:b/>
          <w:bCs/>
          <w:i/>
          <w:iCs/>
          <w:sz w:val="20"/>
          <w:szCs w:val="20"/>
          <w:lang w:val="en-GB" w:eastAsia="zh-CN"/>
        </w:rPr>
        <w:t xml:space="preserve">roposal 1: </w:t>
      </w:r>
      <w:r w:rsidR="00B90C35">
        <w:rPr>
          <w:b/>
          <w:bCs/>
          <w:i/>
          <w:iCs/>
          <w:sz w:val="20"/>
          <w:szCs w:val="20"/>
          <w:lang w:val="en-GB" w:eastAsia="zh-CN"/>
        </w:rPr>
        <w:t>C</w:t>
      </w:r>
      <w:r w:rsidR="00EC11E0">
        <w:rPr>
          <w:b/>
          <w:bCs/>
          <w:i/>
          <w:iCs/>
          <w:sz w:val="20"/>
          <w:szCs w:val="20"/>
          <w:lang w:val="en-GB" w:eastAsia="zh-CN"/>
        </w:rPr>
        <w:t>ommon TA is indicated per beam</w:t>
      </w:r>
      <w:r w:rsidRPr="000F49B6">
        <w:rPr>
          <w:b/>
          <w:bCs/>
          <w:i/>
          <w:iCs/>
          <w:sz w:val="20"/>
          <w:szCs w:val="20"/>
          <w:lang w:val="en-GB" w:eastAsia="zh-CN"/>
        </w:rPr>
        <w:t>.</w:t>
      </w:r>
    </w:p>
    <w:p w14:paraId="64289BCE" w14:textId="60BBA637" w:rsidR="00CC13AF" w:rsidRPr="00CC13AF" w:rsidRDefault="00CC13AF" w:rsidP="000629A3">
      <w:pPr>
        <w:rPr>
          <w:sz w:val="20"/>
          <w:szCs w:val="20"/>
          <w:lang w:val="en-GB" w:eastAsia="zh-CN"/>
        </w:rPr>
      </w:pPr>
      <w:r>
        <w:rPr>
          <w:rFonts w:hint="eastAsia"/>
          <w:sz w:val="20"/>
          <w:szCs w:val="20"/>
          <w:lang w:val="en-GB" w:eastAsia="zh-CN"/>
        </w:rPr>
        <w:t>F</w:t>
      </w:r>
      <w:r>
        <w:rPr>
          <w:sz w:val="20"/>
          <w:szCs w:val="20"/>
          <w:lang w:val="en-GB" w:eastAsia="zh-CN"/>
        </w:rPr>
        <w:t>or RACH procedure, the UE transmit</w:t>
      </w:r>
      <w:r w:rsidR="007B3F55">
        <w:rPr>
          <w:sz w:val="20"/>
          <w:szCs w:val="20"/>
          <w:lang w:val="en-GB" w:eastAsia="zh-CN"/>
        </w:rPr>
        <w:t>s</w:t>
      </w:r>
      <w:r>
        <w:rPr>
          <w:sz w:val="20"/>
          <w:szCs w:val="20"/>
          <w:lang w:val="en-GB" w:eastAsia="zh-CN"/>
        </w:rPr>
        <w:t xml:space="preserve"> preamble with a TA, </w:t>
      </w:r>
      <w:r w:rsidR="007B3F55">
        <w:rPr>
          <w:sz w:val="20"/>
          <w:szCs w:val="20"/>
          <w:lang w:val="en-GB" w:eastAsia="zh-CN"/>
        </w:rPr>
        <w:t xml:space="preserve">and </w:t>
      </w:r>
      <w:r>
        <w:rPr>
          <w:sz w:val="20"/>
          <w:szCs w:val="20"/>
          <w:lang w:val="en-GB" w:eastAsia="zh-CN"/>
        </w:rPr>
        <w:t>the TA can be derived by UE itself with location information</w:t>
      </w:r>
      <w:r w:rsidR="00B90C35">
        <w:rPr>
          <w:sz w:val="20"/>
          <w:szCs w:val="20"/>
          <w:lang w:val="en-GB" w:eastAsia="zh-CN"/>
        </w:rPr>
        <w:t>. The TA can be</w:t>
      </w:r>
      <w:r>
        <w:rPr>
          <w:sz w:val="20"/>
          <w:szCs w:val="20"/>
          <w:lang w:val="en-GB" w:eastAsia="zh-CN"/>
        </w:rPr>
        <w:t xml:space="preserve"> the full TA </w:t>
      </w:r>
      <w:r w:rsidR="00B90C35">
        <w:rPr>
          <w:sz w:val="20"/>
          <w:szCs w:val="20"/>
          <w:lang w:val="en-GB" w:eastAsia="zh-CN"/>
        </w:rPr>
        <w:t xml:space="preserve">reported </w:t>
      </w:r>
      <w:r>
        <w:rPr>
          <w:sz w:val="20"/>
          <w:szCs w:val="20"/>
          <w:lang w:val="en-GB" w:eastAsia="zh-CN"/>
        </w:rPr>
        <w:t>to eNB in Msg3</w:t>
      </w:r>
      <w:r w:rsidR="00B90C35">
        <w:rPr>
          <w:sz w:val="20"/>
          <w:szCs w:val="20"/>
          <w:lang w:val="en-GB" w:eastAsia="zh-CN"/>
        </w:rPr>
        <w:t>,</w:t>
      </w:r>
      <w:r>
        <w:rPr>
          <w:sz w:val="20"/>
          <w:szCs w:val="20"/>
          <w:lang w:val="en-GB" w:eastAsia="zh-CN"/>
        </w:rPr>
        <w:t xml:space="preserve"> or </w:t>
      </w:r>
      <w:r w:rsidR="00B90C35">
        <w:rPr>
          <w:sz w:val="20"/>
          <w:szCs w:val="20"/>
          <w:lang w:val="en-GB" w:eastAsia="zh-CN"/>
        </w:rPr>
        <w:t xml:space="preserve">the </w:t>
      </w:r>
      <w:r>
        <w:rPr>
          <w:sz w:val="20"/>
          <w:szCs w:val="20"/>
          <w:lang w:val="en-GB" w:eastAsia="zh-CN"/>
        </w:rPr>
        <w:t>TA can be a common TA</w:t>
      </w:r>
      <w:r w:rsidR="00B90C35">
        <w:rPr>
          <w:sz w:val="20"/>
          <w:szCs w:val="20"/>
          <w:lang w:val="en-GB" w:eastAsia="zh-CN"/>
        </w:rPr>
        <w:t xml:space="preserve"> </w:t>
      </w:r>
      <w:r w:rsidR="007B3F55">
        <w:rPr>
          <w:sz w:val="20"/>
          <w:szCs w:val="20"/>
          <w:lang w:val="en-GB" w:eastAsia="zh-CN"/>
        </w:rPr>
        <w:t>selected</w:t>
      </w:r>
      <w:r>
        <w:rPr>
          <w:sz w:val="20"/>
          <w:szCs w:val="20"/>
          <w:lang w:val="en-GB" w:eastAsia="zh-CN"/>
        </w:rPr>
        <w:t xml:space="preserve"> from </w:t>
      </w:r>
      <w:r w:rsidR="006C43C0">
        <w:rPr>
          <w:sz w:val="20"/>
          <w:szCs w:val="20"/>
          <w:lang w:val="en-GB" w:eastAsia="zh-CN"/>
        </w:rPr>
        <w:t>a</w:t>
      </w:r>
      <w:r>
        <w:rPr>
          <w:sz w:val="20"/>
          <w:szCs w:val="20"/>
          <w:lang w:val="en-GB" w:eastAsia="zh-CN"/>
        </w:rPr>
        <w:t xml:space="preserve"> </w:t>
      </w:r>
      <w:r w:rsidR="00B90C35">
        <w:rPr>
          <w:sz w:val="20"/>
          <w:szCs w:val="20"/>
          <w:lang w:val="en-GB" w:eastAsia="zh-CN"/>
        </w:rPr>
        <w:t xml:space="preserve">common </w:t>
      </w:r>
      <w:r>
        <w:rPr>
          <w:sz w:val="20"/>
          <w:szCs w:val="20"/>
          <w:lang w:val="en-GB" w:eastAsia="zh-CN"/>
        </w:rPr>
        <w:t>TA</w:t>
      </w:r>
      <w:r w:rsidR="006C43C0">
        <w:rPr>
          <w:sz w:val="20"/>
          <w:szCs w:val="20"/>
          <w:lang w:val="en-GB" w:eastAsia="zh-CN"/>
        </w:rPr>
        <w:t xml:space="preserve"> set</w:t>
      </w:r>
      <w:r w:rsidR="00B90C35">
        <w:rPr>
          <w:sz w:val="20"/>
          <w:szCs w:val="20"/>
          <w:lang w:val="en-GB" w:eastAsia="zh-CN"/>
        </w:rPr>
        <w:t xml:space="preserve"> configured by SIB, and the common TA</w:t>
      </w:r>
      <w:r>
        <w:rPr>
          <w:sz w:val="20"/>
          <w:szCs w:val="20"/>
          <w:lang w:val="en-GB" w:eastAsia="zh-CN"/>
        </w:rPr>
        <w:t xml:space="preserve"> </w:t>
      </w:r>
      <w:r w:rsidR="00B90C35">
        <w:rPr>
          <w:sz w:val="20"/>
          <w:szCs w:val="20"/>
          <w:lang w:val="en-GB" w:eastAsia="zh-CN"/>
        </w:rPr>
        <w:t xml:space="preserve">is </w:t>
      </w:r>
      <w:r>
        <w:rPr>
          <w:sz w:val="20"/>
          <w:szCs w:val="20"/>
          <w:lang w:val="en-GB" w:eastAsia="zh-CN"/>
        </w:rPr>
        <w:t xml:space="preserve">associated with </w:t>
      </w:r>
      <w:r w:rsidR="00B90C35">
        <w:rPr>
          <w:sz w:val="20"/>
          <w:szCs w:val="20"/>
          <w:lang w:val="en-GB" w:eastAsia="zh-CN"/>
        </w:rPr>
        <w:t>a</w:t>
      </w:r>
      <w:r>
        <w:rPr>
          <w:sz w:val="20"/>
          <w:szCs w:val="20"/>
          <w:lang w:val="en-GB" w:eastAsia="zh-CN"/>
        </w:rPr>
        <w:t xml:space="preserve"> RO/SSB index.</w:t>
      </w:r>
    </w:p>
    <w:p w14:paraId="3E14F4F2" w14:textId="46CAD119" w:rsidR="00C54A3A" w:rsidRDefault="006C43C0" w:rsidP="006C43C0">
      <w:pPr>
        <w:rPr>
          <w:sz w:val="20"/>
          <w:szCs w:val="20"/>
          <w:lang w:val="en-GB" w:eastAsia="zh-CN"/>
        </w:rPr>
      </w:pPr>
      <w:r>
        <w:rPr>
          <w:sz w:val="20"/>
          <w:szCs w:val="20"/>
          <w:lang w:val="en-GB" w:eastAsia="zh-CN"/>
        </w:rPr>
        <w:t xml:space="preserve">After the RACH procedure, </w:t>
      </w:r>
      <w:r w:rsidR="000629A3">
        <w:rPr>
          <w:sz w:val="20"/>
          <w:szCs w:val="20"/>
          <w:lang w:val="en-GB" w:eastAsia="zh-CN"/>
        </w:rPr>
        <w:t>the beam is associated with a SSB/CSI-RS resource index</w:t>
      </w:r>
      <w:r>
        <w:rPr>
          <w:sz w:val="20"/>
          <w:szCs w:val="20"/>
          <w:lang w:val="en-GB" w:eastAsia="zh-CN"/>
        </w:rPr>
        <w:t>. Common</w:t>
      </w:r>
      <w:r w:rsidR="00C54A3A">
        <w:rPr>
          <w:sz w:val="20"/>
          <w:szCs w:val="20"/>
          <w:lang w:val="en-GB" w:eastAsia="zh-CN"/>
        </w:rPr>
        <w:t xml:space="preserve"> TA and SSB/CSI-RS resource index </w:t>
      </w:r>
      <w:r w:rsidR="000629A3">
        <w:rPr>
          <w:sz w:val="20"/>
          <w:szCs w:val="20"/>
          <w:lang w:val="en-GB" w:eastAsia="zh-CN"/>
        </w:rPr>
        <w:t xml:space="preserve">association </w:t>
      </w:r>
      <w:r w:rsidR="00C54A3A">
        <w:rPr>
          <w:sz w:val="20"/>
          <w:szCs w:val="20"/>
          <w:lang w:val="en-GB" w:eastAsia="zh-CN"/>
        </w:rPr>
        <w:t>can be maintained at both gNB and UE side. And common TA value can be implicitly indicated to UE by indication of SSB/CSI-RS resource index.</w:t>
      </w:r>
    </w:p>
    <w:p w14:paraId="0AE0C407" w14:textId="32590275" w:rsidR="00C54A3A" w:rsidRDefault="00C54A3A" w:rsidP="00C54A3A">
      <w:pPr>
        <w:rPr>
          <w:sz w:val="20"/>
          <w:szCs w:val="20"/>
          <w:lang w:val="en-GB" w:eastAsia="zh-CN"/>
        </w:rPr>
      </w:pPr>
      <w:r>
        <w:rPr>
          <w:rFonts w:hint="eastAsia"/>
          <w:sz w:val="20"/>
          <w:szCs w:val="20"/>
          <w:lang w:val="en-GB" w:eastAsia="zh-CN"/>
        </w:rPr>
        <w:t>T</w:t>
      </w:r>
      <w:r>
        <w:rPr>
          <w:sz w:val="20"/>
          <w:szCs w:val="20"/>
          <w:lang w:val="en-GB" w:eastAsia="zh-CN"/>
        </w:rPr>
        <w:t>here may be overlapping among different UL transmissions</w:t>
      </w:r>
      <w:r w:rsidR="00A41D35">
        <w:rPr>
          <w:sz w:val="20"/>
          <w:szCs w:val="20"/>
          <w:lang w:val="en-GB" w:eastAsia="zh-CN"/>
        </w:rPr>
        <w:t xml:space="preserve"> (e.g. PUSCH and SRS in a same slot)</w:t>
      </w:r>
      <w:r>
        <w:rPr>
          <w:sz w:val="20"/>
          <w:szCs w:val="20"/>
          <w:lang w:val="en-GB" w:eastAsia="zh-CN"/>
        </w:rPr>
        <w:t xml:space="preserve"> or there may be some UL transmission without associated SSB/CSI-RS resource index, e.g. configured grant PUSCH. In this case, a default common TA value or a latest common TA value or a common TA value with highest priority can be adopted. </w:t>
      </w:r>
    </w:p>
    <w:p w14:paraId="6BCCF72A" w14:textId="32F19E57" w:rsidR="00C54A3A" w:rsidRPr="00696FCD" w:rsidRDefault="00C54A3A" w:rsidP="00C54A3A">
      <w:pPr>
        <w:rPr>
          <w:b/>
          <w:bCs/>
          <w:i/>
          <w:iCs/>
          <w:sz w:val="20"/>
          <w:szCs w:val="20"/>
          <w:lang w:val="en-GB" w:eastAsia="zh-CN"/>
        </w:rPr>
      </w:pPr>
      <w:bookmarkStart w:id="2" w:name="_Hlk46327728"/>
      <w:r w:rsidRPr="00696FCD">
        <w:rPr>
          <w:rFonts w:hint="eastAsia"/>
          <w:b/>
          <w:bCs/>
          <w:i/>
          <w:iCs/>
          <w:sz w:val="20"/>
          <w:szCs w:val="20"/>
          <w:lang w:val="en-GB" w:eastAsia="zh-CN"/>
        </w:rPr>
        <w:t>P</w:t>
      </w:r>
      <w:r w:rsidRPr="00696FCD">
        <w:rPr>
          <w:b/>
          <w:bCs/>
          <w:i/>
          <w:iCs/>
          <w:sz w:val="20"/>
          <w:szCs w:val="20"/>
          <w:lang w:val="en-GB" w:eastAsia="zh-CN"/>
        </w:rPr>
        <w:t xml:space="preserve">roposal </w:t>
      </w:r>
      <w:r>
        <w:rPr>
          <w:b/>
          <w:bCs/>
          <w:i/>
          <w:iCs/>
          <w:sz w:val="20"/>
          <w:szCs w:val="20"/>
          <w:lang w:val="en-GB" w:eastAsia="zh-CN"/>
        </w:rPr>
        <w:t>2</w:t>
      </w:r>
      <w:r w:rsidRPr="00696FCD">
        <w:rPr>
          <w:b/>
          <w:bCs/>
          <w:i/>
          <w:iCs/>
          <w:sz w:val="20"/>
          <w:szCs w:val="20"/>
          <w:lang w:val="en-GB" w:eastAsia="zh-CN"/>
        </w:rPr>
        <w:t xml:space="preserve">: </w:t>
      </w:r>
      <w:r w:rsidR="00B90C35">
        <w:rPr>
          <w:b/>
          <w:bCs/>
          <w:i/>
          <w:iCs/>
          <w:sz w:val="20"/>
          <w:szCs w:val="20"/>
          <w:lang w:val="en-GB" w:eastAsia="zh-CN"/>
        </w:rPr>
        <w:t>C</w:t>
      </w:r>
      <w:r w:rsidRPr="00696FCD">
        <w:rPr>
          <w:b/>
          <w:bCs/>
          <w:i/>
          <w:iCs/>
          <w:sz w:val="20"/>
          <w:szCs w:val="20"/>
          <w:lang w:val="en-GB" w:eastAsia="zh-CN"/>
        </w:rPr>
        <w:t>ommon TA value</w:t>
      </w:r>
      <w:r w:rsidR="006C43C0">
        <w:rPr>
          <w:b/>
          <w:bCs/>
          <w:i/>
          <w:iCs/>
          <w:sz w:val="20"/>
          <w:szCs w:val="20"/>
          <w:lang w:val="en-GB" w:eastAsia="zh-CN"/>
        </w:rPr>
        <w:t xml:space="preserve"> is implicitly</w:t>
      </w:r>
      <w:r w:rsidRPr="00696FCD">
        <w:rPr>
          <w:b/>
          <w:bCs/>
          <w:i/>
          <w:iCs/>
          <w:sz w:val="20"/>
          <w:szCs w:val="20"/>
          <w:lang w:val="en-GB" w:eastAsia="zh-CN"/>
        </w:rPr>
        <w:t xml:space="preserve"> </w:t>
      </w:r>
      <w:r w:rsidR="006C43C0">
        <w:rPr>
          <w:b/>
          <w:bCs/>
          <w:i/>
          <w:iCs/>
          <w:sz w:val="20"/>
          <w:szCs w:val="20"/>
          <w:lang w:val="en-GB" w:eastAsia="zh-CN"/>
        </w:rPr>
        <w:t>indicated by</w:t>
      </w:r>
      <w:r w:rsidRPr="00696FCD">
        <w:rPr>
          <w:b/>
          <w:bCs/>
          <w:i/>
          <w:iCs/>
          <w:sz w:val="20"/>
          <w:szCs w:val="20"/>
          <w:lang w:val="en-GB" w:eastAsia="zh-CN"/>
        </w:rPr>
        <w:t xml:space="preserve"> SSB/CSI-RS resource index.</w:t>
      </w:r>
    </w:p>
    <w:p w14:paraId="3132F00F" w14:textId="2E7A83C8" w:rsidR="00C54A3A" w:rsidRPr="00502596" w:rsidRDefault="00C54A3A" w:rsidP="00C54A3A">
      <w:pPr>
        <w:rPr>
          <w:b/>
          <w:bCs/>
          <w:i/>
          <w:iCs/>
          <w:sz w:val="20"/>
          <w:szCs w:val="20"/>
          <w:lang w:val="en-GB" w:eastAsia="zh-CN"/>
        </w:rPr>
      </w:pPr>
      <w:r w:rsidRPr="00696FCD">
        <w:rPr>
          <w:rFonts w:hint="eastAsia"/>
          <w:b/>
          <w:bCs/>
          <w:i/>
          <w:iCs/>
          <w:sz w:val="20"/>
          <w:szCs w:val="20"/>
          <w:lang w:val="en-GB" w:eastAsia="zh-CN"/>
        </w:rPr>
        <w:t>P</w:t>
      </w:r>
      <w:r w:rsidRPr="00696FCD">
        <w:rPr>
          <w:b/>
          <w:bCs/>
          <w:i/>
          <w:iCs/>
          <w:sz w:val="20"/>
          <w:szCs w:val="20"/>
          <w:lang w:val="en-GB" w:eastAsia="zh-CN"/>
        </w:rPr>
        <w:t xml:space="preserve">roposal </w:t>
      </w:r>
      <w:r>
        <w:rPr>
          <w:b/>
          <w:bCs/>
          <w:i/>
          <w:iCs/>
          <w:sz w:val="20"/>
          <w:szCs w:val="20"/>
          <w:lang w:val="en-GB" w:eastAsia="zh-CN"/>
        </w:rPr>
        <w:t>3</w:t>
      </w:r>
      <w:r w:rsidRPr="00696FCD">
        <w:rPr>
          <w:b/>
          <w:bCs/>
          <w:i/>
          <w:iCs/>
          <w:sz w:val="20"/>
          <w:szCs w:val="20"/>
          <w:lang w:val="en-GB" w:eastAsia="zh-CN"/>
        </w:rPr>
        <w:t>: When there is contradiction among common TA value for uplink transmission, a default common TA value or a latest common TA value can be used.</w:t>
      </w:r>
    </w:p>
    <w:bookmarkEnd w:id="2"/>
    <w:p w14:paraId="143B6290" w14:textId="7D7C6766" w:rsidR="000F49B6" w:rsidRDefault="000F49B6" w:rsidP="0023727C">
      <w:pPr>
        <w:rPr>
          <w:sz w:val="20"/>
          <w:szCs w:val="20"/>
          <w:lang w:val="en-GB" w:eastAsia="zh-CN"/>
        </w:rPr>
      </w:pPr>
      <w:r>
        <w:rPr>
          <w:sz w:val="20"/>
          <w:szCs w:val="20"/>
          <w:lang w:val="en-GB" w:eastAsia="zh-CN"/>
        </w:rPr>
        <w:t>If the reference point is not the nearest point in a footprint, negative differential TA will be necessary to generate a correct full TA. For a</w:t>
      </w:r>
      <w:r w:rsidR="00C17704">
        <w:rPr>
          <w:sz w:val="20"/>
          <w:szCs w:val="20"/>
          <w:lang w:val="en-GB" w:eastAsia="zh-CN"/>
        </w:rPr>
        <w:t>n</w:t>
      </w:r>
      <w:r>
        <w:rPr>
          <w:sz w:val="20"/>
          <w:szCs w:val="20"/>
          <w:lang w:val="en-GB" w:eastAsia="zh-CN"/>
        </w:rPr>
        <w:t xml:space="preserve"> NTN footprint, the range of the different</w:t>
      </w:r>
      <w:r w:rsidR="00C17704">
        <w:rPr>
          <w:sz w:val="20"/>
          <w:szCs w:val="20"/>
          <w:lang w:val="en-GB" w:eastAsia="zh-CN"/>
        </w:rPr>
        <w:t>ial</w:t>
      </w:r>
      <w:r>
        <w:rPr>
          <w:sz w:val="20"/>
          <w:szCs w:val="20"/>
          <w:lang w:val="en-GB" w:eastAsia="zh-CN"/>
        </w:rPr>
        <w:t xml:space="preserve"> TA value depends on the coverage size of the footprint. No matter positive TA only or both positive TA and negative TA, the range of TA values are same. So if negative TA is introduced, the only spec work is a new mapping relationship between the indicated TA index and the actual TA value to be adopted. It is simple and acceptable. And </w:t>
      </w:r>
      <w:bookmarkStart w:id="3" w:name="_GoBack"/>
      <w:bookmarkEnd w:id="3"/>
      <w:r>
        <w:rPr>
          <w:sz w:val="20"/>
          <w:szCs w:val="20"/>
          <w:lang w:val="en-GB" w:eastAsia="zh-CN"/>
        </w:rPr>
        <w:t xml:space="preserve">negative </w:t>
      </w:r>
      <w:r>
        <w:rPr>
          <w:rFonts w:hint="eastAsia"/>
          <w:sz w:val="20"/>
          <w:szCs w:val="20"/>
          <w:lang w:val="en-GB" w:eastAsia="zh-CN"/>
        </w:rPr>
        <w:t>T</w:t>
      </w:r>
      <w:r>
        <w:rPr>
          <w:sz w:val="20"/>
          <w:szCs w:val="20"/>
          <w:lang w:val="en-GB" w:eastAsia="zh-CN"/>
        </w:rPr>
        <w:t xml:space="preserve">A </w:t>
      </w:r>
      <w:r w:rsidR="00FF188A">
        <w:rPr>
          <w:rFonts w:hint="eastAsia"/>
          <w:sz w:val="20"/>
          <w:szCs w:val="20"/>
          <w:lang w:val="en-GB" w:eastAsia="zh-CN"/>
        </w:rPr>
        <w:t>may</w:t>
      </w:r>
      <w:r w:rsidR="00FF188A">
        <w:rPr>
          <w:sz w:val="20"/>
          <w:szCs w:val="20"/>
          <w:lang w:val="en-GB" w:eastAsia="zh-CN"/>
        </w:rPr>
        <w:t xml:space="preserve"> be introduced</w:t>
      </w:r>
      <w:r>
        <w:rPr>
          <w:sz w:val="20"/>
          <w:szCs w:val="20"/>
          <w:lang w:val="en-GB" w:eastAsia="zh-CN"/>
        </w:rPr>
        <w:t xml:space="preserve"> in the IAB WI, so we prefer a common framework for TA design to introduce both positive TA and negative TA.</w:t>
      </w:r>
    </w:p>
    <w:p w14:paraId="7055285C" w14:textId="0E86B570" w:rsidR="000F49B6" w:rsidRPr="000F49B6" w:rsidRDefault="000F49B6" w:rsidP="0023727C">
      <w:pPr>
        <w:rPr>
          <w:b/>
          <w:bCs/>
          <w:i/>
          <w:iCs/>
          <w:sz w:val="20"/>
          <w:szCs w:val="20"/>
          <w:lang w:val="en-GB" w:eastAsia="zh-CN"/>
        </w:rPr>
      </w:pPr>
      <w:r w:rsidRPr="000F49B6">
        <w:rPr>
          <w:rFonts w:hint="eastAsia"/>
          <w:b/>
          <w:bCs/>
          <w:i/>
          <w:iCs/>
          <w:sz w:val="20"/>
          <w:szCs w:val="20"/>
          <w:lang w:val="en-GB" w:eastAsia="zh-CN"/>
        </w:rPr>
        <w:t>P</w:t>
      </w:r>
      <w:r w:rsidRPr="000F49B6">
        <w:rPr>
          <w:b/>
          <w:bCs/>
          <w:i/>
          <w:iCs/>
          <w:sz w:val="20"/>
          <w:szCs w:val="20"/>
          <w:lang w:val="en-GB" w:eastAsia="zh-CN"/>
        </w:rPr>
        <w:t xml:space="preserve">roposal </w:t>
      </w:r>
      <w:r w:rsidR="00C54A3A">
        <w:rPr>
          <w:b/>
          <w:bCs/>
          <w:i/>
          <w:iCs/>
          <w:sz w:val="20"/>
          <w:szCs w:val="20"/>
          <w:lang w:val="en-GB" w:eastAsia="zh-CN"/>
        </w:rPr>
        <w:t>4</w:t>
      </w:r>
      <w:r w:rsidR="00C17704">
        <w:rPr>
          <w:b/>
          <w:bCs/>
          <w:i/>
          <w:iCs/>
          <w:sz w:val="20"/>
          <w:szCs w:val="20"/>
          <w:lang w:val="en-GB" w:eastAsia="zh-CN"/>
        </w:rPr>
        <w:t>:</w:t>
      </w:r>
      <w:r w:rsidRPr="000F49B6">
        <w:rPr>
          <w:b/>
          <w:bCs/>
          <w:i/>
          <w:iCs/>
          <w:sz w:val="20"/>
          <w:szCs w:val="20"/>
          <w:lang w:val="en-GB" w:eastAsia="zh-CN"/>
        </w:rPr>
        <w:t xml:space="preserve"> Negative TA is supported with a new mapping relationship.</w:t>
      </w:r>
    </w:p>
    <w:p w14:paraId="5698DEC4" w14:textId="11D9B7E0" w:rsidR="000F49B6" w:rsidRDefault="00BC45A6" w:rsidP="0023727C">
      <w:pPr>
        <w:rPr>
          <w:sz w:val="20"/>
          <w:szCs w:val="20"/>
          <w:lang w:val="en-GB" w:eastAsia="zh-CN"/>
        </w:rPr>
      </w:pPr>
      <w:r>
        <w:rPr>
          <w:rFonts w:hint="eastAsia"/>
          <w:sz w:val="20"/>
          <w:szCs w:val="20"/>
          <w:lang w:val="en-GB" w:eastAsia="zh-CN"/>
        </w:rPr>
        <w:t>T</w:t>
      </w:r>
      <w:r>
        <w:rPr>
          <w:sz w:val="20"/>
          <w:szCs w:val="20"/>
          <w:lang w:val="en-GB" w:eastAsia="zh-CN"/>
        </w:rPr>
        <w:t xml:space="preserve">here is also discussion in SI phase on whether single reference point or multiple reference points is adopted for NTN network. In our opinion, it depends on the range and </w:t>
      </w:r>
      <w:r w:rsidR="00C54A3A">
        <w:rPr>
          <w:sz w:val="20"/>
          <w:szCs w:val="20"/>
          <w:lang w:val="en-GB" w:eastAsia="zh-CN"/>
        </w:rPr>
        <w:t xml:space="preserve">number of UEs within the footprint. Single reference point is simpler from signalling point of view. And if single reference point can satisfy the service requirement of UEs </w:t>
      </w:r>
      <w:r w:rsidR="00C54A3A">
        <w:rPr>
          <w:sz w:val="20"/>
          <w:szCs w:val="20"/>
          <w:lang w:val="en-GB" w:eastAsia="zh-CN"/>
        </w:rPr>
        <w:lastRenderedPageBreak/>
        <w:t>associated with a footprint, support single reference point is preferred, otherwise, multiple reference points can be studied and considered.</w:t>
      </w:r>
    </w:p>
    <w:p w14:paraId="38010844" w14:textId="21A1658F" w:rsidR="00C54A3A" w:rsidRPr="00C54A3A" w:rsidRDefault="00C54A3A" w:rsidP="00C54A3A">
      <w:pPr>
        <w:rPr>
          <w:b/>
          <w:bCs/>
          <w:i/>
          <w:iCs/>
          <w:sz w:val="20"/>
          <w:szCs w:val="20"/>
          <w:lang w:val="en-GB" w:eastAsia="zh-CN"/>
        </w:rPr>
      </w:pPr>
      <w:r w:rsidRPr="00C54A3A">
        <w:rPr>
          <w:rFonts w:hint="eastAsia"/>
          <w:b/>
          <w:bCs/>
          <w:i/>
          <w:iCs/>
          <w:sz w:val="20"/>
          <w:szCs w:val="20"/>
          <w:lang w:val="en-GB" w:eastAsia="zh-CN"/>
        </w:rPr>
        <w:t>P</w:t>
      </w:r>
      <w:r w:rsidRPr="00C54A3A">
        <w:rPr>
          <w:b/>
          <w:bCs/>
          <w:i/>
          <w:iCs/>
          <w:sz w:val="20"/>
          <w:szCs w:val="20"/>
          <w:lang w:val="en-GB" w:eastAsia="zh-CN"/>
        </w:rPr>
        <w:t xml:space="preserve">roposal </w:t>
      </w:r>
      <w:r>
        <w:rPr>
          <w:b/>
          <w:bCs/>
          <w:i/>
          <w:iCs/>
          <w:sz w:val="20"/>
          <w:szCs w:val="20"/>
          <w:lang w:val="en-GB" w:eastAsia="zh-CN"/>
        </w:rPr>
        <w:t>5</w:t>
      </w:r>
      <w:r w:rsidRPr="00C54A3A">
        <w:rPr>
          <w:b/>
          <w:bCs/>
          <w:i/>
          <w:iCs/>
          <w:sz w:val="20"/>
          <w:szCs w:val="20"/>
          <w:lang w:val="en-GB" w:eastAsia="zh-CN"/>
        </w:rPr>
        <w:t xml:space="preserve">: </w:t>
      </w:r>
      <w:r>
        <w:rPr>
          <w:b/>
          <w:bCs/>
          <w:i/>
          <w:iCs/>
          <w:sz w:val="20"/>
          <w:szCs w:val="20"/>
          <w:lang w:val="en-GB" w:eastAsia="zh-CN"/>
        </w:rPr>
        <w:t>S</w:t>
      </w:r>
      <w:r w:rsidRPr="00C54A3A">
        <w:rPr>
          <w:b/>
          <w:bCs/>
          <w:i/>
          <w:iCs/>
          <w:sz w:val="20"/>
          <w:szCs w:val="20"/>
          <w:lang w:val="en-GB" w:eastAsia="zh-CN"/>
        </w:rPr>
        <w:t>ingle reference point is baseline. Multiple reference points can be FFS.</w:t>
      </w:r>
    </w:p>
    <w:p w14:paraId="5A853F50" w14:textId="77777777" w:rsidR="0082623E" w:rsidRPr="00F3645B" w:rsidRDefault="0082623E" w:rsidP="00E029FB">
      <w:pPr>
        <w:pStyle w:val="1"/>
        <w:numPr>
          <w:ilvl w:val="0"/>
          <w:numId w:val="4"/>
        </w:numPr>
        <w:rPr>
          <w:rFonts w:ascii="Arial" w:hAnsi="Arial" w:cs="Arial"/>
          <w:lang w:eastAsia="zh-CN"/>
        </w:rPr>
      </w:pPr>
      <w:r w:rsidRPr="00F3645B">
        <w:rPr>
          <w:rFonts w:ascii="Arial" w:hAnsi="Arial" w:cs="Arial"/>
          <w:lang w:eastAsia="zh-CN"/>
        </w:rPr>
        <w:t>Conclusion</w:t>
      </w:r>
    </w:p>
    <w:p w14:paraId="62D2C6B7" w14:textId="3D16ECB8" w:rsidR="008E1C66" w:rsidRDefault="00C82BDC" w:rsidP="00C82BDC">
      <w:pPr>
        <w:rPr>
          <w:sz w:val="20"/>
          <w:szCs w:val="20"/>
        </w:rPr>
      </w:pPr>
      <w:r w:rsidRPr="005931FF">
        <w:rPr>
          <w:sz w:val="20"/>
          <w:szCs w:val="20"/>
        </w:rPr>
        <w:t>In this contribution, we discussed</w:t>
      </w:r>
      <w:r w:rsidR="008E1C66">
        <w:rPr>
          <w:sz w:val="20"/>
          <w:szCs w:val="20"/>
        </w:rPr>
        <w:t xml:space="preserve"> the issues </w:t>
      </w:r>
      <w:r w:rsidR="000C058B">
        <w:rPr>
          <w:sz w:val="20"/>
          <w:szCs w:val="20"/>
        </w:rPr>
        <w:t>related to TA</w:t>
      </w:r>
      <w:r w:rsidR="008E1C66">
        <w:rPr>
          <w:sz w:val="20"/>
          <w:szCs w:val="20"/>
        </w:rPr>
        <w:t xml:space="preserve"> in NTN network, and our proposals are as following:</w:t>
      </w:r>
    </w:p>
    <w:p w14:paraId="63FB4CD9" w14:textId="72145B99" w:rsidR="00B90C35" w:rsidRPr="000F49B6" w:rsidRDefault="00B90C35" w:rsidP="00B90C35">
      <w:pPr>
        <w:rPr>
          <w:b/>
          <w:bCs/>
          <w:i/>
          <w:iCs/>
          <w:sz w:val="20"/>
          <w:szCs w:val="20"/>
          <w:lang w:val="en-GB" w:eastAsia="zh-CN"/>
        </w:rPr>
      </w:pPr>
      <w:r w:rsidRPr="000F49B6">
        <w:rPr>
          <w:rFonts w:hint="eastAsia"/>
          <w:b/>
          <w:bCs/>
          <w:i/>
          <w:iCs/>
          <w:sz w:val="20"/>
          <w:szCs w:val="20"/>
          <w:lang w:val="en-GB" w:eastAsia="zh-CN"/>
        </w:rPr>
        <w:t>P</w:t>
      </w:r>
      <w:r w:rsidRPr="000F49B6">
        <w:rPr>
          <w:b/>
          <w:bCs/>
          <w:i/>
          <w:iCs/>
          <w:sz w:val="20"/>
          <w:szCs w:val="20"/>
          <w:lang w:val="en-GB" w:eastAsia="zh-CN"/>
        </w:rPr>
        <w:t xml:space="preserve">roposal 1: </w:t>
      </w:r>
      <w:r>
        <w:rPr>
          <w:b/>
          <w:bCs/>
          <w:i/>
          <w:iCs/>
          <w:sz w:val="20"/>
          <w:szCs w:val="20"/>
          <w:lang w:val="en-GB" w:eastAsia="zh-CN"/>
        </w:rPr>
        <w:t>Common TA is indicated per beam</w:t>
      </w:r>
      <w:r w:rsidRPr="000F49B6">
        <w:rPr>
          <w:b/>
          <w:bCs/>
          <w:i/>
          <w:iCs/>
          <w:sz w:val="20"/>
          <w:szCs w:val="20"/>
          <w:lang w:val="en-GB" w:eastAsia="zh-CN"/>
        </w:rPr>
        <w:t>.</w:t>
      </w:r>
    </w:p>
    <w:p w14:paraId="6ECBE54A" w14:textId="01D6E64E" w:rsidR="00B90C35" w:rsidRPr="00696FCD" w:rsidRDefault="00B90C35" w:rsidP="00B90C35">
      <w:pPr>
        <w:rPr>
          <w:b/>
          <w:bCs/>
          <w:i/>
          <w:iCs/>
          <w:sz w:val="20"/>
          <w:szCs w:val="20"/>
          <w:lang w:val="en-GB" w:eastAsia="zh-CN"/>
        </w:rPr>
      </w:pPr>
      <w:r w:rsidRPr="00696FCD">
        <w:rPr>
          <w:rFonts w:hint="eastAsia"/>
          <w:b/>
          <w:bCs/>
          <w:i/>
          <w:iCs/>
          <w:sz w:val="20"/>
          <w:szCs w:val="20"/>
          <w:lang w:val="en-GB" w:eastAsia="zh-CN"/>
        </w:rPr>
        <w:t>P</w:t>
      </w:r>
      <w:r w:rsidRPr="00696FCD">
        <w:rPr>
          <w:b/>
          <w:bCs/>
          <w:i/>
          <w:iCs/>
          <w:sz w:val="20"/>
          <w:szCs w:val="20"/>
          <w:lang w:val="en-GB" w:eastAsia="zh-CN"/>
        </w:rPr>
        <w:t xml:space="preserve">roposal </w:t>
      </w:r>
      <w:r>
        <w:rPr>
          <w:b/>
          <w:bCs/>
          <w:i/>
          <w:iCs/>
          <w:sz w:val="20"/>
          <w:szCs w:val="20"/>
          <w:lang w:val="en-GB" w:eastAsia="zh-CN"/>
        </w:rPr>
        <w:t>2</w:t>
      </w:r>
      <w:r w:rsidRPr="00696FCD">
        <w:rPr>
          <w:b/>
          <w:bCs/>
          <w:i/>
          <w:iCs/>
          <w:sz w:val="20"/>
          <w:szCs w:val="20"/>
          <w:lang w:val="en-GB" w:eastAsia="zh-CN"/>
        </w:rPr>
        <w:t xml:space="preserve">: </w:t>
      </w:r>
      <w:r>
        <w:rPr>
          <w:b/>
          <w:bCs/>
          <w:i/>
          <w:iCs/>
          <w:sz w:val="20"/>
          <w:szCs w:val="20"/>
          <w:lang w:val="en-GB" w:eastAsia="zh-CN"/>
        </w:rPr>
        <w:t>C</w:t>
      </w:r>
      <w:r w:rsidRPr="00696FCD">
        <w:rPr>
          <w:b/>
          <w:bCs/>
          <w:i/>
          <w:iCs/>
          <w:sz w:val="20"/>
          <w:szCs w:val="20"/>
          <w:lang w:val="en-GB" w:eastAsia="zh-CN"/>
        </w:rPr>
        <w:t>ommon TA value</w:t>
      </w:r>
      <w:r>
        <w:rPr>
          <w:b/>
          <w:bCs/>
          <w:i/>
          <w:iCs/>
          <w:sz w:val="20"/>
          <w:szCs w:val="20"/>
          <w:lang w:val="en-GB" w:eastAsia="zh-CN"/>
        </w:rPr>
        <w:t xml:space="preserve"> is implicitly</w:t>
      </w:r>
      <w:r w:rsidRPr="00696FCD">
        <w:rPr>
          <w:b/>
          <w:bCs/>
          <w:i/>
          <w:iCs/>
          <w:sz w:val="20"/>
          <w:szCs w:val="20"/>
          <w:lang w:val="en-GB" w:eastAsia="zh-CN"/>
        </w:rPr>
        <w:t xml:space="preserve"> </w:t>
      </w:r>
      <w:r>
        <w:rPr>
          <w:b/>
          <w:bCs/>
          <w:i/>
          <w:iCs/>
          <w:sz w:val="20"/>
          <w:szCs w:val="20"/>
          <w:lang w:val="en-GB" w:eastAsia="zh-CN"/>
        </w:rPr>
        <w:t>indicated by</w:t>
      </w:r>
      <w:r w:rsidRPr="00696FCD">
        <w:rPr>
          <w:b/>
          <w:bCs/>
          <w:i/>
          <w:iCs/>
          <w:sz w:val="20"/>
          <w:szCs w:val="20"/>
          <w:lang w:val="en-GB" w:eastAsia="zh-CN"/>
        </w:rPr>
        <w:t xml:space="preserve"> SSB/CSI-RS resource index.</w:t>
      </w:r>
    </w:p>
    <w:p w14:paraId="08DD8388" w14:textId="27209A6A" w:rsidR="00C54A3A" w:rsidRDefault="00C54A3A" w:rsidP="00C54A3A">
      <w:pPr>
        <w:rPr>
          <w:b/>
          <w:bCs/>
          <w:i/>
          <w:iCs/>
          <w:sz w:val="20"/>
          <w:szCs w:val="20"/>
          <w:lang w:val="en-GB" w:eastAsia="zh-CN"/>
        </w:rPr>
      </w:pPr>
      <w:r w:rsidRPr="00C54A3A">
        <w:rPr>
          <w:b/>
          <w:bCs/>
          <w:i/>
          <w:iCs/>
          <w:sz w:val="20"/>
          <w:szCs w:val="20"/>
          <w:lang w:val="en-GB" w:eastAsia="zh-CN"/>
        </w:rPr>
        <w:t>Proposal 3: When there is contradiction among common TA value for uplink transmission, a default common TA value or a latest common TA value can be used.</w:t>
      </w:r>
    </w:p>
    <w:p w14:paraId="673C2F55" w14:textId="60EB3E10" w:rsidR="00C54A3A" w:rsidRPr="000F49B6" w:rsidRDefault="00C54A3A" w:rsidP="00C54A3A">
      <w:pPr>
        <w:rPr>
          <w:b/>
          <w:bCs/>
          <w:i/>
          <w:iCs/>
          <w:sz w:val="20"/>
          <w:szCs w:val="20"/>
          <w:lang w:val="en-GB" w:eastAsia="zh-CN"/>
        </w:rPr>
      </w:pPr>
      <w:r w:rsidRPr="000F49B6">
        <w:rPr>
          <w:rFonts w:hint="eastAsia"/>
          <w:b/>
          <w:bCs/>
          <w:i/>
          <w:iCs/>
          <w:sz w:val="20"/>
          <w:szCs w:val="20"/>
          <w:lang w:val="en-GB" w:eastAsia="zh-CN"/>
        </w:rPr>
        <w:t>P</w:t>
      </w:r>
      <w:r w:rsidRPr="000F49B6">
        <w:rPr>
          <w:b/>
          <w:bCs/>
          <w:i/>
          <w:iCs/>
          <w:sz w:val="20"/>
          <w:szCs w:val="20"/>
          <w:lang w:val="en-GB" w:eastAsia="zh-CN"/>
        </w:rPr>
        <w:t xml:space="preserve">roposal </w:t>
      </w:r>
      <w:r>
        <w:rPr>
          <w:b/>
          <w:bCs/>
          <w:i/>
          <w:iCs/>
          <w:sz w:val="20"/>
          <w:szCs w:val="20"/>
          <w:lang w:val="en-GB" w:eastAsia="zh-CN"/>
        </w:rPr>
        <w:t>4</w:t>
      </w:r>
      <w:r w:rsidR="00C17704">
        <w:rPr>
          <w:b/>
          <w:bCs/>
          <w:i/>
          <w:iCs/>
          <w:sz w:val="20"/>
          <w:szCs w:val="20"/>
          <w:lang w:val="en-GB" w:eastAsia="zh-CN"/>
        </w:rPr>
        <w:t>:</w:t>
      </w:r>
      <w:r w:rsidRPr="000F49B6">
        <w:rPr>
          <w:b/>
          <w:bCs/>
          <w:i/>
          <w:iCs/>
          <w:sz w:val="20"/>
          <w:szCs w:val="20"/>
          <w:lang w:val="en-GB" w:eastAsia="zh-CN"/>
        </w:rPr>
        <w:t xml:space="preserve"> Negative TA is supported with a new mapping relationship.</w:t>
      </w:r>
    </w:p>
    <w:p w14:paraId="4FDF302B" w14:textId="77777777" w:rsidR="00C54A3A" w:rsidRPr="00C54A3A" w:rsidRDefault="00C54A3A" w:rsidP="00C54A3A">
      <w:pPr>
        <w:rPr>
          <w:b/>
          <w:bCs/>
          <w:i/>
          <w:iCs/>
          <w:sz w:val="20"/>
          <w:szCs w:val="20"/>
          <w:lang w:val="en-GB" w:eastAsia="zh-CN"/>
        </w:rPr>
      </w:pPr>
      <w:r w:rsidRPr="00C54A3A">
        <w:rPr>
          <w:rFonts w:hint="eastAsia"/>
          <w:b/>
          <w:bCs/>
          <w:i/>
          <w:iCs/>
          <w:sz w:val="20"/>
          <w:szCs w:val="20"/>
          <w:lang w:val="en-GB" w:eastAsia="zh-CN"/>
        </w:rPr>
        <w:t>P</w:t>
      </w:r>
      <w:r w:rsidRPr="00C54A3A">
        <w:rPr>
          <w:b/>
          <w:bCs/>
          <w:i/>
          <w:iCs/>
          <w:sz w:val="20"/>
          <w:szCs w:val="20"/>
          <w:lang w:val="en-GB" w:eastAsia="zh-CN"/>
        </w:rPr>
        <w:t xml:space="preserve">roposal </w:t>
      </w:r>
      <w:r>
        <w:rPr>
          <w:b/>
          <w:bCs/>
          <w:i/>
          <w:iCs/>
          <w:sz w:val="20"/>
          <w:szCs w:val="20"/>
          <w:lang w:val="en-GB" w:eastAsia="zh-CN"/>
        </w:rPr>
        <w:t>5</w:t>
      </w:r>
      <w:r w:rsidRPr="00C54A3A">
        <w:rPr>
          <w:b/>
          <w:bCs/>
          <w:i/>
          <w:iCs/>
          <w:sz w:val="20"/>
          <w:szCs w:val="20"/>
          <w:lang w:val="en-GB" w:eastAsia="zh-CN"/>
        </w:rPr>
        <w:t xml:space="preserve">: </w:t>
      </w:r>
      <w:r>
        <w:rPr>
          <w:b/>
          <w:bCs/>
          <w:i/>
          <w:iCs/>
          <w:sz w:val="20"/>
          <w:szCs w:val="20"/>
          <w:lang w:val="en-GB" w:eastAsia="zh-CN"/>
        </w:rPr>
        <w:t>S</w:t>
      </w:r>
      <w:r w:rsidRPr="00C54A3A">
        <w:rPr>
          <w:b/>
          <w:bCs/>
          <w:i/>
          <w:iCs/>
          <w:sz w:val="20"/>
          <w:szCs w:val="20"/>
          <w:lang w:val="en-GB" w:eastAsia="zh-CN"/>
        </w:rPr>
        <w:t>ingle reference point is baseline. Multiple reference points can be FFS.</w:t>
      </w:r>
    </w:p>
    <w:p w14:paraId="64991668" w14:textId="77777777" w:rsidR="00111C6E" w:rsidRPr="00F3645B" w:rsidRDefault="00111C6E" w:rsidP="00E029FB">
      <w:pPr>
        <w:pStyle w:val="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14:paraId="481615D9" w14:textId="38F41CA0" w:rsidR="008E1C66" w:rsidRDefault="008E1C66" w:rsidP="00A74359">
      <w:pPr>
        <w:pStyle w:val="References"/>
        <w:rPr>
          <w:lang w:eastAsia="zh-CN"/>
        </w:rPr>
      </w:pPr>
      <w:r>
        <w:rPr>
          <w:lang w:eastAsia="zh-CN"/>
        </w:rPr>
        <w:t>RP-201256, RANP#88e, “</w:t>
      </w:r>
      <w:r w:rsidRPr="008E1C66">
        <w:rPr>
          <w:lang w:eastAsia="zh-CN"/>
        </w:rPr>
        <w:t>Solutions for NR to support non-terrestrial networks (NTN)</w:t>
      </w:r>
      <w:r>
        <w:rPr>
          <w:lang w:eastAsia="zh-CN"/>
        </w:rPr>
        <w:t>”</w:t>
      </w:r>
    </w:p>
    <w:p w14:paraId="1721856D" w14:textId="447D2AB2" w:rsidR="00A74359" w:rsidRPr="00A74359" w:rsidRDefault="008E1C66" w:rsidP="008E1C66">
      <w:pPr>
        <w:pStyle w:val="References"/>
        <w:rPr>
          <w:lang w:eastAsia="zh-CN"/>
        </w:rPr>
      </w:pPr>
      <w:r>
        <w:rPr>
          <w:rFonts w:hint="eastAsia"/>
          <w:lang w:eastAsia="zh-CN"/>
        </w:rPr>
        <w:t>T</w:t>
      </w:r>
      <w:r>
        <w:rPr>
          <w:lang w:eastAsia="zh-CN"/>
        </w:rPr>
        <w:t>R 38.821 v16.0.0</w:t>
      </w:r>
    </w:p>
    <w:sectPr w:rsidR="00A74359" w:rsidRPr="00A7435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39425" w14:textId="77777777" w:rsidR="00442E50" w:rsidRDefault="00442E50">
      <w:r>
        <w:separator/>
      </w:r>
    </w:p>
  </w:endnote>
  <w:endnote w:type="continuationSeparator" w:id="0">
    <w:p w14:paraId="22A6E97F" w14:textId="77777777" w:rsidR="00442E50" w:rsidRDefault="00442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272088" w14:textId="77777777" w:rsidR="00442E50" w:rsidRDefault="00442E50">
      <w:r>
        <w:separator/>
      </w:r>
    </w:p>
  </w:footnote>
  <w:footnote w:type="continuationSeparator" w:id="0">
    <w:p w14:paraId="5CB8AC41" w14:textId="77777777" w:rsidR="00442E50" w:rsidRDefault="00442E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57D62"/>
    <w:multiLevelType w:val="hybridMultilevel"/>
    <w:tmpl w:val="287ED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9B32D5"/>
    <w:multiLevelType w:val="hybridMultilevel"/>
    <w:tmpl w:val="BB7058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353557"/>
    <w:multiLevelType w:val="hybridMultilevel"/>
    <w:tmpl w:val="172A0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8"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9"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64C1D99"/>
    <w:multiLevelType w:val="hybridMultilevel"/>
    <w:tmpl w:val="EDC68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CC41894"/>
    <w:multiLevelType w:val="hybridMultilevel"/>
    <w:tmpl w:val="40F6AE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605E81"/>
    <w:multiLevelType w:val="hybridMultilevel"/>
    <w:tmpl w:val="83C21B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112EE6"/>
    <w:multiLevelType w:val="hybridMultilevel"/>
    <w:tmpl w:val="E32E150A"/>
    <w:lvl w:ilvl="0" w:tplc="0950AC5C">
      <w:start w:val="1"/>
      <w:numFmt w:val="bullet"/>
      <w:lvlText w:val="-"/>
      <w:lvlJc w:val="left"/>
      <w:pPr>
        <w:ind w:left="720" w:hanging="360"/>
      </w:pPr>
      <w:rPr>
        <w:rFonts w:ascii="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8"/>
  </w:num>
  <w:num w:numId="2">
    <w:abstractNumId w:val="18"/>
  </w:num>
  <w:num w:numId="3">
    <w:abstractNumId w:val="17"/>
  </w:num>
  <w:num w:numId="4">
    <w:abstractNumId w:val="7"/>
  </w:num>
  <w:num w:numId="5">
    <w:abstractNumId w:val="12"/>
  </w:num>
  <w:num w:numId="6">
    <w:abstractNumId w:val="13"/>
  </w:num>
  <w:num w:numId="7">
    <w:abstractNumId w:val="4"/>
  </w:num>
  <w:num w:numId="8">
    <w:abstractNumId w:val="5"/>
  </w:num>
  <w:num w:numId="9">
    <w:abstractNumId w:val="19"/>
  </w:num>
  <w:num w:numId="10">
    <w:abstractNumId w:val="14"/>
  </w:num>
  <w:num w:numId="11">
    <w:abstractNumId w:val="9"/>
  </w:num>
  <w:num w:numId="12">
    <w:abstractNumId w:val="6"/>
  </w:num>
  <w:num w:numId="13">
    <w:abstractNumId w:val="1"/>
  </w:num>
  <w:num w:numId="14">
    <w:abstractNumId w:val="10"/>
  </w:num>
  <w:num w:numId="15">
    <w:abstractNumId w:val="3"/>
  </w:num>
  <w:num w:numId="16">
    <w:abstractNumId w:val="11"/>
  </w:num>
  <w:num w:numId="17">
    <w:abstractNumId w:val="0"/>
  </w:num>
  <w:num w:numId="18">
    <w:abstractNumId w:val="15"/>
  </w:num>
  <w:num w:numId="19">
    <w:abstractNumId w:val="16"/>
  </w:num>
  <w:num w:numId="20">
    <w:abstractNumId w:val="2"/>
  </w:num>
  <w:num w:numId="21">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622D"/>
    <w:rsid w:val="0001644D"/>
    <w:rsid w:val="000165E2"/>
    <w:rsid w:val="00016A6E"/>
    <w:rsid w:val="00016AB7"/>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CEF"/>
    <w:rsid w:val="00050E7A"/>
    <w:rsid w:val="0005192F"/>
    <w:rsid w:val="000520B8"/>
    <w:rsid w:val="00052478"/>
    <w:rsid w:val="00052630"/>
    <w:rsid w:val="00052AD2"/>
    <w:rsid w:val="00052AEF"/>
    <w:rsid w:val="00053043"/>
    <w:rsid w:val="000530DF"/>
    <w:rsid w:val="0005338E"/>
    <w:rsid w:val="00053DBF"/>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9A3"/>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F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08"/>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86E"/>
    <w:rsid w:val="000B7A10"/>
    <w:rsid w:val="000B7A45"/>
    <w:rsid w:val="000B7C29"/>
    <w:rsid w:val="000C058B"/>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402"/>
    <w:rsid w:val="000E049D"/>
    <w:rsid w:val="000E068E"/>
    <w:rsid w:val="000E07D6"/>
    <w:rsid w:val="000E0AF7"/>
    <w:rsid w:val="000E1380"/>
    <w:rsid w:val="000E175F"/>
    <w:rsid w:val="000E1769"/>
    <w:rsid w:val="000E184D"/>
    <w:rsid w:val="000E18DF"/>
    <w:rsid w:val="000E2AC6"/>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5B1"/>
    <w:rsid w:val="000F4732"/>
    <w:rsid w:val="000F49B6"/>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57C"/>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4D1"/>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4AA"/>
    <w:rsid w:val="00165BBB"/>
    <w:rsid w:val="0016613F"/>
    <w:rsid w:val="00166215"/>
    <w:rsid w:val="00166591"/>
    <w:rsid w:val="00167A80"/>
    <w:rsid w:val="00167BAE"/>
    <w:rsid w:val="00167F82"/>
    <w:rsid w:val="00170E7E"/>
    <w:rsid w:val="00171102"/>
    <w:rsid w:val="00171143"/>
    <w:rsid w:val="00171367"/>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337"/>
    <w:rsid w:val="001B0BD9"/>
    <w:rsid w:val="001B2249"/>
    <w:rsid w:val="001B3964"/>
    <w:rsid w:val="001B3E4B"/>
    <w:rsid w:val="001B4452"/>
    <w:rsid w:val="001B466C"/>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702"/>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48D"/>
    <w:rsid w:val="001F053E"/>
    <w:rsid w:val="001F0FA9"/>
    <w:rsid w:val="001F0FFE"/>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717"/>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BFF"/>
    <w:rsid w:val="00234F8C"/>
    <w:rsid w:val="002351B3"/>
    <w:rsid w:val="0023535E"/>
    <w:rsid w:val="00235542"/>
    <w:rsid w:val="00235AF6"/>
    <w:rsid w:val="00235DFB"/>
    <w:rsid w:val="00236183"/>
    <w:rsid w:val="00236289"/>
    <w:rsid w:val="0023636A"/>
    <w:rsid w:val="0023690D"/>
    <w:rsid w:val="002369B0"/>
    <w:rsid w:val="00236AD8"/>
    <w:rsid w:val="00236D8B"/>
    <w:rsid w:val="0023727C"/>
    <w:rsid w:val="0023736F"/>
    <w:rsid w:val="002374DC"/>
    <w:rsid w:val="00237685"/>
    <w:rsid w:val="00237C15"/>
    <w:rsid w:val="002401AF"/>
    <w:rsid w:val="002401F5"/>
    <w:rsid w:val="00240458"/>
    <w:rsid w:val="00240817"/>
    <w:rsid w:val="00240E54"/>
    <w:rsid w:val="00240EB3"/>
    <w:rsid w:val="00240F07"/>
    <w:rsid w:val="0024157D"/>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D42"/>
    <w:rsid w:val="0027124B"/>
    <w:rsid w:val="00271895"/>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08E"/>
    <w:rsid w:val="00296595"/>
    <w:rsid w:val="00296940"/>
    <w:rsid w:val="00296F2F"/>
    <w:rsid w:val="0029745E"/>
    <w:rsid w:val="00297E4A"/>
    <w:rsid w:val="00297FB7"/>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41D"/>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9E7"/>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7BE3"/>
    <w:rsid w:val="002F7E6A"/>
    <w:rsid w:val="002F7F82"/>
    <w:rsid w:val="00300165"/>
    <w:rsid w:val="003005A1"/>
    <w:rsid w:val="003005D4"/>
    <w:rsid w:val="003009AC"/>
    <w:rsid w:val="003009EF"/>
    <w:rsid w:val="00300AB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0BDA"/>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4D5B"/>
    <w:rsid w:val="003156C4"/>
    <w:rsid w:val="003158DE"/>
    <w:rsid w:val="00315F63"/>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4175"/>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3E39"/>
    <w:rsid w:val="0034429B"/>
    <w:rsid w:val="003442FF"/>
    <w:rsid w:val="00344866"/>
    <w:rsid w:val="00344892"/>
    <w:rsid w:val="00344DC3"/>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BF8"/>
    <w:rsid w:val="00372CF0"/>
    <w:rsid w:val="00372DF3"/>
    <w:rsid w:val="00372F0D"/>
    <w:rsid w:val="0037360C"/>
    <w:rsid w:val="00373869"/>
    <w:rsid w:val="003738DD"/>
    <w:rsid w:val="00374059"/>
    <w:rsid w:val="00374DBE"/>
    <w:rsid w:val="0037535B"/>
    <w:rsid w:val="003753B0"/>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90017"/>
    <w:rsid w:val="003901A3"/>
    <w:rsid w:val="00390452"/>
    <w:rsid w:val="003905D9"/>
    <w:rsid w:val="0039072F"/>
    <w:rsid w:val="00390DC7"/>
    <w:rsid w:val="00391324"/>
    <w:rsid w:val="00391431"/>
    <w:rsid w:val="003914FF"/>
    <w:rsid w:val="0039164F"/>
    <w:rsid w:val="0039303C"/>
    <w:rsid w:val="00393CCB"/>
    <w:rsid w:val="003940CE"/>
    <w:rsid w:val="0039452F"/>
    <w:rsid w:val="00395545"/>
    <w:rsid w:val="003955DE"/>
    <w:rsid w:val="00395784"/>
    <w:rsid w:val="00396CDF"/>
    <w:rsid w:val="00396E7A"/>
    <w:rsid w:val="00397945"/>
    <w:rsid w:val="00397C1D"/>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48A9"/>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3308"/>
    <w:rsid w:val="003D37B9"/>
    <w:rsid w:val="003D3AB5"/>
    <w:rsid w:val="003D3C95"/>
    <w:rsid w:val="003D3DDD"/>
    <w:rsid w:val="003D5CBF"/>
    <w:rsid w:val="003D66D2"/>
    <w:rsid w:val="003D6804"/>
    <w:rsid w:val="003D6FBC"/>
    <w:rsid w:val="003D70B1"/>
    <w:rsid w:val="003D774F"/>
    <w:rsid w:val="003D780C"/>
    <w:rsid w:val="003E0587"/>
    <w:rsid w:val="003E07AE"/>
    <w:rsid w:val="003E0955"/>
    <w:rsid w:val="003E14FC"/>
    <w:rsid w:val="003E1B7F"/>
    <w:rsid w:val="003E292E"/>
    <w:rsid w:val="003E2976"/>
    <w:rsid w:val="003E32CB"/>
    <w:rsid w:val="003E33C2"/>
    <w:rsid w:val="003E3484"/>
    <w:rsid w:val="003E3974"/>
    <w:rsid w:val="003E3B41"/>
    <w:rsid w:val="003E3C50"/>
    <w:rsid w:val="003E3E99"/>
    <w:rsid w:val="003E4858"/>
    <w:rsid w:val="003E4BDC"/>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CF5"/>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990"/>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9C9"/>
    <w:rsid w:val="00425FEA"/>
    <w:rsid w:val="0042625F"/>
    <w:rsid w:val="00426266"/>
    <w:rsid w:val="00426664"/>
    <w:rsid w:val="004267D0"/>
    <w:rsid w:val="00426C01"/>
    <w:rsid w:val="00426CA0"/>
    <w:rsid w:val="00426E27"/>
    <w:rsid w:val="00427C46"/>
    <w:rsid w:val="00430221"/>
    <w:rsid w:val="00430950"/>
    <w:rsid w:val="004309FA"/>
    <w:rsid w:val="00430A2D"/>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2E50"/>
    <w:rsid w:val="0044372D"/>
    <w:rsid w:val="00443DDB"/>
    <w:rsid w:val="00444698"/>
    <w:rsid w:val="00444D38"/>
    <w:rsid w:val="00445119"/>
    <w:rsid w:val="004454A9"/>
    <w:rsid w:val="00445610"/>
    <w:rsid w:val="004456AA"/>
    <w:rsid w:val="004457BA"/>
    <w:rsid w:val="004457C0"/>
    <w:rsid w:val="004461D9"/>
    <w:rsid w:val="00446747"/>
    <w:rsid w:val="00446AC6"/>
    <w:rsid w:val="004471AD"/>
    <w:rsid w:val="0044759B"/>
    <w:rsid w:val="00447787"/>
    <w:rsid w:val="00447963"/>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984"/>
    <w:rsid w:val="00456A0D"/>
    <w:rsid w:val="00456A32"/>
    <w:rsid w:val="00456D08"/>
    <w:rsid w:val="00456DAB"/>
    <w:rsid w:val="00456F86"/>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70DB"/>
    <w:rsid w:val="00487C32"/>
    <w:rsid w:val="00490999"/>
    <w:rsid w:val="00490F46"/>
    <w:rsid w:val="0049149F"/>
    <w:rsid w:val="004915C2"/>
    <w:rsid w:val="0049165B"/>
    <w:rsid w:val="00492509"/>
    <w:rsid w:val="004925E0"/>
    <w:rsid w:val="00493292"/>
    <w:rsid w:val="00493985"/>
    <w:rsid w:val="00493A18"/>
    <w:rsid w:val="00493DA9"/>
    <w:rsid w:val="00494242"/>
    <w:rsid w:val="0049481B"/>
    <w:rsid w:val="004948C6"/>
    <w:rsid w:val="00494B14"/>
    <w:rsid w:val="00494E8E"/>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85"/>
    <w:rsid w:val="004B17C4"/>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2B8"/>
    <w:rsid w:val="004B55F9"/>
    <w:rsid w:val="004B6E03"/>
    <w:rsid w:val="004B6F9D"/>
    <w:rsid w:val="004B792F"/>
    <w:rsid w:val="004B7E5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6BA"/>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A60"/>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66"/>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415F"/>
    <w:rsid w:val="005046A2"/>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5DC"/>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234"/>
    <w:rsid w:val="0054593A"/>
    <w:rsid w:val="005467FB"/>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C9"/>
    <w:rsid w:val="005732F9"/>
    <w:rsid w:val="00573904"/>
    <w:rsid w:val="00573E9D"/>
    <w:rsid w:val="00574132"/>
    <w:rsid w:val="005743DE"/>
    <w:rsid w:val="0057464C"/>
    <w:rsid w:val="00574ACF"/>
    <w:rsid w:val="00574C08"/>
    <w:rsid w:val="00574F3F"/>
    <w:rsid w:val="005751B2"/>
    <w:rsid w:val="0057562C"/>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2BC2"/>
    <w:rsid w:val="0059316F"/>
    <w:rsid w:val="005931F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2B5"/>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467"/>
    <w:rsid w:val="005C65C2"/>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120F"/>
    <w:rsid w:val="00611317"/>
    <w:rsid w:val="006119BA"/>
    <w:rsid w:val="00611CD6"/>
    <w:rsid w:val="00611D2D"/>
    <w:rsid w:val="006123A6"/>
    <w:rsid w:val="00612905"/>
    <w:rsid w:val="00612976"/>
    <w:rsid w:val="0061303B"/>
    <w:rsid w:val="006130F7"/>
    <w:rsid w:val="00613946"/>
    <w:rsid w:val="00613AF8"/>
    <w:rsid w:val="00613D8E"/>
    <w:rsid w:val="006142E0"/>
    <w:rsid w:val="00614443"/>
    <w:rsid w:val="006146DC"/>
    <w:rsid w:val="00614CCC"/>
    <w:rsid w:val="00614DCF"/>
    <w:rsid w:val="00614F2E"/>
    <w:rsid w:val="006153EB"/>
    <w:rsid w:val="00616112"/>
    <w:rsid w:val="006161FD"/>
    <w:rsid w:val="006169BE"/>
    <w:rsid w:val="00616C9B"/>
    <w:rsid w:val="00617028"/>
    <w:rsid w:val="00617951"/>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5FFF"/>
    <w:rsid w:val="0063606C"/>
    <w:rsid w:val="006365A8"/>
    <w:rsid w:val="00637240"/>
    <w:rsid w:val="006377CE"/>
    <w:rsid w:val="00640116"/>
    <w:rsid w:val="006406B0"/>
    <w:rsid w:val="00640776"/>
    <w:rsid w:val="0064080C"/>
    <w:rsid w:val="00640EB6"/>
    <w:rsid w:val="006411C4"/>
    <w:rsid w:val="006424FE"/>
    <w:rsid w:val="00642CD6"/>
    <w:rsid w:val="0064304A"/>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507A"/>
    <w:rsid w:val="0066515D"/>
    <w:rsid w:val="00665229"/>
    <w:rsid w:val="00666490"/>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90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90089"/>
    <w:rsid w:val="00690A49"/>
    <w:rsid w:val="00690B21"/>
    <w:rsid w:val="00690BB6"/>
    <w:rsid w:val="00690DFC"/>
    <w:rsid w:val="00690FFC"/>
    <w:rsid w:val="00691B30"/>
    <w:rsid w:val="00691C86"/>
    <w:rsid w:val="00691F2F"/>
    <w:rsid w:val="0069205D"/>
    <w:rsid w:val="006924A5"/>
    <w:rsid w:val="00692B3C"/>
    <w:rsid w:val="006930C7"/>
    <w:rsid w:val="00693D37"/>
    <w:rsid w:val="00693E1F"/>
    <w:rsid w:val="00693ECB"/>
    <w:rsid w:val="006941D1"/>
    <w:rsid w:val="00694334"/>
    <w:rsid w:val="0069478F"/>
    <w:rsid w:val="00694797"/>
    <w:rsid w:val="00694C14"/>
    <w:rsid w:val="00695887"/>
    <w:rsid w:val="0069599C"/>
    <w:rsid w:val="00696A32"/>
    <w:rsid w:val="00696DAA"/>
    <w:rsid w:val="00696FCD"/>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6"/>
    <w:rsid w:val="006C323E"/>
    <w:rsid w:val="006C361F"/>
    <w:rsid w:val="006C3AD8"/>
    <w:rsid w:val="006C3C6D"/>
    <w:rsid w:val="006C3E82"/>
    <w:rsid w:val="006C3EB4"/>
    <w:rsid w:val="006C43C0"/>
    <w:rsid w:val="006C4516"/>
    <w:rsid w:val="006C455E"/>
    <w:rsid w:val="006C5958"/>
    <w:rsid w:val="006C5B4F"/>
    <w:rsid w:val="006C614B"/>
    <w:rsid w:val="006C643C"/>
    <w:rsid w:val="006C661D"/>
    <w:rsid w:val="006C6800"/>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C71"/>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E7C0A"/>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3AB"/>
    <w:rsid w:val="0070064E"/>
    <w:rsid w:val="00700FBF"/>
    <w:rsid w:val="00701591"/>
    <w:rsid w:val="00701F61"/>
    <w:rsid w:val="00702065"/>
    <w:rsid w:val="00702244"/>
    <w:rsid w:val="007025CB"/>
    <w:rsid w:val="00702654"/>
    <w:rsid w:val="007027F6"/>
    <w:rsid w:val="00702A43"/>
    <w:rsid w:val="00702B12"/>
    <w:rsid w:val="007034AA"/>
    <w:rsid w:val="0070395F"/>
    <w:rsid w:val="00703C9D"/>
    <w:rsid w:val="00703E5B"/>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F94"/>
    <w:rsid w:val="0072379D"/>
    <w:rsid w:val="00723AA7"/>
    <w:rsid w:val="00723D66"/>
    <w:rsid w:val="0072425D"/>
    <w:rsid w:val="0072432E"/>
    <w:rsid w:val="00724855"/>
    <w:rsid w:val="00725E27"/>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6487"/>
    <w:rsid w:val="0073665E"/>
    <w:rsid w:val="00736DD8"/>
    <w:rsid w:val="00737628"/>
    <w:rsid w:val="007379B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6494"/>
    <w:rsid w:val="007574FC"/>
    <w:rsid w:val="0075757A"/>
    <w:rsid w:val="00757632"/>
    <w:rsid w:val="00757800"/>
    <w:rsid w:val="00760975"/>
    <w:rsid w:val="00761063"/>
    <w:rsid w:val="0076146B"/>
    <w:rsid w:val="00761846"/>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C5A"/>
    <w:rsid w:val="00777FBF"/>
    <w:rsid w:val="007803BD"/>
    <w:rsid w:val="007803C9"/>
    <w:rsid w:val="0078058E"/>
    <w:rsid w:val="0078085D"/>
    <w:rsid w:val="007811DC"/>
    <w:rsid w:val="007820FA"/>
    <w:rsid w:val="0078229B"/>
    <w:rsid w:val="007822C0"/>
    <w:rsid w:val="007827C8"/>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89D"/>
    <w:rsid w:val="0079740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A81"/>
    <w:rsid w:val="007B3F55"/>
    <w:rsid w:val="007B43AE"/>
    <w:rsid w:val="007B4574"/>
    <w:rsid w:val="007B4D52"/>
    <w:rsid w:val="007B52CD"/>
    <w:rsid w:val="007B5847"/>
    <w:rsid w:val="007B5E54"/>
    <w:rsid w:val="007B5FBA"/>
    <w:rsid w:val="007B6028"/>
    <w:rsid w:val="007B6256"/>
    <w:rsid w:val="007B6B5A"/>
    <w:rsid w:val="007B6C25"/>
    <w:rsid w:val="007B7DC1"/>
    <w:rsid w:val="007B7EDB"/>
    <w:rsid w:val="007C0DD4"/>
    <w:rsid w:val="007C19AD"/>
    <w:rsid w:val="007C1B76"/>
    <w:rsid w:val="007C24C5"/>
    <w:rsid w:val="007C2978"/>
    <w:rsid w:val="007C2D70"/>
    <w:rsid w:val="007C3598"/>
    <w:rsid w:val="007C39EB"/>
    <w:rsid w:val="007C3D1C"/>
    <w:rsid w:val="007C3FA8"/>
    <w:rsid w:val="007C4850"/>
    <w:rsid w:val="007C5675"/>
    <w:rsid w:val="007C5764"/>
    <w:rsid w:val="007C5AEE"/>
    <w:rsid w:val="007C5DDC"/>
    <w:rsid w:val="007C6201"/>
    <w:rsid w:val="007C6225"/>
    <w:rsid w:val="007C62B3"/>
    <w:rsid w:val="007C6318"/>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B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1DFF"/>
    <w:rsid w:val="008221B3"/>
    <w:rsid w:val="0082248E"/>
    <w:rsid w:val="0082262F"/>
    <w:rsid w:val="00822926"/>
    <w:rsid w:val="00822ABE"/>
    <w:rsid w:val="00822D59"/>
    <w:rsid w:val="00822F42"/>
    <w:rsid w:val="00823E38"/>
    <w:rsid w:val="00823E85"/>
    <w:rsid w:val="008242EF"/>
    <w:rsid w:val="00824321"/>
    <w:rsid w:val="00824B0B"/>
    <w:rsid w:val="00824ECF"/>
    <w:rsid w:val="00824FDF"/>
    <w:rsid w:val="00825125"/>
    <w:rsid w:val="008252AA"/>
    <w:rsid w:val="008257CC"/>
    <w:rsid w:val="0082623E"/>
    <w:rsid w:val="0082689F"/>
    <w:rsid w:val="00826A11"/>
    <w:rsid w:val="008274BF"/>
    <w:rsid w:val="00827AFC"/>
    <w:rsid w:val="0083015A"/>
    <w:rsid w:val="00830645"/>
    <w:rsid w:val="00830BBB"/>
    <w:rsid w:val="00830C23"/>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2B1"/>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4A7"/>
    <w:rsid w:val="00847672"/>
    <w:rsid w:val="00847A19"/>
    <w:rsid w:val="00847D5A"/>
    <w:rsid w:val="00850079"/>
    <w:rsid w:val="0085042C"/>
    <w:rsid w:val="008506B6"/>
    <w:rsid w:val="00850AE0"/>
    <w:rsid w:val="00850F0E"/>
    <w:rsid w:val="00850F57"/>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18E"/>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3B4"/>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3FC"/>
    <w:rsid w:val="00884B90"/>
    <w:rsid w:val="00884C69"/>
    <w:rsid w:val="008851B5"/>
    <w:rsid w:val="00886030"/>
    <w:rsid w:val="00886378"/>
    <w:rsid w:val="00886763"/>
    <w:rsid w:val="0088701C"/>
    <w:rsid w:val="008874EA"/>
    <w:rsid w:val="00887572"/>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1C66"/>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237"/>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115"/>
    <w:rsid w:val="008F23D8"/>
    <w:rsid w:val="008F2FD5"/>
    <w:rsid w:val="008F37E5"/>
    <w:rsid w:val="008F3864"/>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467"/>
    <w:rsid w:val="009078B3"/>
    <w:rsid w:val="00907A77"/>
    <w:rsid w:val="00907E00"/>
    <w:rsid w:val="00907E44"/>
    <w:rsid w:val="009102DB"/>
    <w:rsid w:val="0091088D"/>
    <w:rsid w:val="00910D0B"/>
    <w:rsid w:val="00910FC9"/>
    <w:rsid w:val="009111A1"/>
    <w:rsid w:val="00911413"/>
    <w:rsid w:val="00911467"/>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165C"/>
    <w:rsid w:val="0094287E"/>
    <w:rsid w:val="00942C80"/>
    <w:rsid w:val="00942D0A"/>
    <w:rsid w:val="00943197"/>
    <w:rsid w:val="009431FD"/>
    <w:rsid w:val="009435F2"/>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1355"/>
    <w:rsid w:val="009515F8"/>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D87"/>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A06"/>
    <w:rsid w:val="009D1BA4"/>
    <w:rsid w:val="009D1FB2"/>
    <w:rsid w:val="009D22E4"/>
    <w:rsid w:val="009D22F6"/>
    <w:rsid w:val="009D22F7"/>
    <w:rsid w:val="009D2AAF"/>
    <w:rsid w:val="009D2B3E"/>
    <w:rsid w:val="009D2F83"/>
    <w:rsid w:val="009D319C"/>
    <w:rsid w:val="009D3B30"/>
    <w:rsid w:val="009D400F"/>
    <w:rsid w:val="009D5098"/>
    <w:rsid w:val="009D50E3"/>
    <w:rsid w:val="009D511C"/>
    <w:rsid w:val="009D5964"/>
    <w:rsid w:val="009D5BAB"/>
    <w:rsid w:val="009D6A0A"/>
    <w:rsid w:val="009D6BD6"/>
    <w:rsid w:val="009D7768"/>
    <w:rsid w:val="009D78DD"/>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2D9"/>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1D35"/>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06C"/>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359"/>
    <w:rsid w:val="00A7453F"/>
    <w:rsid w:val="00A74A92"/>
    <w:rsid w:val="00A7541E"/>
    <w:rsid w:val="00A754CA"/>
    <w:rsid w:val="00A75BB8"/>
    <w:rsid w:val="00A75CC1"/>
    <w:rsid w:val="00A75E88"/>
    <w:rsid w:val="00A75EF3"/>
    <w:rsid w:val="00A77738"/>
    <w:rsid w:val="00A80166"/>
    <w:rsid w:val="00A8056E"/>
    <w:rsid w:val="00A80751"/>
    <w:rsid w:val="00A80FD0"/>
    <w:rsid w:val="00A818EC"/>
    <w:rsid w:val="00A81D3C"/>
    <w:rsid w:val="00A81F9D"/>
    <w:rsid w:val="00A82551"/>
    <w:rsid w:val="00A82D58"/>
    <w:rsid w:val="00A82FDE"/>
    <w:rsid w:val="00A838F3"/>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803"/>
    <w:rsid w:val="00AA7CD0"/>
    <w:rsid w:val="00AB0315"/>
    <w:rsid w:val="00AB0543"/>
    <w:rsid w:val="00AB07F3"/>
    <w:rsid w:val="00AB0AC9"/>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1E9"/>
    <w:rsid w:val="00B50399"/>
    <w:rsid w:val="00B505A0"/>
    <w:rsid w:val="00B505F4"/>
    <w:rsid w:val="00B5074C"/>
    <w:rsid w:val="00B51542"/>
    <w:rsid w:val="00B51D1D"/>
    <w:rsid w:val="00B52323"/>
    <w:rsid w:val="00B52567"/>
    <w:rsid w:val="00B52CF8"/>
    <w:rsid w:val="00B5310E"/>
    <w:rsid w:val="00B5323D"/>
    <w:rsid w:val="00B5372D"/>
    <w:rsid w:val="00B53A54"/>
    <w:rsid w:val="00B53BFD"/>
    <w:rsid w:val="00B53C93"/>
    <w:rsid w:val="00B53E46"/>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1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110"/>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C35"/>
    <w:rsid w:val="00B90D10"/>
    <w:rsid w:val="00B90FBF"/>
    <w:rsid w:val="00B90FE5"/>
    <w:rsid w:val="00B919AD"/>
    <w:rsid w:val="00B91A2B"/>
    <w:rsid w:val="00B91DB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97"/>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5CC"/>
    <w:rsid w:val="00BB1979"/>
    <w:rsid w:val="00BB1CE7"/>
    <w:rsid w:val="00BB23C7"/>
    <w:rsid w:val="00BB2E29"/>
    <w:rsid w:val="00BB2FD3"/>
    <w:rsid w:val="00BB2FDF"/>
    <w:rsid w:val="00BB2FFF"/>
    <w:rsid w:val="00BB30ED"/>
    <w:rsid w:val="00BB351E"/>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6"/>
    <w:rsid w:val="00BC45A8"/>
    <w:rsid w:val="00BC46EF"/>
    <w:rsid w:val="00BC535B"/>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514F"/>
    <w:rsid w:val="00C05506"/>
    <w:rsid w:val="00C058BA"/>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61A1"/>
    <w:rsid w:val="00C169D5"/>
    <w:rsid w:val="00C16C30"/>
    <w:rsid w:val="00C171F2"/>
    <w:rsid w:val="00C171F9"/>
    <w:rsid w:val="00C17389"/>
    <w:rsid w:val="00C17704"/>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A3A"/>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B62"/>
    <w:rsid w:val="00C66CDF"/>
    <w:rsid w:val="00C66DFA"/>
    <w:rsid w:val="00C6755D"/>
    <w:rsid w:val="00C679A7"/>
    <w:rsid w:val="00C67EAB"/>
    <w:rsid w:val="00C70983"/>
    <w:rsid w:val="00C70DFF"/>
    <w:rsid w:val="00C7165F"/>
    <w:rsid w:val="00C71CF5"/>
    <w:rsid w:val="00C71F5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2BDC"/>
    <w:rsid w:val="00C832DC"/>
    <w:rsid w:val="00C834B4"/>
    <w:rsid w:val="00C8377F"/>
    <w:rsid w:val="00C8416A"/>
    <w:rsid w:val="00C841DE"/>
    <w:rsid w:val="00C843AD"/>
    <w:rsid w:val="00C84A0A"/>
    <w:rsid w:val="00C8530B"/>
    <w:rsid w:val="00C8535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6E1B"/>
    <w:rsid w:val="00CA70A7"/>
    <w:rsid w:val="00CA762B"/>
    <w:rsid w:val="00CB008E"/>
    <w:rsid w:val="00CB01FA"/>
    <w:rsid w:val="00CB0327"/>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3AF"/>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1F9B"/>
    <w:rsid w:val="00CD239A"/>
    <w:rsid w:val="00CD2505"/>
    <w:rsid w:val="00CD27F7"/>
    <w:rsid w:val="00CD3ECB"/>
    <w:rsid w:val="00CD4576"/>
    <w:rsid w:val="00CD49BB"/>
    <w:rsid w:val="00CD49E8"/>
    <w:rsid w:val="00CD4BBB"/>
    <w:rsid w:val="00CD5512"/>
    <w:rsid w:val="00CD6AA5"/>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7A3"/>
    <w:rsid w:val="00CF5974"/>
    <w:rsid w:val="00CF5A35"/>
    <w:rsid w:val="00CF60B5"/>
    <w:rsid w:val="00CF7059"/>
    <w:rsid w:val="00CF70E3"/>
    <w:rsid w:val="00CF7384"/>
    <w:rsid w:val="00CF7899"/>
    <w:rsid w:val="00CF794C"/>
    <w:rsid w:val="00CF7AD4"/>
    <w:rsid w:val="00D0043F"/>
    <w:rsid w:val="00D004FA"/>
    <w:rsid w:val="00D00A17"/>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3CF"/>
    <w:rsid w:val="00D71BC1"/>
    <w:rsid w:val="00D71EF4"/>
    <w:rsid w:val="00D722EE"/>
    <w:rsid w:val="00D72EB7"/>
    <w:rsid w:val="00D72EFA"/>
    <w:rsid w:val="00D7356F"/>
    <w:rsid w:val="00D73587"/>
    <w:rsid w:val="00D73EBB"/>
    <w:rsid w:val="00D74010"/>
    <w:rsid w:val="00D7488C"/>
    <w:rsid w:val="00D751FB"/>
    <w:rsid w:val="00D754D6"/>
    <w:rsid w:val="00D75B8E"/>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1E1B"/>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0AE9"/>
    <w:rsid w:val="00DA1C30"/>
    <w:rsid w:val="00DA1C31"/>
    <w:rsid w:val="00DA20BC"/>
    <w:rsid w:val="00DA23FD"/>
    <w:rsid w:val="00DA2D12"/>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8C1"/>
    <w:rsid w:val="00DB7F1E"/>
    <w:rsid w:val="00DC04AC"/>
    <w:rsid w:val="00DC0CED"/>
    <w:rsid w:val="00DC1050"/>
    <w:rsid w:val="00DC1260"/>
    <w:rsid w:val="00DC1327"/>
    <w:rsid w:val="00DC1350"/>
    <w:rsid w:val="00DC18FB"/>
    <w:rsid w:val="00DC2397"/>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86F"/>
    <w:rsid w:val="00DF4069"/>
    <w:rsid w:val="00DF446A"/>
    <w:rsid w:val="00DF4572"/>
    <w:rsid w:val="00DF4658"/>
    <w:rsid w:val="00DF47EC"/>
    <w:rsid w:val="00DF4A14"/>
    <w:rsid w:val="00DF530E"/>
    <w:rsid w:val="00DF5502"/>
    <w:rsid w:val="00DF5547"/>
    <w:rsid w:val="00DF57AC"/>
    <w:rsid w:val="00DF5833"/>
    <w:rsid w:val="00DF594F"/>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7FB"/>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532"/>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759"/>
    <w:rsid w:val="00E91F04"/>
    <w:rsid w:val="00E91F35"/>
    <w:rsid w:val="00E92435"/>
    <w:rsid w:val="00E9277D"/>
    <w:rsid w:val="00E9339B"/>
    <w:rsid w:val="00E945D3"/>
    <w:rsid w:val="00E95BA6"/>
    <w:rsid w:val="00E96584"/>
    <w:rsid w:val="00E96823"/>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FCF"/>
    <w:rsid w:val="00EB03A1"/>
    <w:rsid w:val="00EB07CE"/>
    <w:rsid w:val="00EB0865"/>
    <w:rsid w:val="00EB0CA3"/>
    <w:rsid w:val="00EB104F"/>
    <w:rsid w:val="00EB138C"/>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1E0"/>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C2F"/>
    <w:rsid w:val="00EE4DC9"/>
    <w:rsid w:val="00EE4EFE"/>
    <w:rsid w:val="00EE4F04"/>
    <w:rsid w:val="00EE534D"/>
    <w:rsid w:val="00EE5560"/>
    <w:rsid w:val="00EE5823"/>
    <w:rsid w:val="00EE5EAD"/>
    <w:rsid w:val="00EE6F1E"/>
    <w:rsid w:val="00EE79D5"/>
    <w:rsid w:val="00EE7E0C"/>
    <w:rsid w:val="00EF034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3FA2"/>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CA6"/>
    <w:rsid w:val="00F27E46"/>
    <w:rsid w:val="00F301C2"/>
    <w:rsid w:val="00F3023C"/>
    <w:rsid w:val="00F302E1"/>
    <w:rsid w:val="00F3035B"/>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5873"/>
    <w:rsid w:val="00F35920"/>
    <w:rsid w:val="00F3598A"/>
    <w:rsid w:val="00F35AE8"/>
    <w:rsid w:val="00F35C20"/>
    <w:rsid w:val="00F35F37"/>
    <w:rsid w:val="00F3645B"/>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190"/>
    <w:rsid w:val="00F9221F"/>
    <w:rsid w:val="00F92275"/>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270"/>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88A"/>
    <w:rsid w:val="00FF2310"/>
    <w:rsid w:val="00FF2482"/>
    <w:rsid w:val="00FF2B35"/>
    <w:rsid w:val="00FF2E73"/>
    <w:rsid w:val="00FF2F38"/>
    <w:rsid w:val="00FF3124"/>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F77EA7A"/>
  <w15:docId w15:val="{F7F2D490-5672-4464-B179-8A03A737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7C5A"/>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qFormat/>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link w:val="af2"/>
    <w:uiPriority w:val="34"/>
    <w:locked/>
    <w:rsid w:val="00B00416"/>
    <w:rPr>
      <w:rFonts w:ascii="Calibri" w:hAnsi="Calibri" w:cs="Calibri"/>
      <w:sz w:val="22"/>
      <w:szCs w:val="22"/>
    </w:rPr>
  </w:style>
  <w:style w:type="paragraph" w:customStyle="1" w:styleId="Bullet-3">
    <w:name w:val="Bullet-3"/>
    <w:basedOn w:val="a"/>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AEEF3" w:themeFill="accent5"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BACC6" w:themeFill="accent5"/>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BACC6" w:themeFill="accent5"/>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BACC6" w:themeFill="accent5"/>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a3"/>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289853">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040834">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D80032-53E2-42B2-961C-4AB8833A5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1418</Words>
  <Characters>8085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Hongmei HM6 Liu</cp:lastModifiedBy>
  <cp:revision>4</cp:revision>
  <cp:lastPrinted>2015-04-01T01:56:00Z</cp:lastPrinted>
  <dcterms:created xsi:type="dcterms:W3CDTF">2020-08-06T03:29:00Z</dcterms:created>
  <dcterms:modified xsi:type="dcterms:W3CDTF">2020-08-07T03:10:00Z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