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E06DF" w14:textId="77777777" w:rsidR="008D2659" w:rsidRDefault="00E229A6">
      <w:pPr>
        <w:tabs>
          <w:tab w:val="right" w:pos="9216"/>
        </w:tabs>
        <w:spacing w:after="0"/>
        <w:jc w:val="left"/>
        <w:rPr>
          <w:rFonts w:ascii="Arial" w:hAnsi="Arial" w:cs="Arial"/>
          <w:b/>
          <w:kern w:val="2"/>
          <w:lang w:eastAsia="zh-CN"/>
        </w:rPr>
      </w:pPr>
      <w:r>
        <w:rPr>
          <w:noProof/>
          <w:lang w:eastAsia="ko-KR"/>
        </w:rPr>
        <mc:AlternateContent>
          <mc:Choice Requires="wps">
            <w:drawing>
              <wp:anchor distT="0" distB="0" distL="114300" distR="114300" simplePos="0" relativeHeight="251659264" behindDoc="0" locked="1" layoutInCell="1" hidden="1" allowOverlap="1" wp14:anchorId="63161AEB" wp14:editId="62139AD0">
                <wp:simplePos x="0" y="0"/>
                <wp:positionH relativeFrom="column">
                  <wp:posOffset>0</wp:posOffset>
                </wp:positionH>
                <wp:positionV relativeFrom="paragraph">
                  <wp:posOffset>0</wp:posOffset>
                </wp:positionV>
                <wp:extent cx="635" cy="635"/>
                <wp:effectExtent l="0" t="0" r="0" b="0"/>
                <wp:wrapNone/>
                <wp:docPr id="2" name="Freeform: Shape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75EE1F2" id="Freeform: Shape 2"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FNgpIQRBQAATxYAAA4AAAAAAAAAAAAAAAAALgIAAGRycy9lMm9Eb2Mu&#10;eG1sUEsBAi0AFAAGAAgAAAAhAAjbM2/WAAAA/wAAAA8AAAAAAAAAAAAAAAAAawcAAGRycy9kb3du&#10;cmV2LnhtbFBLBQYAAAAABAAEAPMAAABu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#101-e</w:t>
      </w:r>
      <w:r>
        <w:rPr>
          <w:rFonts w:ascii="Arial" w:hAnsi="Arial" w:cs="Arial"/>
          <w:b/>
          <w:kern w:val="2"/>
          <w:lang w:eastAsia="zh-CN"/>
        </w:rPr>
        <w:tab/>
        <w:t>R1-200XXXX</w:t>
      </w:r>
    </w:p>
    <w:p w14:paraId="4D7A8881"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eMeeting, May 25-June 5, 2020</w:t>
      </w:r>
    </w:p>
    <w:p w14:paraId="70D3A17D" w14:textId="77777777" w:rsidR="008D2659" w:rsidRDefault="008D2659">
      <w:pPr>
        <w:jc w:val="left"/>
        <w:rPr>
          <w:rFonts w:ascii="Arial" w:hAnsi="Arial" w:cs="Arial"/>
          <w:b/>
          <w:kern w:val="2"/>
          <w:lang w:eastAsia="zh-CN"/>
        </w:rPr>
      </w:pPr>
    </w:p>
    <w:p w14:paraId="01E73672" w14:textId="77777777" w:rsidR="008D2659" w:rsidRDefault="00E229A6">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7.2.4.7</w:t>
      </w:r>
    </w:p>
    <w:p w14:paraId="1E20549C"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hd w:val="clear" w:color="auto" w:fill="FFFFFF"/>
        </w:rPr>
        <w:t>FUTUREWEI)</w:t>
      </w:r>
    </w:p>
    <w:p w14:paraId="595AAA0E" w14:textId="77777777" w:rsidR="008D2659" w:rsidRDefault="00E229A6">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#1 on NR Uu scheduling LTE sidelink</w:t>
      </w:r>
    </w:p>
    <w:p w14:paraId="063AD393"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9D364E1" w14:textId="77777777" w:rsidR="008D2659" w:rsidRDefault="008D2659"/>
    <w:p w14:paraId="5DD1C13C" w14:textId="77777777" w:rsidR="008D2659" w:rsidRDefault="00E229A6">
      <w:pPr>
        <w:pStyle w:val="Heading1"/>
        <w:rPr>
          <w:rFonts w:cs="Arial"/>
        </w:rPr>
      </w:pPr>
      <w:bookmarkStart w:id="0" w:name="_Ref129681862"/>
      <w:bookmarkStart w:id="1" w:name="_Ref124589705"/>
      <w:r>
        <w:rPr>
          <w:rFonts w:cs="Arial"/>
        </w:rPr>
        <w:t>Introduction</w:t>
      </w:r>
      <w:bookmarkEnd w:id="0"/>
      <w:bookmarkEnd w:id="1"/>
    </w:p>
    <w:p w14:paraId="52EF0F29" w14:textId="77777777" w:rsidR="008D2659" w:rsidRDefault="00E229A6">
      <w:r>
        <w:t>A WID on NR-V2X was approved at RAN#83, with one of the objectives as follows:</w:t>
      </w:r>
    </w:p>
    <w:p w14:paraId="3825751B" w14:textId="77777777" w:rsidR="008D2659" w:rsidRDefault="00E229A6">
      <w:pPr>
        <w:overflowPunct w:val="0"/>
        <w:snapToGrid/>
        <w:spacing w:after="180"/>
        <w:textAlignment w:val="baseline"/>
        <w:rPr>
          <w:rFonts w:eastAsia="Malgun Gothic"/>
          <w:i/>
          <w:sz w:val="20"/>
          <w:szCs w:val="20"/>
          <w:lang w:eastAsia="ko-KR"/>
        </w:rPr>
      </w:pPr>
      <w:r>
        <w:rPr>
          <w:rFonts w:eastAsia="Malgun Gothic" w:hint="eastAsia"/>
          <w:sz w:val="20"/>
          <w:szCs w:val="20"/>
          <w:lang w:eastAsia="ko-KR"/>
        </w:rPr>
        <w:t>2.</w:t>
      </w:r>
      <w:r>
        <w:rPr>
          <w:rFonts w:eastAsia="Malgun Gothic"/>
          <w:sz w:val="20"/>
          <w:szCs w:val="20"/>
          <w:lang w:eastAsia="ko-KR"/>
        </w:rPr>
        <w:t xml:space="preserve"> </w:t>
      </w:r>
      <w:r>
        <w:rPr>
          <w:rFonts w:eastAsia="Malgun Gothic"/>
          <w:i/>
          <w:sz w:val="20"/>
          <w:szCs w:val="20"/>
          <w:lang w:eastAsia="ko-KR"/>
        </w:rPr>
        <w:t xml:space="preserve">Specify support for NR Uu to provide control for LTE sidelink </w:t>
      </w:r>
    </w:p>
    <w:p w14:paraId="100A6527" w14:textId="77777777" w:rsidR="008D2659" w:rsidRDefault="00E229A6">
      <w:pPr>
        <w:numPr>
          <w:ilvl w:val="0"/>
          <w:numId w:val="7"/>
        </w:numPr>
        <w:overflowPunct w:val="0"/>
        <w:snapToGrid/>
        <w:spacing w:after="180"/>
        <w:ind w:left="709" w:hanging="309"/>
        <w:jc w:val="left"/>
        <w:textAlignment w:val="baseline"/>
        <w:rPr>
          <w:rFonts w:eastAsia="Malgun Gothic"/>
          <w:i/>
          <w:sz w:val="20"/>
          <w:szCs w:val="20"/>
          <w:lang w:eastAsia="ko-KR"/>
        </w:rPr>
      </w:pPr>
      <w:r>
        <w:rPr>
          <w:rFonts w:eastAsia="Malgun Gothic"/>
          <w:i/>
          <w:sz w:val="20"/>
          <w:szCs w:val="20"/>
          <w:lang w:eastAsia="ko-KR"/>
        </w:rPr>
        <w:t>Sidelink mode 4 as per the study outcome [RAN2, RAN1]; and</w:t>
      </w:r>
    </w:p>
    <w:p w14:paraId="79D7428F" w14:textId="77777777" w:rsidR="008D2659" w:rsidRDefault="00E229A6">
      <w:pPr>
        <w:numPr>
          <w:ilvl w:val="0"/>
          <w:numId w:val="7"/>
        </w:numPr>
        <w:overflowPunct w:val="0"/>
        <w:snapToGrid/>
        <w:spacing w:after="180"/>
        <w:ind w:left="709" w:hanging="309"/>
        <w:jc w:val="left"/>
        <w:textAlignment w:val="baseline"/>
        <w:rPr>
          <w:rFonts w:eastAsia="Malgun Gothic"/>
          <w:i/>
          <w:sz w:val="20"/>
          <w:szCs w:val="20"/>
          <w:lang w:eastAsia="ko-KR"/>
        </w:rPr>
      </w:pPr>
      <w:r>
        <w:rPr>
          <w:rFonts w:eastAsia="Malgun Gothic"/>
          <w:i/>
          <w:sz w:val="20"/>
          <w:szCs w:val="20"/>
          <w:lang w:eastAsia="ko-KR"/>
        </w:rPr>
        <w:t>Sidelink mode 3-like RRC-configured SPS scheduling with either RRC-based activation/deactivation as per the study outcome or DCI-based activation/deactivation [RAN1, RAN2].</w:t>
      </w:r>
    </w:p>
    <w:p w14:paraId="52216D65" w14:textId="77777777" w:rsidR="008D2659" w:rsidRDefault="00E229A6">
      <w:pPr>
        <w:numPr>
          <w:ilvl w:val="1"/>
          <w:numId w:val="7"/>
        </w:numPr>
        <w:wordWrap w:val="0"/>
        <w:overflowPunct w:val="0"/>
        <w:snapToGrid/>
        <w:spacing w:after="180"/>
        <w:contextualSpacing/>
        <w:jc w:val="left"/>
        <w:textAlignment w:val="baseline"/>
        <w:rPr>
          <w:rFonts w:eastAsia="MS Mincho"/>
          <w:i/>
          <w:sz w:val="20"/>
          <w:szCs w:val="20"/>
          <w:lang w:eastAsia="ko-KR"/>
        </w:rPr>
      </w:pPr>
      <w:r>
        <w:rPr>
          <w:rFonts w:eastAsia="MS Mincho"/>
          <w:i/>
          <w:sz w:val="20"/>
          <w:szCs w:val="20"/>
          <w:lang w:eastAsia="ko-KR"/>
        </w:rPr>
        <w:t>RAN1 to make a decision on which option is supported until RAN#84.</w:t>
      </w:r>
    </w:p>
    <w:p w14:paraId="676EA8DC" w14:textId="77777777" w:rsidR="008D2659" w:rsidRDefault="00E229A6">
      <w:pPr>
        <w:pStyle w:val="bullet1"/>
        <w:numPr>
          <w:ilvl w:val="0"/>
          <w:numId w:val="0"/>
        </w:numPr>
        <w:spacing w:after="120"/>
        <w:jc w:val="both"/>
        <w:rPr>
          <w:rFonts w:ascii="Times New Roman" w:hAnsi="Times New Roman"/>
          <w:sz w:val="22"/>
          <w:szCs w:val="20"/>
        </w:rPr>
      </w:pPr>
      <w:r>
        <w:rPr>
          <w:rFonts w:ascii="Times New Roman" w:hAnsi="Times New Roman"/>
          <w:sz w:val="22"/>
          <w:szCs w:val="20"/>
        </w:rPr>
        <w:t>9 companies submitted contributions for this AI ([1]-[9]).</w:t>
      </w:r>
    </w:p>
    <w:p w14:paraId="1B50F2B7" w14:textId="77777777" w:rsidR="008D2659" w:rsidRDefault="008D2659"/>
    <w:p w14:paraId="0B7C1473" w14:textId="77777777" w:rsidR="008D2659" w:rsidRDefault="00E229A6">
      <w:pPr>
        <w:pStyle w:val="Heading1"/>
      </w:pPr>
      <w:r>
        <w:t>Issues listed by companies</w:t>
      </w:r>
    </w:p>
    <w:p w14:paraId="32293B92" w14:textId="77777777" w:rsidR="008D2659" w:rsidRDefault="00E229A6">
      <w:r>
        <w:t>The list of issues brought by companies is summarized here. The issues are summarized in Table 1, along with the proposals for each of them. Then, in following subsections, each issue is discussed in more detail.</w:t>
      </w:r>
    </w:p>
    <w:p w14:paraId="72DF27ED" w14:textId="77777777" w:rsidR="008D2659" w:rsidRDefault="00E229A6">
      <w:pPr>
        <w:pStyle w:val="Caption"/>
        <w:keepNext/>
      </w:pPr>
      <w:r>
        <w:t xml:space="preserve">Table </w:t>
      </w:r>
      <w:fldSimple w:instr=" SEQ Table \* ARABIC ">
        <w:r>
          <w:t>1</w:t>
        </w:r>
      </w:fldSimple>
      <w:r>
        <w:t>. Summary of issues.</w:t>
      </w:r>
    </w:p>
    <w:tbl>
      <w:tblPr>
        <w:tblStyle w:val="TableGrid"/>
        <w:tblW w:w="9307" w:type="dxa"/>
        <w:tblLayout w:type="fixed"/>
        <w:tblLook w:val="04A0" w:firstRow="1" w:lastRow="0" w:firstColumn="1" w:lastColumn="0" w:noHBand="0" w:noVBand="1"/>
      </w:tblPr>
      <w:tblGrid>
        <w:gridCol w:w="895"/>
        <w:gridCol w:w="6120"/>
        <w:gridCol w:w="2292"/>
      </w:tblGrid>
      <w:tr w:rsidR="008D2659" w14:paraId="4AAC06AA" w14:textId="77777777">
        <w:tc>
          <w:tcPr>
            <w:tcW w:w="895" w:type="dxa"/>
            <w:shd w:val="clear" w:color="auto" w:fill="D9D9D9" w:themeFill="background1" w:themeFillShade="D9"/>
          </w:tcPr>
          <w:p w14:paraId="760BB1C5" w14:textId="77777777" w:rsidR="008D2659" w:rsidRDefault="00E229A6">
            <w:r>
              <w:t>Issue</w:t>
            </w:r>
          </w:p>
        </w:tc>
        <w:tc>
          <w:tcPr>
            <w:tcW w:w="6120" w:type="dxa"/>
            <w:shd w:val="clear" w:color="auto" w:fill="D9D9D9" w:themeFill="background1" w:themeFillShade="D9"/>
          </w:tcPr>
          <w:p w14:paraId="39AFCA61" w14:textId="77777777" w:rsidR="008D2659" w:rsidRDefault="00E229A6">
            <w:r>
              <w:t>Description</w:t>
            </w:r>
          </w:p>
        </w:tc>
        <w:tc>
          <w:tcPr>
            <w:tcW w:w="2292" w:type="dxa"/>
            <w:shd w:val="clear" w:color="auto" w:fill="D9D9D9" w:themeFill="background1" w:themeFillShade="D9"/>
          </w:tcPr>
          <w:p w14:paraId="27F3AFCD" w14:textId="77777777" w:rsidR="008D2659" w:rsidRDefault="00E229A6">
            <w:r>
              <w:t>FL Proposal</w:t>
            </w:r>
          </w:p>
        </w:tc>
      </w:tr>
      <w:tr w:rsidR="008D2659" w14:paraId="14E9DF18" w14:textId="77777777">
        <w:tc>
          <w:tcPr>
            <w:tcW w:w="895" w:type="dxa"/>
          </w:tcPr>
          <w:p w14:paraId="448894A1" w14:textId="77777777" w:rsidR="008D2659" w:rsidRDefault="00E229A6">
            <w:r>
              <w:t>Issue 1</w:t>
            </w:r>
          </w:p>
        </w:tc>
        <w:tc>
          <w:tcPr>
            <w:tcW w:w="6120" w:type="dxa"/>
          </w:tcPr>
          <w:p w14:paraId="46BABB68" w14:textId="77777777" w:rsidR="008D2659" w:rsidRDefault="00E229A6">
            <w:r>
              <w:rPr>
                <w:b/>
                <w:bCs/>
              </w:rPr>
              <w:t>Power control</w:t>
            </w:r>
            <w:r>
              <w:t>: whether open loop power control should be supported on the sidelink when NR Uu schedules LTE sidelink</w:t>
            </w:r>
          </w:p>
        </w:tc>
        <w:tc>
          <w:tcPr>
            <w:tcW w:w="2292" w:type="dxa"/>
          </w:tcPr>
          <w:p w14:paraId="04B4533C" w14:textId="77777777" w:rsidR="008D2659" w:rsidRDefault="00E229A6">
            <w:r>
              <w:t>Email discussion</w:t>
            </w:r>
          </w:p>
        </w:tc>
      </w:tr>
      <w:tr w:rsidR="008D2659" w14:paraId="602E986C" w14:textId="77777777">
        <w:tc>
          <w:tcPr>
            <w:tcW w:w="895" w:type="dxa"/>
          </w:tcPr>
          <w:p w14:paraId="6B205B55" w14:textId="77777777" w:rsidR="008D2659" w:rsidRDefault="00E229A6">
            <w:r>
              <w:t>Issue 2</w:t>
            </w:r>
          </w:p>
        </w:tc>
        <w:tc>
          <w:tcPr>
            <w:tcW w:w="6120" w:type="dxa"/>
          </w:tcPr>
          <w:p w14:paraId="535CADE2" w14:textId="77777777" w:rsidR="008D2659" w:rsidRDefault="00E229A6">
            <w:r>
              <w:rPr>
                <w:b/>
                <w:bCs/>
              </w:rPr>
              <w:t>SL index</w:t>
            </w:r>
            <w:r>
              <w:t>: whether SL index should always be present in DCI 3_1</w:t>
            </w:r>
          </w:p>
        </w:tc>
        <w:tc>
          <w:tcPr>
            <w:tcW w:w="2292" w:type="dxa"/>
          </w:tcPr>
          <w:p w14:paraId="2587A76C" w14:textId="77777777" w:rsidR="008D2659" w:rsidRDefault="00E229A6">
            <w:r>
              <w:t>Email discussion to discuss whether a TP is necessary (no need for new agreement)</w:t>
            </w:r>
          </w:p>
        </w:tc>
      </w:tr>
      <w:tr w:rsidR="008D2659" w14:paraId="36F2880D" w14:textId="77777777">
        <w:tc>
          <w:tcPr>
            <w:tcW w:w="895" w:type="dxa"/>
          </w:tcPr>
          <w:p w14:paraId="769A5E4B" w14:textId="77777777" w:rsidR="008D2659" w:rsidRDefault="00E229A6">
            <w:r>
              <w:t>Issue 3</w:t>
            </w:r>
          </w:p>
        </w:tc>
        <w:tc>
          <w:tcPr>
            <w:tcW w:w="6120" w:type="dxa"/>
          </w:tcPr>
          <w:p w14:paraId="1B205524" w14:textId="77777777" w:rsidR="008D2659" w:rsidRDefault="00E229A6">
            <w:pPr>
              <w:rPr>
                <w:b/>
                <w:bCs/>
              </w:rPr>
            </w:pPr>
            <w:r>
              <w:rPr>
                <w:b/>
                <w:bCs/>
              </w:rPr>
              <w:t>SPS configuration index and activation fields</w:t>
            </w:r>
            <w:r>
              <w:t>: whether the description in format 3_1 should refer to 36.213 instead of 36.212</w:t>
            </w:r>
          </w:p>
        </w:tc>
        <w:tc>
          <w:tcPr>
            <w:tcW w:w="2292" w:type="dxa"/>
          </w:tcPr>
          <w:p w14:paraId="426EFD27" w14:textId="77777777" w:rsidR="008D2659" w:rsidRDefault="00E229A6">
            <w:r>
              <w:t>No email discussion</w:t>
            </w:r>
          </w:p>
        </w:tc>
      </w:tr>
      <w:tr w:rsidR="008D2659" w14:paraId="1D0DD0FA" w14:textId="77777777">
        <w:tc>
          <w:tcPr>
            <w:tcW w:w="895" w:type="dxa"/>
          </w:tcPr>
          <w:p w14:paraId="115A2E1F" w14:textId="77777777" w:rsidR="008D2659" w:rsidRDefault="00E229A6">
            <w:r>
              <w:t>Issue 4</w:t>
            </w:r>
          </w:p>
        </w:tc>
        <w:tc>
          <w:tcPr>
            <w:tcW w:w="6120" w:type="dxa"/>
          </w:tcPr>
          <w:p w14:paraId="4BA8151B" w14:textId="77777777" w:rsidR="008D2659" w:rsidRDefault="00E229A6">
            <w:r>
              <w:rPr>
                <w:b/>
                <w:bCs/>
              </w:rPr>
              <w:t>Units for timing of the grant</w:t>
            </w:r>
            <w:r>
              <w:t>: whether the formula indicating the timing of a grant should be in seconds or milliseconds</w:t>
            </w:r>
          </w:p>
        </w:tc>
        <w:tc>
          <w:tcPr>
            <w:tcW w:w="2292" w:type="dxa"/>
          </w:tcPr>
          <w:p w14:paraId="0A3E8F58" w14:textId="77777777" w:rsidR="008D2659" w:rsidRDefault="00E229A6">
            <w:r>
              <w:t>No email discussion</w:t>
            </w:r>
          </w:p>
        </w:tc>
      </w:tr>
    </w:tbl>
    <w:p w14:paraId="3616CE87" w14:textId="77777777" w:rsidR="008D2659" w:rsidRDefault="008D2659"/>
    <w:p w14:paraId="23FDE45E" w14:textId="77777777" w:rsidR="008D2659" w:rsidRDefault="00E229A6">
      <w:pPr>
        <w:pStyle w:val="Heading2"/>
      </w:pPr>
      <w:r>
        <w:t>Issue 1: Power control</w:t>
      </w:r>
    </w:p>
    <w:p w14:paraId="5E2E9D06" w14:textId="77777777" w:rsidR="008D2659" w:rsidRDefault="00E229A6">
      <w:r>
        <w:t>This issue is brought in 7 contributions ([1], [3], [5]-[9]). It was discussed at RAN1#100b-e, with no consensus achieved. The issue is whether on a shared Uu/SL carrier, open loop power control should be applied to protect the eNB/gNB, as it is for LTE.5 companies are in favor of solving the issue, ([3], [5], [6], [8], [9]), 2 advocate no change ([1], [7]).</w:t>
      </w:r>
    </w:p>
    <w:p w14:paraId="3D4AD5D5" w14:textId="77777777" w:rsidR="008D2659" w:rsidRDefault="00E229A6">
      <w:r>
        <w:lastRenderedPageBreak/>
        <w:t>RAN4 has not (yet) produced specifications for the shared carrier. However, as pointed out by several companies, RAN1 specification does not usually consider operational scenarios when writing RAN1 specification. RAN4 usually puts additional restrictions on top of RAN2/1 specification. Besides, as pointed out by Docomo [8], should RAN4 decide to standardize a shared scenario in the future, RAN1 will have to solve this issue at that time. Thus there is value in solving the issue especially if reuse of LTE can make it straightforward.</w:t>
      </w:r>
    </w:p>
    <w:p w14:paraId="7AFA205F" w14:textId="77777777" w:rsidR="008D2659" w:rsidRDefault="00E229A6">
      <w:pPr>
        <w:rPr>
          <w:b/>
          <w:bCs/>
          <w:i/>
          <w:iCs/>
        </w:rPr>
      </w:pPr>
      <w:bookmarkStart w:id="2" w:name="_Hlk40952215"/>
      <w:r>
        <w:rPr>
          <w:b/>
          <w:bCs/>
          <w:i/>
          <w:iCs/>
        </w:rPr>
        <w:t>FL suggestion: have an email discussion to discuss OLPC for the shared carrier case using the following as the starting point:</w:t>
      </w:r>
    </w:p>
    <w:p w14:paraId="68B8CE1A" w14:textId="4FFC8E30" w:rsidR="008D2659" w:rsidRDefault="00E229A6">
      <w:pPr>
        <w:numPr>
          <w:ilvl w:val="0"/>
          <w:numId w:val="8"/>
        </w:numPr>
        <w:autoSpaceDE/>
        <w:autoSpaceDN/>
        <w:adjustRightInd/>
        <w:snapToGrid/>
        <w:spacing w:before="50" w:afterLines="50"/>
        <w:rPr>
          <w:rFonts w:eastAsiaTheme="minorEastAsia"/>
          <w:b/>
          <w:bCs/>
          <w:i/>
          <w:szCs w:val="20"/>
        </w:rPr>
      </w:pPr>
      <w:r>
        <w:rPr>
          <w:rFonts w:eastAsiaTheme="minorEastAsia"/>
          <w:b/>
          <w:bCs/>
          <w:i/>
        </w:rPr>
        <w:t xml:space="preserve">From RAN1 perspective, </w:t>
      </w:r>
      <w:ins w:id="3" w:author="Philippe Sartori" w:date="2020-05-21T10:46:00Z">
        <w:r w:rsidR="005461C9">
          <w:rPr>
            <w:rFonts w:eastAsiaTheme="minorEastAsia"/>
            <w:b/>
            <w:bCs/>
            <w:i/>
          </w:rPr>
          <w:t xml:space="preserve">discuss whether </w:t>
        </w:r>
      </w:ins>
      <w:r>
        <w:rPr>
          <w:rFonts w:eastAsiaTheme="minorEastAsia"/>
          <w:b/>
          <w:bCs/>
          <w:i/>
        </w:rPr>
        <w:t xml:space="preserve">DL pathloss based OLPC is supported </w:t>
      </w:r>
      <w:del w:id="4" w:author="Philippe Sartori" w:date="2020-05-21T10:46:00Z">
        <w:r w:rsidDel="005461C9">
          <w:rPr>
            <w:rFonts w:eastAsiaTheme="minorEastAsia"/>
            <w:b/>
            <w:bCs/>
            <w:i/>
          </w:rPr>
          <w:delText>in the</w:delText>
        </w:r>
      </w:del>
      <w:ins w:id="5" w:author="Philippe Sartori" w:date="2020-05-21T10:46:00Z">
        <w:r w:rsidR="005461C9">
          <w:rPr>
            <w:rFonts w:eastAsiaTheme="minorEastAsia"/>
            <w:b/>
            <w:bCs/>
            <w:i/>
          </w:rPr>
          <w:t>and which of</w:t>
        </w:r>
      </w:ins>
      <w:r>
        <w:rPr>
          <w:rFonts w:eastAsiaTheme="minorEastAsia"/>
          <w:b/>
          <w:bCs/>
          <w:i/>
        </w:rPr>
        <w:t xml:space="preserve"> following cases</w:t>
      </w:r>
      <w:ins w:id="6" w:author="Philippe Sartori" w:date="2020-05-21T10:46:00Z">
        <w:r w:rsidR="005461C9">
          <w:rPr>
            <w:rFonts w:eastAsiaTheme="minorEastAsia"/>
            <w:b/>
            <w:bCs/>
            <w:i/>
          </w:rPr>
          <w:t xml:space="preserve"> are addressed</w:t>
        </w:r>
      </w:ins>
      <w:r>
        <w:rPr>
          <w:rFonts w:eastAsiaTheme="minorEastAsia"/>
          <w:b/>
          <w:bCs/>
          <w:i/>
        </w:rPr>
        <w:t>:</w:t>
      </w:r>
    </w:p>
    <w:p w14:paraId="14C7A360" w14:textId="1B24EE74"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 xml:space="preserve">NR Uu scheduling LTE sidelink with NR Uu and LTE SL </w:t>
      </w:r>
      <w:ins w:id="7" w:author="Philippe Sartori" w:date="2020-05-21T10:43:00Z">
        <w:r w:rsidR="005461C9">
          <w:rPr>
            <w:rFonts w:eastAsiaTheme="minorEastAsia"/>
            <w:b/>
            <w:bCs/>
            <w:i/>
          </w:rPr>
          <w:t>carriers overlapping in frequency</w:t>
        </w:r>
      </w:ins>
      <w:ins w:id="8" w:author="Philippe Sartori" w:date="2020-05-21T12:18:00Z">
        <w:r w:rsidR="00B61925">
          <w:rPr>
            <w:rFonts w:eastAsiaTheme="minorEastAsia"/>
            <w:b/>
            <w:bCs/>
            <w:i/>
          </w:rPr>
          <w:t xml:space="preserve"> </w:t>
        </w:r>
      </w:ins>
      <w:del w:id="9" w:author="Philippe Sartori" w:date="2020-05-21T10:43:00Z">
        <w:r w:rsidDel="005461C9">
          <w:rPr>
            <w:rFonts w:eastAsiaTheme="minorEastAsia"/>
            <w:b/>
            <w:bCs/>
            <w:i/>
          </w:rPr>
          <w:delText xml:space="preserve">on the same band </w:delText>
        </w:r>
      </w:del>
      <w:r>
        <w:rPr>
          <w:rFonts w:eastAsiaTheme="minorEastAsia"/>
          <w:b/>
          <w:bCs/>
          <w:i/>
        </w:rPr>
        <w:t>to compensate for the gNB-UE pathloss</w:t>
      </w:r>
    </w:p>
    <w:p w14:paraId="49D34AE1" w14:textId="607F9FDE"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 xml:space="preserve">NR Uu scheduling LTE sidelink with LTE Uu and LTE SL </w:t>
      </w:r>
      <w:ins w:id="10" w:author="Philippe Sartori" w:date="2020-05-21T10:43:00Z">
        <w:r w:rsidR="005461C9">
          <w:rPr>
            <w:rFonts w:eastAsiaTheme="minorEastAsia"/>
            <w:b/>
            <w:bCs/>
            <w:i/>
          </w:rPr>
          <w:t>carriers overlapping in frequency</w:t>
        </w:r>
      </w:ins>
      <w:ins w:id="11" w:author="Philippe Sartori" w:date="2020-05-21T12:18:00Z">
        <w:r w:rsidR="00B61925">
          <w:rPr>
            <w:rFonts w:eastAsiaTheme="minorEastAsia"/>
            <w:b/>
            <w:bCs/>
            <w:i/>
          </w:rPr>
          <w:t xml:space="preserve"> </w:t>
        </w:r>
      </w:ins>
      <w:del w:id="12" w:author="Philippe Sartori" w:date="2020-05-21T10:43:00Z">
        <w:r w:rsidDel="005461C9">
          <w:rPr>
            <w:rFonts w:eastAsiaTheme="minorEastAsia"/>
            <w:b/>
            <w:bCs/>
            <w:i/>
          </w:rPr>
          <w:delText xml:space="preserve">on the same band </w:delText>
        </w:r>
      </w:del>
      <w:r>
        <w:rPr>
          <w:rFonts w:eastAsiaTheme="minorEastAsia"/>
          <w:b/>
          <w:bCs/>
          <w:i/>
        </w:rPr>
        <w:t>to compensate for the eNB-UE pathloss</w:t>
      </w:r>
    </w:p>
    <w:p w14:paraId="49EC6BA2" w14:textId="131B701B"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 xml:space="preserve">LTE V2X mode-4 resource allocation on </w:t>
      </w:r>
      <w:del w:id="13" w:author="Philippe Sartori" w:date="2020-05-21T10:44:00Z">
        <w:r w:rsidDel="005461C9">
          <w:rPr>
            <w:rFonts w:eastAsiaTheme="minorEastAsia"/>
            <w:b/>
            <w:bCs/>
            <w:i/>
          </w:rPr>
          <w:delText>the same band</w:delText>
        </w:r>
      </w:del>
      <w:ins w:id="14" w:author="Philippe Sartori" w:date="2020-05-21T10:44:00Z">
        <w:r w:rsidR="005461C9">
          <w:rPr>
            <w:rFonts w:eastAsiaTheme="minorEastAsia"/>
            <w:b/>
            <w:bCs/>
            <w:i/>
          </w:rPr>
          <w:t>a carri</w:t>
        </w:r>
      </w:ins>
      <w:ins w:id="15" w:author="Philippe Sartori" w:date="2020-05-21T10:45:00Z">
        <w:r w:rsidR="005461C9">
          <w:rPr>
            <w:rFonts w:eastAsiaTheme="minorEastAsia"/>
            <w:b/>
            <w:bCs/>
            <w:i/>
          </w:rPr>
          <w:t>er overlapping</w:t>
        </w:r>
      </w:ins>
      <w:ins w:id="16" w:author="Philippe Sartori" w:date="2020-05-21T12:19:00Z">
        <w:r w:rsidR="00B61925">
          <w:rPr>
            <w:rFonts w:eastAsiaTheme="minorEastAsia"/>
            <w:b/>
            <w:bCs/>
            <w:i/>
          </w:rPr>
          <w:t xml:space="preserve"> </w:t>
        </w:r>
      </w:ins>
      <w:del w:id="17" w:author="Philippe Sartori" w:date="2020-05-21T10:45:00Z">
        <w:r w:rsidDel="005461C9">
          <w:rPr>
            <w:rFonts w:eastAsiaTheme="minorEastAsia"/>
            <w:b/>
            <w:bCs/>
            <w:i/>
          </w:rPr>
          <w:delText xml:space="preserve"> as</w:delText>
        </w:r>
      </w:del>
      <w:ins w:id="18" w:author="Philippe Sartori" w:date="2020-05-21T10:45:00Z">
        <w:r w:rsidR="005461C9">
          <w:rPr>
            <w:rFonts w:eastAsiaTheme="minorEastAsia"/>
            <w:b/>
            <w:bCs/>
            <w:i/>
          </w:rPr>
          <w:t>with</w:t>
        </w:r>
      </w:ins>
      <w:r>
        <w:rPr>
          <w:rFonts w:eastAsiaTheme="minorEastAsia"/>
          <w:b/>
          <w:bCs/>
          <w:i/>
        </w:rPr>
        <w:t xml:space="preserve"> NR Uu to compensate for the gNB-UE pathloss</w:t>
      </w:r>
    </w:p>
    <w:p w14:paraId="656E217B" w14:textId="662C4721" w:rsidR="0082320B" w:rsidRDefault="00E229A6" w:rsidP="0082320B">
      <w:pPr>
        <w:numPr>
          <w:ilvl w:val="0"/>
          <w:numId w:val="8"/>
        </w:numPr>
        <w:autoSpaceDE/>
        <w:autoSpaceDN/>
        <w:adjustRightInd/>
        <w:snapToGrid/>
        <w:spacing w:before="50" w:afterLines="50"/>
        <w:rPr>
          <w:ins w:id="19" w:author="Philippe Sartori" w:date="2020-05-21T11:18:00Z"/>
          <w:rFonts w:eastAsiaTheme="minorEastAsia"/>
          <w:b/>
          <w:bCs/>
          <w:i/>
        </w:rPr>
      </w:pPr>
      <w:r>
        <w:rPr>
          <w:rFonts w:eastAsiaTheme="minorEastAsia"/>
          <w:b/>
          <w:bCs/>
          <w:i/>
        </w:rPr>
        <w:t>Note: This does not imply that RAN4 supports one of these scenarios in Rel-16</w:t>
      </w:r>
    </w:p>
    <w:p w14:paraId="4BB1A37D" w14:textId="6EF14CAB" w:rsidR="0082320B" w:rsidRPr="0082320B" w:rsidRDefault="0082320B" w:rsidP="0082320B">
      <w:pPr>
        <w:numPr>
          <w:ilvl w:val="0"/>
          <w:numId w:val="8"/>
        </w:numPr>
        <w:autoSpaceDE/>
        <w:autoSpaceDN/>
        <w:adjustRightInd/>
        <w:snapToGrid/>
        <w:spacing w:before="50" w:afterLines="50"/>
        <w:rPr>
          <w:rFonts w:eastAsiaTheme="minorEastAsia"/>
          <w:b/>
          <w:bCs/>
          <w:i/>
        </w:rPr>
      </w:pPr>
      <w:ins w:id="20" w:author="Philippe Sartori" w:date="2020-05-21T11:19:00Z">
        <w:r>
          <w:rPr>
            <w:rFonts w:eastAsiaTheme="minorEastAsia"/>
            <w:b/>
            <w:bCs/>
            <w:i/>
          </w:rPr>
          <w:t>Note:</w:t>
        </w:r>
        <w:r w:rsidRPr="0082320B">
          <w:rPr>
            <w:rFonts w:eastAsiaTheme="minorEastAsia"/>
            <w:b/>
            <w:bCs/>
            <w:i/>
            <w:iCs/>
          </w:rPr>
          <w:t xml:space="preserve"> </w:t>
        </w:r>
        <w:r w:rsidRPr="0082320B">
          <w:rPr>
            <w:b/>
            <w:bCs/>
            <w:i/>
            <w:iCs/>
            <w:color w:val="FF0000"/>
          </w:rPr>
          <w:t>For the shared carrier case, in Rel-16, RAN1 will not address any aspect other than power control</w:t>
        </w:r>
      </w:ins>
    </w:p>
    <w:tbl>
      <w:tblPr>
        <w:tblStyle w:val="TableGrid"/>
        <w:tblW w:w="9307" w:type="dxa"/>
        <w:tblLayout w:type="fixed"/>
        <w:tblLook w:val="04A0" w:firstRow="1" w:lastRow="0" w:firstColumn="1" w:lastColumn="0" w:noHBand="0" w:noVBand="1"/>
      </w:tblPr>
      <w:tblGrid>
        <w:gridCol w:w="2065"/>
        <w:gridCol w:w="7242"/>
      </w:tblGrid>
      <w:tr w:rsidR="008D2659" w14:paraId="7AC60969" w14:textId="77777777" w:rsidTr="00F51D0F">
        <w:tc>
          <w:tcPr>
            <w:tcW w:w="2065" w:type="dxa"/>
          </w:tcPr>
          <w:bookmarkEnd w:id="2"/>
          <w:p w14:paraId="6813B7AA" w14:textId="77777777" w:rsidR="008D2659" w:rsidRDefault="00E229A6">
            <w:r>
              <w:t>Company</w:t>
            </w:r>
          </w:p>
        </w:tc>
        <w:tc>
          <w:tcPr>
            <w:tcW w:w="7242" w:type="dxa"/>
          </w:tcPr>
          <w:p w14:paraId="5779E7FF" w14:textId="77777777" w:rsidR="008D2659" w:rsidRDefault="00E229A6">
            <w:r>
              <w:t>View</w:t>
            </w:r>
          </w:p>
        </w:tc>
      </w:tr>
      <w:tr w:rsidR="008D2659" w14:paraId="4B82BAB2" w14:textId="77777777" w:rsidTr="00F51D0F">
        <w:tc>
          <w:tcPr>
            <w:tcW w:w="2065" w:type="dxa"/>
          </w:tcPr>
          <w:p w14:paraId="1A63F0F1" w14:textId="77777777" w:rsidR="008D2659" w:rsidRDefault="00E229A6">
            <w:r>
              <w:t>Futurewei</w:t>
            </w:r>
          </w:p>
        </w:tc>
        <w:tc>
          <w:tcPr>
            <w:tcW w:w="7242" w:type="dxa"/>
          </w:tcPr>
          <w:p w14:paraId="071F0154" w14:textId="77777777" w:rsidR="008D2659" w:rsidRDefault="00E229A6">
            <w:r>
              <w:t>Discuss OLPC at this meeting and adopt the LTE-like OLPC for each scenario</w:t>
            </w:r>
          </w:p>
        </w:tc>
      </w:tr>
      <w:tr w:rsidR="008D2659" w14:paraId="50F153E3" w14:textId="77777777" w:rsidTr="00F51D0F">
        <w:tc>
          <w:tcPr>
            <w:tcW w:w="2065" w:type="dxa"/>
          </w:tcPr>
          <w:p w14:paraId="71412DEE" w14:textId="77777777" w:rsidR="008D2659" w:rsidRDefault="00E229A6">
            <w:r>
              <w:t>NTT DOCOMO</w:t>
            </w:r>
          </w:p>
        </w:tc>
        <w:tc>
          <w:tcPr>
            <w:tcW w:w="7242" w:type="dxa"/>
          </w:tcPr>
          <w:p w14:paraId="6C8BF98C" w14:textId="77777777" w:rsidR="008D2659" w:rsidRDefault="00E229A6">
            <w:pPr>
              <w:rPr>
                <w:rFonts w:eastAsia="MS Mincho"/>
                <w:lang w:eastAsia="ja-JP"/>
              </w:rPr>
            </w:pPr>
            <w:r>
              <w:rPr>
                <w:rFonts w:eastAsia="MS Mincho" w:hint="eastAsia"/>
                <w:lang w:eastAsia="ja-JP"/>
              </w:rPr>
              <w:t xml:space="preserve">Support FL suggestion. </w:t>
            </w:r>
            <w:r>
              <w:rPr>
                <w:rFonts w:eastAsia="MS Mincho"/>
                <w:lang w:eastAsia="ja-JP"/>
              </w:rPr>
              <w:t>RAN1 should have discussion and make agreements on OLPC for the above cases.</w:t>
            </w:r>
          </w:p>
        </w:tc>
      </w:tr>
      <w:tr w:rsidR="008D2659" w14:paraId="3DD18990" w14:textId="77777777" w:rsidTr="00F51D0F">
        <w:tc>
          <w:tcPr>
            <w:tcW w:w="2065" w:type="dxa"/>
          </w:tcPr>
          <w:p w14:paraId="552C182F" w14:textId="77777777" w:rsidR="008D2659" w:rsidRDefault="00E229A6">
            <w:r>
              <w:t>ZTE, Sanechips</w:t>
            </w:r>
          </w:p>
        </w:tc>
        <w:tc>
          <w:tcPr>
            <w:tcW w:w="7242" w:type="dxa"/>
          </w:tcPr>
          <w:p w14:paraId="17A8B26C" w14:textId="77777777" w:rsidR="008D2659" w:rsidRDefault="00E229A6">
            <w:pPr>
              <w:rPr>
                <w:lang w:eastAsia="zh-CN"/>
              </w:rPr>
            </w:pPr>
            <w:r>
              <w:rPr>
                <w:rFonts w:hint="eastAsia"/>
                <w:lang w:eastAsia="zh-CN"/>
              </w:rPr>
              <w:t>Agree with FL</w:t>
            </w:r>
            <w:r>
              <w:rPr>
                <w:lang w:eastAsia="zh-CN"/>
              </w:rPr>
              <w:t>’</w:t>
            </w:r>
            <w:r>
              <w:rPr>
                <w:rFonts w:hint="eastAsia"/>
                <w:lang w:eastAsia="zh-CN"/>
              </w:rPr>
              <w:t>s suggestion.</w:t>
            </w:r>
          </w:p>
        </w:tc>
      </w:tr>
      <w:tr w:rsidR="00F51D0F" w14:paraId="38B002A4" w14:textId="77777777" w:rsidTr="00F51D0F">
        <w:tc>
          <w:tcPr>
            <w:tcW w:w="2065" w:type="dxa"/>
          </w:tcPr>
          <w:p w14:paraId="2A973939" w14:textId="77777777" w:rsidR="00F51D0F" w:rsidRDefault="00F51D0F" w:rsidP="00AC6B8C">
            <w:r>
              <w:t>vivo</w:t>
            </w:r>
          </w:p>
        </w:tc>
        <w:tc>
          <w:tcPr>
            <w:tcW w:w="7242" w:type="dxa"/>
          </w:tcPr>
          <w:p w14:paraId="067B065E" w14:textId="77777777" w:rsidR="00F51D0F" w:rsidRDefault="00F51D0F" w:rsidP="00AC6B8C">
            <w:r>
              <w:t>Ok to discuss this issue.</w:t>
            </w:r>
          </w:p>
        </w:tc>
      </w:tr>
      <w:tr w:rsidR="009415B3" w14:paraId="46FA83A4" w14:textId="77777777" w:rsidTr="0087130F">
        <w:tc>
          <w:tcPr>
            <w:tcW w:w="2065" w:type="dxa"/>
          </w:tcPr>
          <w:p w14:paraId="536213C9" w14:textId="77777777" w:rsidR="009415B3" w:rsidRDefault="009415B3" w:rsidP="0087130F">
            <w:pPr>
              <w:rPr>
                <w:lang w:eastAsia="zh-CN"/>
              </w:rPr>
            </w:pPr>
            <w:r>
              <w:rPr>
                <w:rFonts w:hint="eastAsia"/>
                <w:lang w:eastAsia="zh-CN"/>
              </w:rPr>
              <w:t>H</w:t>
            </w:r>
            <w:r>
              <w:rPr>
                <w:lang w:eastAsia="zh-CN"/>
              </w:rPr>
              <w:t>uawei, HiSilicon</w:t>
            </w:r>
          </w:p>
        </w:tc>
        <w:tc>
          <w:tcPr>
            <w:tcW w:w="7242" w:type="dxa"/>
          </w:tcPr>
          <w:p w14:paraId="749DE76C" w14:textId="77777777" w:rsidR="009415B3" w:rsidRDefault="009415B3" w:rsidP="0087130F">
            <w:pPr>
              <w:rPr>
                <w:lang w:eastAsia="zh-CN"/>
              </w:rPr>
            </w:pPr>
            <w:r>
              <w:rPr>
                <w:rFonts w:hint="eastAsia"/>
                <w:lang w:eastAsia="zh-CN"/>
              </w:rPr>
              <w:t>O</w:t>
            </w:r>
            <w:r>
              <w:rPr>
                <w:lang w:eastAsia="zh-CN"/>
              </w:rPr>
              <w:t>k in principle to have this discussion for NR Uu and LTE SL sharing the carrier. OPPO made a good point on needing clarification of the proposal’s intention, the same carrier or the same band?</w:t>
            </w:r>
          </w:p>
          <w:p w14:paraId="09BDC739" w14:textId="77777777" w:rsidR="009415B3" w:rsidRDefault="009415B3" w:rsidP="0087130F">
            <w:pPr>
              <w:rPr>
                <w:lang w:eastAsia="zh-CN"/>
              </w:rPr>
            </w:pPr>
            <w:r>
              <w:rPr>
                <w:lang w:eastAsia="zh-CN"/>
              </w:rPr>
              <w:t xml:space="preserve">In addition, we hesitate to further optimize at maintenance stage the case of LTE Uu and LTE SL sharing the same carrier when gNB controls the LTE SL especially when involving much spec impact, and any potential changing to 36.xx is also a concern. </w:t>
            </w:r>
          </w:p>
          <w:p w14:paraId="54C617EB" w14:textId="73829C21" w:rsidR="005461C9" w:rsidRDefault="005461C9" w:rsidP="0087130F">
            <w:pPr>
              <w:rPr>
                <w:color w:val="FF0000"/>
                <w:lang w:eastAsia="zh-CN"/>
              </w:rPr>
            </w:pPr>
            <w:r>
              <w:rPr>
                <w:color w:val="FF0000"/>
                <w:lang w:eastAsia="zh-CN"/>
              </w:rPr>
              <w:t>FL’s response: the intent was to cover the shared carrier case, but to include the case where the two carriers are not the same bandwidth (e.g., 10MHz LTE with 20 MHz NR). Modified to ‘overlapping carriers’.</w:t>
            </w:r>
          </w:p>
          <w:p w14:paraId="74ACA648" w14:textId="2039979E" w:rsidR="005461C9" w:rsidRPr="005461C9" w:rsidRDefault="005461C9" w:rsidP="0087130F">
            <w:pPr>
              <w:rPr>
                <w:color w:val="FF0000"/>
                <w:lang w:eastAsia="zh-CN"/>
              </w:rPr>
            </w:pPr>
            <w:r>
              <w:rPr>
                <w:color w:val="FF0000"/>
                <w:lang w:eastAsia="zh-CN"/>
              </w:rPr>
              <w:t>On the second point, duly noted. Wording from the main bullet to make it clerar to discuss which cases, if any, will be addressed</w:t>
            </w:r>
          </w:p>
          <w:p w14:paraId="68C41F88" w14:textId="50908EE0" w:rsidR="005461C9" w:rsidRDefault="005461C9" w:rsidP="0087130F">
            <w:pPr>
              <w:rPr>
                <w:lang w:eastAsia="zh-CN"/>
              </w:rPr>
            </w:pPr>
          </w:p>
        </w:tc>
      </w:tr>
      <w:tr w:rsidR="007A5D5A" w14:paraId="5B16796E" w14:textId="77777777" w:rsidTr="00F51D0F">
        <w:tc>
          <w:tcPr>
            <w:tcW w:w="2065" w:type="dxa"/>
          </w:tcPr>
          <w:p w14:paraId="1398FF40" w14:textId="77777777" w:rsidR="007A5D5A" w:rsidRDefault="009415B3" w:rsidP="00AC6B8C">
            <w:pPr>
              <w:rPr>
                <w:lang w:eastAsia="zh-CN"/>
              </w:rPr>
            </w:pPr>
            <w:r>
              <w:rPr>
                <w:rFonts w:hint="eastAsia"/>
                <w:lang w:eastAsia="zh-CN"/>
              </w:rPr>
              <w:t>CATT</w:t>
            </w:r>
          </w:p>
        </w:tc>
        <w:tc>
          <w:tcPr>
            <w:tcW w:w="7242" w:type="dxa"/>
          </w:tcPr>
          <w:p w14:paraId="6F84F777" w14:textId="77777777" w:rsidR="002043FA" w:rsidRDefault="009415B3" w:rsidP="002043FA">
            <w:pPr>
              <w:rPr>
                <w:lang w:eastAsia="zh-CN"/>
              </w:rPr>
            </w:pPr>
            <w:r>
              <w:rPr>
                <w:rFonts w:hint="eastAsia"/>
                <w:lang w:eastAsia="zh-CN"/>
              </w:rPr>
              <w:t>OK to discuss this issue.</w:t>
            </w:r>
          </w:p>
        </w:tc>
      </w:tr>
      <w:tr w:rsidR="00084856" w14:paraId="096D9786" w14:textId="77777777" w:rsidTr="00084856">
        <w:tc>
          <w:tcPr>
            <w:tcW w:w="2065" w:type="dxa"/>
          </w:tcPr>
          <w:p w14:paraId="083D4BB4" w14:textId="77777777" w:rsidR="00084856" w:rsidRDefault="00084856" w:rsidP="00CC4B75">
            <w:pPr>
              <w:rPr>
                <w:lang w:eastAsia="zh-CN"/>
              </w:rPr>
            </w:pPr>
            <w:r>
              <w:rPr>
                <w:lang w:eastAsia="zh-CN"/>
              </w:rPr>
              <w:t>Nokia, NSB</w:t>
            </w:r>
          </w:p>
        </w:tc>
        <w:tc>
          <w:tcPr>
            <w:tcW w:w="7242" w:type="dxa"/>
          </w:tcPr>
          <w:p w14:paraId="1F2E71F3" w14:textId="77777777" w:rsidR="00084856" w:rsidRDefault="00084856" w:rsidP="00CC4B75">
            <w:pPr>
              <w:rPr>
                <w:lang w:eastAsia="zh-CN"/>
              </w:rPr>
            </w:pPr>
            <w:r>
              <w:rPr>
                <w:lang w:eastAsia="zh-CN"/>
              </w:rPr>
              <w:t>OK to discuss this issue; but the wording in the FL suggestion with supporting all cases of OLPC “as the starting point” seems to almost pre-determine the outcome of the discussion.</w:t>
            </w:r>
          </w:p>
          <w:p w14:paraId="328DEA98" w14:textId="0A654D58" w:rsidR="005461C9" w:rsidRPr="005461C9" w:rsidRDefault="005461C9" w:rsidP="00CC4B75">
            <w:pPr>
              <w:rPr>
                <w:color w:val="FF0000"/>
                <w:lang w:eastAsia="zh-CN"/>
              </w:rPr>
            </w:pPr>
            <w:r>
              <w:rPr>
                <w:color w:val="FF0000"/>
                <w:lang w:eastAsia="zh-CN"/>
              </w:rPr>
              <w:t>FL’s response: fair comment. First bullet point language was modified to be neutral</w:t>
            </w:r>
          </w:p>
        </w:tc>
      </w:tr>
      <w:tr w:rsidR="0029571C" w14:paraId="4A29E3AB" w14:textId="77777777" w:rsidTr="00084856">
        <w:tc>
          <w:tcPr>
            <w:tcW w:w="2065" w:type="dxa"/>
          </w:tcPr>
          <w:p w14:paraId="4C5A9C09" w14:textId="77777777" w:rsidR="0029571C" w:rsidRDefault="0029571C" w:rsidP="00CC4B75">
            <w:pPr>
              <w:rPr>
                <w:lang w:eastAsia="zh-CN"/>
              </w:rPr>
            </w:pPr>
            <w:r>
              <w:rPr>
                <w:lang w:eastAsia="zh-CN"/>
              </w:rPr>
              <w:t>Ericsson</w:t>
            </w:r>
          </w:p>
        </w:tc>
        <w:tc>
          <w:tcPr>
            <w:tcW w:w="7242" w:type="dxa"/>
          </w:tcPr>
          <w:p w14:paraId="4B20F37D" w14:textId="77777777" w:rsidR="0029571C" w:rsidRDefault="0029571C" w:rsidP="00CC4B75">
            <w:pPr>
              <w:rPr>
                <w:lang w:eastAsia="zh-CN"/>
              </w:rPr>
            </w:pPr>
            <w:r>
              <w:rPr>
                <w:lang w:eastAsia="zh-CN"/>
              </w:rPr>
              <w:t>Agree with FL proposal</w:t>
            </w:r>
          </w:p>
        </w:tc>
      </w:tr>
      <w:tr w:rsidR="006F5273" w14:paraId="121FDE3A" w14:textId="77777777" w:rsidTr="00084856">
        <w:tc>
          <w:tcPr>
            <w:tcW w:w="2065" w:type="dxa"/>
          </w:tcPr>
          <w:p w14:paraId="5E11F30E" w14:textId="24F10B49" w:rsidR="006F5273" w:rsidRDefault="006F5273" w:rsidP="00CC4B75">
            <w:pPr>
              <w:rPr>
                <w:lang w:eastAsia="zh-CN"/>
              </w:rPr>
            </w:pPr>
            <w:r>
              <w:rPr>
                <w:lang w:eastAsia="zh-CN"/>
              </w:rPr>
              <w:t>OPPO</w:t>
            </w:r>
          </w:p>
        </w:tc>
        <w:tc>
          <w:tcPr>
            <w:tcW w:w="7242" w:type="dxa"/>
          </w:tcPr>
          <w:p w14:paraId="3995689E" w14:textId="6B54E489" w:rsidR="006F5273" w:rsidRDefault="006F5273" w:rsidP="00CC4B75">
            <w:r>
              <w:rPr>
                <w:lang w:eastAsia="zh-CN"/>
              </w:rPr>
              <w:t xml:space="preserve">Regarding FL’s suggestion, </w:t>
            </w:r>
            <w:r>
              <w:t>it is mentioned that the intended OLPC is for the shared carrier case, which in our understanding is co-channel operation between NR Uu and LTE SL. But in the 3 sub-bullets, it is mentioned that “</w:t>
            </w:r>
            <w:r>
              <w:rPr>
                <w:b/>
                <w:bCs/>
                <w:i/>
                <w:iCs/>
              </w:rPr>
              <w:t>NR Uu and LTE SL on the same band</w:t>
            </w:r>
            <w:r>
              <w:t>”, for which in our understanding could be co-channel operation or they are separate carriers (e.g. adjacent carriers) but within the same band. Could the FL please first clarify which specific scenario is intended for discussion?</w:t>
            </w:r>
          </w:p>
          <w:p w14:paraId="32D0451F" w14:textId="72582B9C" w:rsidR="005461C9" w:rsidRPr="005461C9" w:rsidRDefault="005461C9" w:rsidP="00CC4B75">
            <w:pPr>
              <w:rPr>
                <w:color w:val="FF0000"/>
              </w:rPr>
            </w:pPr>
            <w:r w:rsidRPr="005461C9">
              <w:rPr>
                <w:color w:val="FF0000"/>
              </w:rPr>
              <w:t>FL’s response: see response to Huawei</w:t>
            </w:r>
          </w:p>
          <w:p w14:paraId="4E3CCD20" w14:textId="77777777" w:rsidR="006F5273" w:rsidRDefault="006F5273" w:rsidP="00CC4B75">
            <w:r>
              <w:t>Overall, w</w:t>
            </w:r>
            <w:r w:rsidRPr="006F5273">
              <w:t xml:space="preserve">e </w:t>
            </w:r>
            <w:r>
              <w:t>do not agree</w:t>
            </w:r>
            <w:r w:rsidRPr="006F5273">
              <w:t xml:space="preserve"> to discuss th</w:t>
            </w:r>
            <w:r>
              <w:t>is issue 1</w:t>
            </w:r>
            <w:r w:rsidRPr="006F5273">
              <w:t xml:space="preserve"> </w:t>
            </w:r>
            <w:r>
              <w:t>in general</w:t>
            </w:r>
            <w:r w:rsidRPr="006F5273">
              <w:t>, as the</w:t>
            </w:r>
            <w:r>
              <w:t xml:space="preserve"> described operation scenarios</w:t>
            </w:r>
            <w:r w:rsidRPr="006F5273">
              <w:t xml:space="preserve"> have either already been explicitly ruled out by RAN1 </w:t>
            </w:r>
            <w:r>
              <w:t>for</w:t>
            </w:r>
            <w:r w:rsidRPr="006F5273">
              <w:t xml:space="preserve"> Rel-16 </w:t>
            </w:r>
            <w:r>
              <w:t xml:space="preserve">(R1-1911720) </w:t>
            </w:r>
            <w:r w:rsidRPr="006F5273">
              <w:t>or unrealistic by nature in our view. Furthermore, these scenarios / use cases are not justified or even out of scope of this WI. And even if they are justified later-on, other technical aspects more than just power control will need to be discussed together and supported in RAN1/2/4 in order to enable these scenarios. Therefore, it is actually pre-mature to discuss this power control at this stage. Lastly, it is also misleading and untrue to say these OLPC schemes are already supported in LTE</w:t>
            </w:r>
            <w:r>
              <w:t xml:space="preserve"> for these scenarios</w:t>
            </w:r>
            <w:r w:rsidRPr="006F5273">
              <w:t>.</w:t>
            </w:r>
          </w:p>
          <w:p w14:paraId="6D3A1B06" w14:textId="20D01341" w:rsidR="00C120D8" w:rsidRPr="0082320B" w:rsidRDefault="005461C9" w:rsidP="00CC4B75">
            <w:pPr>
              <w:rPr>
                <w:color w:val="FF0000"/>
              </w:rPr>
            </w:pPr>
            <w:r w:rsidRPr="0082320B">
              <w:rPr>
                <w:color w:val="FF0000"/>
              </w:rPr>
              <w:t>FL’s response:</w:t>
            </w:r>
            <w:r w:rsidR="0082320B" w:rsidRPr="0082320B">
              <w:rPr>
                <w:color w:val="FF0000"/>
              </w:rPr>
              <w:t xml:space="preserve"> </w:t>
            </w:r>
            <w:r w:rsidR="0082320B" w:rsidRPr="0082320B">
              <w:rPr>
                <w:color w:val="FF0000"/>
              </w:rPr>
              <w:t>At this stage, the goal of the proposal is to make sure that we do not have to come back and solve this issue later, should RAN4 decide to support a shared carrier case</w:t>
            </w:r>
            <w:r w:rsidR="0082320B" w:rsidRPr="0082320B">
              <w:rPr>
                <w:color w:val="FF0000"/>
              </w:rPr>
              <w:t>, but there is no appetite to do extensive work on the shared carrier</w:t>
            </w:r>
            <w:r w:rsidR="0082320B" w:rsidRPr="0082320B">
              <w:rPr>
                <w:color w:val="FF0000"/>
              </w:rPr>
              <w:t>.</w:t>
            </w:r>
            <w:r w:rsidRPr="0082320B">
              <w:rPr>
                <w:color w:val="FF0000"/>
              </w:rPr>
              <w:t xml:space="preserve"> </w:t>
            </w:r>
            <w:r w:rsidR="00C120D8" w:rsidRPr="0082320B">
              <w:rPr>
                <w:color w:val="FF0000"/>
              </w:rPr>
              <w:t xml:space="preserve">My understanding of R1-1911720 </w:t>
            </w:r>
            <w:r w:rsidR="009846CB" w:rsidRPr="0082320B">
              <w:rPr>
                <w:color w:val="FF0000"/>
              </w:rPr>
              <w:t xml:space="preserve">was a little bit narrower than yours: assuming you are referring to Q3, the question was explicitly asked for </w:t>
            </w:r>
            <w:r w:rsidR="009846CB" w:rsidRPr="0082320B">
              <w:rPr>
                <w:b/>
                <w:bCs/>
                <w:color w:val="FF0000"/>
              </w:rPr>
              <w:t>LTE-UL/NR-SL and LTE-SL/NR-UL prioritization</w:t>
            </w:r>
            <w:r w:rsidR="009846CB" w:rsidRPr="0082320B">
              <w:rPr>
                <w:color w:val="FF0000"/>
              </w:rPr>
              <w:t xml:space="preserve">, and in my view, the response can only be read within the context of prioritization. </w:t>
            </w:r>
          </w:p>
          <w:p w14:paraId="19B5F26A" w14:textId="0BD837CA" w:rsidR="0082320B" w:rsidRPr="0082320B" w:rsidRDefault="0082320B" w:rsidP="00CC4B75">
            <w:pPr>
              <w:rPr>
                <w:color w:val="FF0000"/>
              </w:rPr>
            </w:pPr>
            <w:r w:rsidRPr="0082320B">
              <w:rPr>
                <w:color w:val="FF0000"/>
              </w:rPr>
              <w:t xml:space="preserve">Could you also clarify what aspects other than power control would need to be addressed? </w:t>
            </w:r>
            <w:r>
              <w:rPr>
                <w:color w:val="FF0000"/>
              </w:rPr>
              <w:t>In any case, to limit the scope, would OPPO be okay with a note such as “For the shared carrier case, in Rel-16, RAN1 will not address any aspect other than power control’?”</w:t>
            </w:r>
          </w:p>
          <w:p w14:paraId="71A64131" w14:textId="1366E3B4" w:rsidR="009846CB" w:rsidRDefault="009846CB" w:rsidP="00CC4B75"/>
        </w:tc>
      </w:tr>
      <w:tr w:rsidR="007D222B" w14:paraId="2917FD25" w14:textId="77777777" w:rsidTr="00084856">
        <w:tc>
          <w:tcPr>
            <w:tcW w:w="2065" w:type="dxa"/>
          </w:tcPr>
          <w:p w14:paraId="79801013" w14:textId="70996480" w:rsidR="007D222B" w:rsidRPr="007D222B" w:rsidRDefault="007D222B" w:rsidP="00CC4B75">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7242" w:type="dxa"/>
          </w:tcPr>
          <w:p w14:paraId="370DDC02" w14:textId="7E3C0B28" w:rsidR="008B51EA" w:rsidRPr="00AF3543" w:rsidRDefault="008B51EA" w:rsidP="008B51EA">
            <w:pPr>
              <w:rPr>
                <w:lang w:eastAsia="zh-CN"/>
              </w:rPr>
            </w:pPr>
            <w:r w:rsidRPr="00AF3543">
              <w:rPr>
                <w:lang w:eastAsia="zh-CN"/>
              </w:rPr>
              <w:t>Assuming that the following scenarios will be also discussed, we are okay to have an email discussion for this issue:</w:t>
            </w:r>
          </w:p>
          <w:p w14:paraId="74AC757D" w14:textId="08901E17" w:rsidR="008B51EA" w:rsidRPr="00AF3543" w:rsidRDefault="008B51EA" w:rsidP="008B51EA">
            <w:pPr>
              <w:pStyle w:val="ListParagraph"/>
              <w:numPr>
                <w:ilvl w:val="0"/>
                <w:numId w:val="21"/>
              </w:numPr>
              <w:rPr>
                <w:rFonts w:ascii="Times New Roman" w:hAnsi="Times New Roman"/>
                <w:lang w:eastAsia="zh-CN"/>
              </w:rPr>
            </w:pPr>
            <w:r w:rsidRPr="00AF3543">
              <w:rPr>
                <w:rFonts w:ascii="Times New Roman" w:eastAsia="Malgun Gothic" w:hAnsi="Times New Roman"/>
                <w:lang w:eastAsia="ko-KR"/>
              </w:rPr>
              <w:t>LTE SL scheduled by NR Uu is performed in ITS dedicated carrier</w:t>
            </w:r>
          </w:p>
          <w:p w14:paraId="40F599BF" w14:textId="4D5E0303" w:rsidR="008B51EA" w:rsidRPr="00AF3543" w:rsidRDefault="00AF3543" w:rsidP="00AF3543">
            <w:pPr>
              <w:pStyle w:val="ListParagraph"/>
              <w:numPr>
                <w:ilvl w:val="0"/>
                <w:numId w:val="21"/>
              </w:numPr>
              <w:rPr>
                <w:rFonts w:ascii="Times New Roman" w:hAnsi="Times New Roman"/>
                <w:lang w:eastAsia="zh-CN"/>
              </w:rPr>
            </w:pPr>
            <w:r w:rsidRPr="00AF3543">
              <w:rPr>
                <w:rFonts w:ascii="Times New Roman" w:eastAsia="Malgun Gothic" w:hAnsi="Times New Roman"/>
                <w:lang w:eastAsia="ko-KR"/>
              </w:rPr>
              <w:t xml:space="preserve">LTE </w:t>
            </w:r>
            <w:r>
              <w:rPr>
                <w:rFonts w:ascii="Times New Roman" w:eastAsia="Malgun Gothic" w:hAnsi="Times New Roman"/>
                <w:lang w:eastAsia="ko-KR"/>
              </w:rPr>
              <w:t>SL Mode 4 configured by NR Uu is performed in LTE licensed carrier and UE have eNB as serving/camping cell for that carrier</w:t>
            </w:r>
          </w:p>
        </w:tc>
      </w:tr>
    </w:tbl>
    <w:p w14:paraId="440FE81E" w14:textId="17242FF4" w:rsidR="008D2659" w:rsidRDefault="008D2659"/>
    <w:p w14:paraId="3148AE4D" w14:textId="77777777" w:rsidR="008D2659" w:rsidRDefault="00E229A6">
      <w:pPr>
        <w:pStyle w:val="Heading2"/>
      </w:pPr>
      <w:r>
        <w:t>Issue 2: SL index of DCI field</w:t>
      </w:r>
    </w:p>
    <w:p w14:paraId="4C538CEC" w14:textId="77777777" w:rsidR="008D2659" w:rsidRDefault="00E229A6">
      <w:r>
        <w:t>This issue is brought up in [1] and [4]. SL index is listed in DCI format 3_1:</w:t>
      </w:r>
    </w:p>
    <w:p w14:paraId="3C52287B" w14:textId="77777777" w:rsidR="008D2659" w:rsidRDefault="00E229A6">
      <w:pPr>
        <w:spacing w:after="180"/>
        <w:ind w:left="568" w:hanging="284"/>
        <w:rPr>
          <w:sz w:val="20"/>
          <w:szCs w:val="20"/>
        </w:rPr>
      </w:pPr>
      <w:r>
        <w:rPr>
          <w:sz w:val="20"/>
          <w:szCs w:val="20"/>
        </w:rPr>
        <w:t>-</w:t>
      </w:r>
      <w:r>
        <w:rPr>
          <w:sz w:val="20"/>
          <w:szCs w:val="20"/>
        </w:rPr>
        <w:tab/>
        <w:t>SL index – 2 bits as defined in 5.3.3.1.9A of [11, TS 36.212]</w:t>
      </w:r>
    </w:p>
    <w:p w14:paraId="36E7BBFE" w14:textId="77777777" w:rsidR="008D2659" w:rsidRDefault="00E229A6">
      <w:pPr>
        <w:rPr>
          <w:lang w:eastAsia="zh-CN"/>
        </w:rPr>
      </w:pPr>
      <w:r>
        <w:rPr>
          <w:lang w:eastAsia="zh-CN"/>
        </w:rPr>
        <w:t>TS 36.212 in turn specifies the following for  “SL index”:</w:t>
      </w:r>
    </w:p>
    <w:p w14:paraId="7323D9C9" w14:textId="77777777" w:rsidR="008D2659" w:rsidRDefault="00E229A6">
      <w:pPr>
        <w:spacing w:after="180"/>
        <w:ind w:left="568" w:hanging="284"/>
        <w:rPr>
          <w:rFonts w:eastAsia="Times New Roman"/>
          <w:sz w:val="20"/>
          <w:szCs w:val="20"/>
        </w:rPr>
      </w:pPr>
      <w:r>
        <w:rPr>
          <w:rFonts w:eastAsia="Times New Roman"/>
          <w:sz w:val="20"/>
          <w:szCs w:val="20"/>
        </w:rPr>
        <w:t>-</w:t>
      </w:r>
      <w:r>
        <w:rPr>
          <w:rFonts w:eastAsia="Times New Roman"/>
          <w:sz w:val="20"/>
          <w:szCs w:val="20"/>
        </w:rPr>
        <w:tab/>
        <w:t xml:space="preserve">SL index – 2 bits as defined in clause </w:t>
      </w:r>
      <w:r>
        <w:rPr>
          <w:rFonts w:eastAsia="Times New Roman" w:hint="eastAsia"/>
          <w:sz w:val="20"/>
          <w:szCs w:val="20"/>
          <w:lang w:eastAsia="zh-CN"/>
        </w:rPr>
        <w:t>14.2.1</w:t>
      </w:r>
      <w:r>
        <w:rPr>
          <w:rFonts w:eastAsia="Times New Roman"/>
          <w:sz w:val="20"/>
          <w:szCs w:val="20"/>
        </w:rPr>
        <w:t xml:space="preserve"> of [3] (this field </w:t>
      </w:r>
      <w:r>
        <w:rPr>
          <w:rFonts w:eastAsia="Times New Roman" w:hint="eastAsia"/>
          <w:sz w:val="20"/>
          <w:szCs w:val="20"/>
          <w:lang w:eastAsia="ko-KR"/>
        </w:rPr>
        <w:t xml:space="preserve">is present only for </w:t>
      </w:r>
      <w:r>
        <w:rPr>
          <w:rFonts w:eastAsia="Times New Roman"/>
          <w:sz w:val="20"/>
          <w:szCs w:val="20"/>
          <w:lang w:eastAsia="ko-KR"/>
        </w:rPr>
        <w:t xml:space="preserve">cases with TDD </w:t>
      </w:r>
      <w:r>
        <w:rPr>
          <w:rFonts w:eastAsia="Times New Roman" w:hint="eastAsia"/>
          <w:sz w:val="20"/>
          <w:szCs w:val="20"/>
          <w:lang w:eastAsia="ko-KR"/>
        </w:rPr>
        <w:t xml:space="preserve">operation with uplink-downlink </w:t>
      </w:r>
      <w:r>
        <w:rPr>
          <w:rFonts w:eastAsia="Times New Roman"/>
          <w:sz w:val="20"/>
          <w:szCs w:val="20"/>
          <w:lang w:eastAsia="ko-KR"/>
        </w:rPr>
        <w:t>configuration</w:t>
      </w:r>
      <w:r>
        <w:rPr>
          <w:rFonts w:eastAsia="Times New Roman" w:hint="eastAsia"/>
          <w:sz w:val="20"/>
          <w:szCs w:val="20"/>
          <w:lang w:eastAsia="ko-KR"/>
        </w:rPr>
        <w:t xml:space="preserve"> 0</w:t>
      </w:r>
      <w:r>
        <w:rPr>
          <w:rFonts w:eastAsia="Times New Roman" w:hint="eastAsia"/>
          <w:sz w:val="20"/>
          <w:szCs w:val="20"/>
          <w:lang w:eastAsia="zh-CN"/>
        </w:rPr>
        <w:t>-6</w:t>
      </w:r>
      <w:r>
        <w:rPr>
          <w:rFonts w:eastAsia="Times New Roman" w:hint="eastAsia"/>
          <w:sz w:val="20"/>
          <w:szCs w:val="20"/>
          <w:lang w:eastAsia="ko-KR"/>
        </w:rPr>
        <w:t>)</w:t>
      </w:r>
      <w:r>
        <w:rPr>
          <w:rFonts w:eastAsia="Times New Roman"/>
          <w:sz w:val="20"/>
          <w:szCs w:val="20"/>
          <w:lang w:eastAsia="ko-KR"/>
        </w:rPr>
        <w:t>.</w:t>
      </w:r>
    </w:p>
    <w:p w14:paraId="4166DE0B" w14:textId="77777777" w:rsidR="008D2659" w:rsidRDefault="00E229A6">
      <w:r>
        <w:t>This brings the question of whether SL index is always present or only for case with TDD configurations 0-6.</w:t>
      </w:r>
    </w:p>
    <w:p w14:paraId="226126BD" w14:textId="77777777" w:rsidR="008D2659" w:rsidRDefault="00E229A6">
      <w:r>
        <w:t>Previous agreements make it clear that SL index is not always present. At RAN1#97, the following was agreed:</w:t>
      </w:r>
    </w:p>
    <w:p w14:paraId="0417D2DE" w14:textId="77777777" w:rsidR="008D2659" w:rsidRDefault="00E229A6">
      <w:pPr>
        <w:pStyle w:val="ListParagraph"/>
        <w:numPr>
          <w:ilvl w:val="0"/>
          <w:numId w:val="9"/>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21013696"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Support of LTE PC5 scheduling by NR Uu (mode 3-like )</w:t>
      </w:r>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4697EB37"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4D2764D6" w14:textId="77777777" w:rsidR="008D2659" w:rsidRDefault="00E229A6">
      <w:r>
        <w:t>Given that the DCI 5A does not always contain the SL index, the same applies for DCI 3_1. Furthermore, at RAN1#100b, the following was agreed:</w:t>
      </w:r>
    </w:p>
    <w:p w14:paraId="7B5446FF" w14:textId="77777777" w:rsidR="008D2659" w:rsidRDefault="00E229A6">
      <w:pPr>
        <w:pStyle w:val="ListParagraph"/>
        <w:numPr>
          <w:ilvl w:val="0"/>
          <w:numId w:val="9"/>
        </w:numPr>
        <w:spacing w:after="0"/>
        <w:rPr>
          <w:i/>
          <w:iCs/>
          <w:lang w:eastAsia="en-GB"/>
        </w:rPr>
      </w:pPr>
      <w:r>
        <w:rPr>
          <w:i/>
          <w:iCs/>
          <w:szCs w:val="20"/>
        </w:rPr>
        <w:t xml:space="preserve">For NR Uu scheduling LTE sidelink, the subframe of the first sidelink transmission is the first SL subframe of the corresponding resource pool that starts not earlier than </w:t>
      </w:r>
      <w:r>
        <w:rPr>
          <w:noProof/>
          <w:lang w:val="en-US" w:eastAsia="ko-KR"/>
        </w:rPr>
        <w:drawing>
          <wp:inline distT="0" distB="0" distL="0" distR="0" wp14:anchorId="2526F78E" wp14:editId="62F3BBD4">
            <wp:extent cx="2095500" cy="260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w:t>
      </w:r>
      <w:r>
        <w:rPr>
          <w:i/>
          <w:iCs/>
          <w:szCs w:val="20"/>
          <w:highlight w:val="yellow"/>
        </w:rPr>
        <w:t>1 if SL index is present</w:t>
      </w:r>
      <w:r>
        <w:rPr>
          <w:i/>
          <w:iCs/>
          <w:szCs w:val="20"/>
        </w:rPr>
        <w:t>, otherwise m=0.</w:t>
      </w:r>
    </w:p>
    <w:p w14:paraId="6B349BFF" w14:textId="77777777" w:rsidR="008D2659" w:rsidRDefault="00E229A6">
      <w:r>
        <w:t>Companies have different views on whether a spec change is needed to capture the fact that SL index is not always present. Therefore, RAN1 should discuss if a TP is necessary.</w:t>
      </w:r>
    </w:p>
    <w:p w14:paraId="5C516D1C" w14:textId="77777777" w:rsidR="008D2659" w:rsidRDefault="00E229A6">
      <w:pPr>
        <w:rPr>
          <w:b/>
          <w:bCs/>
        </w:rPr>
      </w:pPr>
      <w:r>
        <w:rPr>
          <w:b/>
          <w:bCs/>
        </w:rPr>
        <w:t xml:space="preserve">FL’s proposal: </w:t>
      </w:r>
    </w:p>
    <w:p w14:paraId="3AD3C588" w14:textId="45E03534" w:rsidR="008D2659" w:rsidRDefault="00B61925">
      <w:pPr>
        <w:numPr>
          <w:ilvl w:val="0"/>
          <w:numId w:val="10"/>
        </w:numPr>
        <w:rPr>
          <w:rFonts w:eastAsia="Times New Roman"/>
          <w:i/>
          <w:iCs/>
          <w:color w:val="000000"/>
        </w:rPr>
      </w:pPr>
      <w:bookmarkStart w:id="21" w:name="_Hlk40956022"/>
      <w:ins w:id="22" w:author="Philippe Sartori" w:date="2020-05-21T12:22:00Z">
        <w:r>
          <w:rPr>
            <w:rFonts w:eastAsia="Times New Roman"/>
            <w:b/>
            <w:bCs/>
            <w:i/>
            <w:iCs/>
            <w:color w:val="000000"/>
          </w:rPr>
          <w:t>Have an email discussion to d</w:t>
        </w:r>
      </w:ins>
      <w:del w:id="23" w:author="Philippe Sartori" w:date="2020-05-21T12:22:00Z">
        <w:r w:rsidR="00E229A6" w:rsidDel="00B61925">
          <w:rPr>
            <w:rFonts w:eastAsia="Times New Roman"/>
            <w:b/>
            <w:bCs/>
            <w:i/>
            <w:iCs/>
            <w:color w:val="000000"/>
          </w:rPr>
          <w:delText>D</w:delText>
        </w:r>
      </w:del>
      <w:r w:rsidR="00E229A6">
        <w:rPr>
          <w:rFonts w:eastAsia="Times New Roman"/>
          <w:b/>
          <w:bCs/>
          <w:i/>
          <w:iCs/>
          <w:color w:val="000000"/>
        </w:rPr>
        <w:t xml:space="preserve">iscuss </w:t>
      </w:r>
      <w:del w:id="24" w:author="Philippe Sartori" w:date="2020-05-21T12:17:00Z">
        <w:r w:rsidR="00E229A6" w:rsidDel="0031639A">
          <w:rPr>
            <w:rFonts w:eastAsia="Times New Roman"/>
            <w:b/>
            <w:bCs/>
            <w:i/>
            <w:iCs/>
            <w:color w:val="000000"/>
          </w:rPr>
          <w:delText>whether a TP is needed to capture</w:delText>
        </w:r>
      </w:del>
      <w:ins w:id="25" w:author="Philippe Sartori" w:date="2020-05-21T12:17:00Z">
        <w:r w:rsidR="0031639A">
          <w:rPr>
            <w:rFonts w:eastAsia="Times New Roman"/>
            <w:b/>
            <w:bCs/>
            <w:i/>
            <w:iCs/>
            <w:color w:val="000000"/>
          </w:rPr>
          <w:t>how to capture (e.g., whether in a TP or conclusion in the Chairman’s notes)</w:t>
        </w:r>
      </w:ins>
      <w:r w:rsidR="00E229A6">
        <w:rPr>
          <w:rFonts w:eastAsia="Times New Roman"/>
          <w:b/>
          <w:bCs/>
          <w:i/>
          <w:iCs/>
          <w:color w:val="000000"/>
        </w:rPr>
        <w:t xml:space="preserve"> that SL index is present in DCI 3_1</w:t>
      </w:r>
      <w:ins w:id="26" w:author="Philippe Sartori" w:date="2020-05-21T12:22:00Z">
        <w:r>
          <w:rPr>
            <w:rFonts w:eastAsia="Times New Roman"/>
            <w:b/>
            <w:bCs/>
            <w:i/>
            <w:iCs/>
            <w:color w:val="000000"/>
          </w:rPr>
          <w:t xml:space="preserve"> </w:t>
        </w:r>
      </w:ins>
      <w:r w:rsidR="00E229A6">
        <w:rPr>
          <w:rFonts w:eastAsia="Times New Roman"/>
          <w:b/>
          <w:bCs/>
          <w:i/>
          <w:iCs/>
          <w:color w:val="000000"/>
        </w:rPr>
        <w:t>only for cases with TDD configurations 0-6</w:t>
      </w:r>
    </w:p>
    <w:bookmarkEnd w:id="21"/>
    <w:p w14:paraId="694DBDA2" w14:textId="77777777" w:rsidR="008D2659" w:rsidRDefault="008D2659">
      <w:pPr>
        <w:ind w:left="720"/>
        <w:rPr>
          <w:rFonts w:eastAsia="Times New Roman"/>
          <w:i/>
          <w:iCs/>
          <w:color w:val="000000"/>
        </w:rPr>
      </w:pPr>
    </w:p>
    <w:tbl>
      <w:tblPr>
        <w:tblStyle w:val="TableGrid"/>
        <w:tblW w:w="9307" w:type="dxa"/>
        <w:tblLayout w:type="fixed"/>
        <w:tblLook w:val="04A0" w:firstRow="1" w:lastRow="0" w:firstColumn="1" w:lastColumn="0" w:noHBand="0" w:noVBand="1"/>
      </w:tblPr>
      <w:tblGrid>
        <w:gridCol w:w="2065"/>
        <w:gridCol w:w="7242"/>
      </w:tblGrid>
      <w:tr w:rsidR="008D2659" w14:paraId="750F594A" w14:textId="77777777" w:rsidTr="00F51D0F">
        <w:tc>
          <w:tcPr>
            <w:tcW w:w="2065" w:type="dxa"/>
          </w:tcPr>
          <w:p w14:paraId="6670D7C6" w14:textId="77777777" w:rsidR="008D2659" w:rsidRDefault="00E229A6">
            <w:r>
              <w:t>Company</w:t>
            </w:r>
          </w:p>
        </w:tc>
        <w:tc>
          <w:tcPr>
            <w:tcW w:w="7242" w:type="dxa"/>
          </w:tcPr>
          <w:p w14:paraId="1212C4AA" w14:textId="77777777" w:rsidR="008D2659" w:rsidRDefault="00E229A6">
            <w:r>
              <w:t>View</w:t>
            </w:r>
          </w:p>
        </w:tc>
      </w:tr>
      <w:tr w:rsidR="008D2659" w14:paraId="3A4BCC48" w14:textId="77777777" w:rsidTr="00F51D0F">
        <w:tc>
          <w:tcPr>
            <w:tcW w:w="2065" w:type="dxa"/>
          </w:tcPr>
          <w:p w14:paraId="68E15A2D" w14:textId="77777777" w:rsidR="008D2659" w:rsidRDefault="00E229A6">
            <w:r>
              <w:t>Futurewei</w:t>
            </w:r>
          </w:p>
        </w:tc>
        <w:tc>
          <w:tcPr>
            <w:tcW w:w="7242" w:type="dxa"/>
          </w:tcPr>
          <w:p w14:paraId="284D5893" w14:textId="77777777" w:rsidR="008D2659" w:rsidRDefault="00E229A6">
            <w:r>
              <w:t>We do not view the TP as indispensable, but are okay with a TP to explicitly capture when the SL index is present if the group is leaning that way.</w:t>
            </w:r>
          </w:p>
        </w:tc>
      </w:tr>
      <w:tr w:rsidR="008D2659" w14:paraId="76E8B6BB" w14:textId="77777777" w:rsidTr="00F51D0F">
        <w:tc>
          <w:tcPr>
            <w:tcW w:w="2065" w:type="dxa"/>
          </w:tcPr>
          <w:p w14:paraId="08E8A793" w14:textId="77777777" w:rsidR="008D2659" w:rsidRDefault="00E229A6">
            <w:r>
              <w:t>ZTE, Sanechips</w:t>
            </w:r>
          </w:p>
        </w:tc>
        <w:tc>
          <w:tcPr>
            <w:tcW w:w="7242" w:type="dxa"/>
          </w:tcPr>
          <w:p w14:paraId="60715578" w14:textId="77777777" w:rsidR="008D2659" w:rsidRDefault="00E229A6">
            <w:pPr>
              <w:rPr>
                <w:lang w:eastAsia="zh-CN"/>
              </w:rPr>
            </w:pPr>
            <w:r>
              <w:rPr>
                <w:rFonts w:hint="eastAsia"/>
                <w:lang w:eastAsia="zh-CN"/>
              </w:rPr>
              <w:t>We prefer to discuss this issue and explicitly capture the conclusion in a TP if a consensus is reached.</w:t>
            </w:r>
          </w:p>
        </w:tc>
      </w:tr>
      <w:tr w:rsidR="009415B3" w14:paraId="15F38453" w14:textId="77777777" w:rsidTr="0087130F">
        <w:tc>
          <w:tcPr>
            <w:tcW w:w="2065" w:type="dxa"/>
          </w:tcPr>
          <w:p w14:paraId="58B7117A" w14:textId="77777777" w:rsidR="009415B3" w:rsidRDefault="009415B3" w:rsidP="0087130F">
            <w:r>
              <w:t>vivo</w:t>
            </w:r>
          </w:p>
        </w:tc>
        <w:tc>
          <w:tcPr>
            <w:tcW w:w="7242" w:type="dxa"/>
          </w:tcPr>
          <w:p w14:paraId="022664BE" w14:textId="152280A9" w:rsidR="00B61925" w:rsidRDefault="009415B3" w:rsidP="0087130F">
            <w:r>
              <w:t>In our view issue 2 and 3 are quite similar and can be discussed together.</w:t>
            </w:r>
          </w:p>
        </w:tc>
      </w:tr>
      <w:tr w:rsidR="00F51D0F" w14:paraId="157930BE" w14:textId="77777777" w:rsidTr="00F51D0F">
        <w:tc>
          <w:tcPr>
            <w:tcW w:w="2065" w:type="dxa"/>
          </w:tcPr>
          <w:p w14:paraId="3A281994" w14:textId="77777777" w:rsidR="00F51D0F" w:rsidRDefault="009415B3" w:rsidP="00AC6B8C">
            <w:pPr>
              <w:rPr>
                <w:lang w:eastAsia="zh-CN"/>
              </w:rPr>
            </w:pPr>
            <w:r>
              <w:rPr>
                <w:rFonts w:hint="eastAsia"/>
                <w:lang w:eastAsia="zh-CN"/>
              </w:rPr>
              <w:t>CATT</w:t>
            </w:r>
          </w:p>
        </w:tc>
        <w:tc>
          <w:tcPr>
            <w:tcW w:w="7242" w:type="dxa"/>
          </w:tcPr>
          <w:p w14:paraId="2F6A20CD" w14:textId="77777777" w:rsidR="00F51D0F" w:rsidRDefault="004353EA" w:rsidP="00AC6B8C">
            <w:pPr>
              <w:rPr>
                <w:lang w:eastAsia="zh-CN"/>
              </w:rPr>
            </w:pPr>
            <w:r>
              <w:rPr>
                <w:lang w:eastAsia="zh-CN"/>
              </w:rPr>
              <w:t>T</w:t>
            </w:r>
            <w:r>
              <w:rPr>
                <w:rFonts w:hint="eastAsia"/>
                <w:lang w:eastAsia="zh-CN"/>
              </w:rPr>
              <w:t xml:space="preserve">he current spec seems clear to us. </w:t>
            </w:r>
            <w:r>
              <w:rPr>
                <w:lang w:eastAsia="zh-CN"/>
              </w:rPr>
              <w:t>T</w:t>
            </w:r>
            <w:r>
              <w:rPr>
                <w:rFonts w:hint="eastAsia"/>
                <w:lang w:eastAsia="zh-CN"/>
              </w:rPr>
              <w:t>here is no necessary to discuss this issue.</w:t>
            </w:r>
          </w:p>
        </w:tc>
      </w:tr>
      <w:tr w:rsidR="00084856" w14:paraId="638722E7" w14:textId="77777777" w:rsidTr="00F51D0F">
        <w:tc>
          <w:tcPr>
            <w:tcW w:w="2065" w:type="dxa"/>
          </w:tcPr>
          <w:p w14:paraId="654F9B73" w14:textId="77777777" w:rsidR="00084856" w:rsidRDefault="00084856" w:rsidP="00AC6B8C">
            <w:pPr>
              <w:rPr>
                <w:lang w:eastAsia="zh-CN"/>
              </w:rPr>
            </w:pPr>
            <w:r w:rsidRPr="00084856">
              <w:rPr>
                <w:lang w:eastAsia="zh-CN"/>
              </w:rPr>
              <w:t>Nokia, NSB</w:t>
            </w:r>
            <w:r w:rsidRPr="00084856">
              <w:rPr>
                <w:lang w:eastAsia="zh-CN"/>
              </w:rPr>
              <w:tab/>
            </w:r>
          </w:p>
        </w:tc>
        <w:tc>
          <w:tcPr>
            <w:tcW w:w="7242" w:type="dxa"/>
          </w:tcPr>
          <w:p w14:paraId="3A0B6DFC" w14:textId="77777777" w:rsidR="00084856" w:rsidRDefault="00084856" w:rsidP="00AC6B8C">
            <w:pPr>
              <w:rPr>
                <w:lang w:eastAsia="zh-CN"/>
              </w:rPr>
            </w:pPr>
            <w:r w:rsidRPr="00084856">
              <w:rPr>
                <w:lang w:eastAsia="zh-CN"/>
              </w:rPr>
              <w:t>Support to discuss this issue. We are fine to also include issue 3 in the same discussion, since for both issues the underlying potential ambiguity is whether the reference to 36.213 is only for the description of the field or for both description and presence condition of the field.</w:t>
            </w:r>
          </w:p>
        </w:tc>
      </w:tr>
    </w:tbl>
    <w:p w14:paraId="5252E743" w14:textId="77777777" w:rsidR="008D2659" w:rsidRDefault="008D2659" w:rsidP="00084856">
      <w:pPr>
        <w:tabs>
          <w:tab w:val="left" w:pos="720"/>
        </w:tabs>
        <w:ind w:left="360"/>
        <w:rPr>
          <w:rFonts w:eastAsia="Times New Roman"/>
          <w:i/>
          <w:iCs/>
          <w:color w:val="000000"/>
        </w:rPr>
      </w:pPr>
    </w:p>
    <w:p w14:paraId="517ECC08" w14:textId="77777777" w:rsidR="00084856" w:rsidRDefault="00084856" w:rsidP="00084856">
      <w:pPr>
        <w:tabs>
          <w:tab w:val="left" w:pos="720"/>
        </w:tabs>
        <w:ind w:left="360"/>
        <w:rPr>
          <w:rFonts w:eastAsia="Times New Roman"/>
          <w:i/>
          <w:iCs/>
          <w:color w:val="000000"/>
        </w:rPr>
      </w:pPr>
    </w:p>
    <w:p w14:paraId="08662ED1" w14:textId="77777777" w:rsidR="008D2659" w:rsidRDefault="00E229A6">
      <w:pPr>
        <w:pStyle w:val="Heading2"/>
      </w:pPr>
      <w:r>
        <w:t>Issue 3: SL SPS configuration index</w:t>
      </w:r>
    </w:p>
    <w:p w14:paraId="531ECE95" w14:textId="77777777" w:rsidR="008D2659" w:rsidRDefault="00E229A6">
      <w:pPr>
        <w:rPr>
          <w:rFonts w:eastAsia="DengXian"/>
          <w:szCs w:val="20"/>
          <w:lang w:eastAsia="zh-CN"/>
        </w:rPr>
      </w:pPr>
      <w:r>
        <w:t xml:space="preserve">This issue is listed in [2]. DCI format 3_1 refers to DCI format 5A for the fields </w:t>
      </w:r>
      <w:r>
        <w:rPr>
          <w:i/>
          <w:iCs/>
        </w:rPr>
        <w:t>SL SPS configuration index</w:t>
      </w:r>
      <w:r>
        <w:t xml:space="preserve"> and </w:t>
      </w:r>
      <w:r>
        <w:rPr>
          <w:i/>
          <w:iCs/>
        </w:rPr>
        <w:t>activation/release</w:t>
      </w:r>
      <w:r>
        <w:t xml:space="preserve">. In [2], it is stated that </w:t>
      </w:r>
      <w:r>
        <w:rPr>
          <w:rFonts w:eastAsia="DengXian"/>
          <w:szCs w:val="20"/>
          <w:lang w:eastAsia="zh-CN"/>
        </w:rPr>
        <w:t xml:space="preserve">“ clause 5.3.3.1.9A of DCI format 5A in which the SPS configuration index and activation/release indication exist only when an LTE V2X SPS RNTI (i.e., </w:t>
      </w:r>
      <w:r>
        <w:rPr>
          <w:szCs w:val="20"/>
          <w:lang w:eastAsia="ja-JP"/>
        </w:rPr>
        <w:t>SL-SPS-V-RNTI) is used to scramble to the DCI</w:t>
      </w:r>
      <w:r>
        <w:rPr>
          <w:rFonts w:eastAsia="DengXian"/>
          <w:szCs w:val="20"/>
          <w:lang w:eastAsia="zh-CN"/>
        </w:rPr>
        <w:t>. Consequently, these fields will be absent in DCI format 3_1 as there is no such RNTI specified in NR.”</w:t>
      </w:r>
    </w:p>
    <w:p w14:paraId="5FE80EFB" w14:textId="77777777" w:rsidR="008D2659" w:rsidRDefault="00E229A6">
      <w:r>
        <w:t>In the Feature Lead’s opinion, there is no ambiguity . The RNTI condition does not apply, we would not refer to the description there if the field was never included.</w:t>
      </w:r>
    </w:p>
    <w:p w14:paraId="64939FC1" w14:textId="77777777" w:rsidR="008D2659" w:rsidRDefault="00E229A6">
      <w:pPr>
        <w:rPr>
          <w:b/>
          <w:bCs/>
          <w:i/>
          <w:iCs/>
        </w:rPr>
      </w:pPr>
      <w:r>
        <w:rPr>
          <w:b/>
          <w:bCs/>
          <w:i/>
          <w:iCs/>
        </w:rPr>
        <w:t>FL’s proposal: This is not a critical issue. No action taken</w:t>
      </w:r>
    </w:p>
    <w:tbl>
      <w:tblPr>
        <w:tblStyle w:val="TableGrid"/>
        <w:tblW w:w="0" w:type="auto"/>
        <w:tblLook w:val="04A0" w:firstRow="1" w:lastRow="0" w:firstColumn="1" w:lastColumn="0" w:noHBand="0" w:noVBand="1"/>
      </w:tblPr>
      <w:tblGrid>
        <w:gridCol w:w="2065"/>
        <w:gridCol w:w="7242"/>
      </w:tblGrid>
      <w:tr w:rsidR="00F51D0F" w14:paraId="4FB3FF69" w14:textId="77777777" w:rsidTr="00AC6B8C">
        <w:tc>
          <w:tcPr>
            <w:tcW w:w="2065" w:type="dxa"/>
          </w:tcPr>
          <w:p w14:paraId="0E649086" w14:textId="77777777" w:rsidR="00F51D0F" w:rsidRDefault="00F51D0F" w:rsidP="00AC6B8C">
            <w:r>
              <w:t>Company</w:t>
            </w:r>
          </w:p>
        </w:tc>
        <w:tc>
          <w:tcPr>
            <w:tcW w:w="7242" w:type="dxa"/>
          </w:tcPr>
          <w:p w14:paraId="43091D40" w14:textId="77777777" w:rsidR="00F51D0F" w:rsidRDefault="00F51D0F" w:rsidP="00AC6B8C">
            <w:r>
              <w:t>View</w:t>
            </w:r>
          </w:p>
        </w:tc>
      </w:tr>
      <w:tr w:rsidR="00F51D0F" w14:paraId="1F325473" w14:textId="77777777" w:rsidTr="00AC6B8C">
        <w:tc>
          <w:tcPr>
            <w:tcW w:w="2065" w:type="dxa"/>
          </w:tcPr>
          <w:p w14:paraId="475A2CD8" w14:textId="77777777" w:rsidR="00F51D0F" w:rsidRDefault="00F51D0F" w:rsidP="00AC6B8C">
            <w:r>
              <w:t>vivo</w:t>
            </w:r>
          </w:p>
        </w:tc>
        <w:tc>
          <w:tcPr>
            <w:tcW w:w="7242" w:type="dxa"/>
          </w:tcPr>
          <w:p w14:paraId="307E27E5" w14:textId="77777777" w:rsidR="00F51D0F" w:rsidRDefault="00F51D0F" w:rsidP="00AC6B8C">
            <w:pPr>
              <w:rPr>
                <w:lang w:eastAsia="zh-CN"/>
              </w:rPr>
            </w:pPr>
            <w:r>
              <w:t>It is not clear to us why for the same DCI format 3_1, a description in LTE for “</w:t>
            </w:r>
            <w:r>
              <w:rPr>
                <w:lang w:eastAsia="zh-CN"/>
              </w:rPr>
              <w:t>SL index” is automatically applicable to NR, while another description in LTE for “SPS index and activation/release” are automatically not applicable to NR. If the RNTI condition is not applicable to NR, it should be clearly captured instead of leaving an incorrect reference.</w:t>
            </w:r>
          </w:p>
          <w:p w14:paraId="6977422B" w14:textId="72CD598D" w:rsidR="000A11ED" w:rsidRDefault="000A11ED" w:rsidP="00AC6B8C">
            <w:r w:rsidRPr="000A11ED">
              <w:rPr>
                <w:color w:val="FF0000"/>
              </w:rPr>
              <w:t>FL’ response: let see if other companies have the same view</w:t>
            </w:r>
            <w:bookmarkStart w:id="27" w:name="_GoBack"/>
            <w:bookmarkEnd w:id="27"/>
          </w:p>
        </w:tc>
      </w:tr>
    </w:tbl>
    <w:p w14:paraId="68DE77AC" w14:textId="77777777" w:rsidR="008D2659" w:rsidRDefault="008D2659"/>
    <w:p w14:paraId="39A1EEA8" w14:textId="77777777" w:rsidR="008D2659" w:rsidRDefault="00E229A6">
      <w:pPr>
        <w:pStyle w:val="Heading2"/>
      </w:pPr>
      <w:r>
        <w:t>Issue 4: Units for timing of the grant</w:t>
      </w:r>
    </w:p>
    <w:p w14:paraId="144D6F76" w14:textId="77777777" w:rsidR="008D2659" w:rsidRDefault="00E229A6">
      <w:r>
        <w:t xml:space="preserve">This issue is brought in [4]. In the formula: </w:t>
      </w:r>
      <w:r>
        <w:rPr>
          <w:i/>
          <w:iCs/>
          <w:noProof/>
          <w:lang w:eastAsia="ko-KR"/>
        </w:rPr>
        <w:drawing>
          <wp:inline distT="0" distB="0" distL="0" distR="0" wp14:anchorId="3B79AB87" wp14:editId="45B62904">
            <wp:extent cx="2095500" cy="2603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t>, ZTE argues that since Tc is defined in second, the formula should be expressed in seconds.</w:t>
      </w:r>
    </w:p>
    <w:p w14:paraId="79B9BFD4" w14:textId="77777777" w:rsidR="008D2659" w:rsidRDefault="00E229A6">
      <w:r>
        <w:t>This is not an essential correction since there is no ambiguity. It was agreed to be left up to the Editor as to whether to correct it</w:t>
      </w:r>
    </w:p>
    <w:p w14:paraId="66013088" w14:textId="77777777" w:rsidR="008D2659" w:rsidRDefault="00E229A6">
      <w:pPr>
        <w:rPr>
          <w:b/>
          <w:bCs/>
          <w:i/>
          <w:iCs/>
        </w:rPr>
      </w:pPr>
      <w:r>
        <w:rPr>
          <w:b/>
          <w:bCs/>
          <w:i/>
          <w:iCs/>
        </w:rPr>
        <w:t>FL’s suggestion: The change is left up to the TS38.213 Editor.</w:t>
      </w:r>
    </w:p>
    <w:p w14:paraId="56AFCFCF" w14:textId="77777777" w:rsidR="008D2659" w:rsidRDefault="008D2659">
      <w:pPr>
        <w:rPr>
          <w:b/>
          <w:bCs/>
          <w:i/>
          <w:iCs/>
        </w:rPr>
      </w:pPr>
    </w:p>
    <w:p w14:paraId="31C42273" w14:textId="77777777" w:rsidR="008D2659" w:rsidRDefault="00E229A6">
      <w:pPr>
        <w:pStyle w:val="Heading1"/>
      </w:pPr>
      <w:r>
        <w:t>Conclusion</w:t>
      </w:r>
    </w:p>
    <w:p w14:paraId="4C6A5EFB" w14:textId="77777777" w:rsidR="008D2659" w:rsidRDefault="00E229A6">
      <w:r>
        <w:t>Remaining issues on cross-RAT scheduling were listed and discussed.</w:t>
      </w:r>
    </w:p>
    <w:p w14:paraId="27CAAEC8" w14:textId="77777777" w:rsidR="008D2659" w:rsidRDefault="008D2659"/>
    <w:p w14:paraId="25A00234" w14:textId="77777777" w:rsidR="008D2659" w:rsidRDefault="00E229A6">
      <w:pPr>
        <w:pStyle w:val="Heading1"/>
      </w:pPr>
      <w:r>
        <w:t>Decisions at previous meetings</w:t>
      </w:r>
    </w:p>
    <w:p w14:paraId="06814CAD" w14:textId="77777777" w:rsidR="008D2659" w:rsidRDefault="00E229A6">
      <w:pPr>
        <w:pStyle w:val="Heading2"/>
      </w:pPr>
      <w:r>
        <w:t>RAN1#96</w:t>
      </w:r>
    </w:p>
    <w:p w14:paraId="29673CC6" w14:textId="77777777" w:rsidR="008D2659" w:rsidRDefault="00E229A6">
      <w:pPr>
        <w:rPr>
          <w:i/>
        </w:rPr>
      </w:pPr>
      <w:r>
        <w:rPr>
          <w:i/>
        </w:rPr>
        <w:t>Agreements:</w:t>
      </w:r>
    </w:p>
    <w:p w14:paraId="78934D0C" w14:textId="77777777" w:rsidR="008D2659" w:rsidRDefault="00E229A6">
      <w:pPr>
        <w:numPr>
          <w:ilvl w:val="0"/>
          <w:numId w:val="11"/>
        </w:numPr>
        <w:rPr>
          <w:i/>
        </w:rPr>
      </w:pPr>
      <w:r>
        <w:rPr>
          <w:i/>
        </w:rPr>
        <w:t>Scheduling by gNB using RRC for LTE sidelink scheduled mode is supported from RAN1 perspective under the premise that there is sufficient time for coordination between the NR and LTE modules. No DCI to activate/release</w:t>
      </w:r>
    </w:p>
    <w:p w14:paraId="45FFAC63" w14:textId="77777777" w:rsidR="008D2659" w:rsidRDefault="00E229A6">
      <w:pPr>
        <w:numPr>
          <w:ilvl w:val="1"/>
          <w:numId w:val="11"/>
        </w:numPr>
        <w:rPr>
          <w:i/>
        </w:rPr>
      </w:pPr>
      <w:r>
        <w:rPr>
          <w:i/>
        </w:rPr>
        <w:t xml:space="preserve">RRC message delivers the SPS grant configuration and releases the SPS configuration. </w:t>
      </w:r>
    </w:p>
    <w:p w14:paraId="7C852282" w14:textId="77777777" w:rsidR="008D2659" w:rsidRDefault="00E229A6">
      <w:pPr>
        <w:numPr>
          <w:ilvl w:val="1"/>
          <w:numId w:val="11"/>
        </w:numPr>
        <w:rPr>
          <w:i/>
        </w:rPr>
      </w:pPr>
      <w:r>
        <w:rPr>
          <w:i/>
        </w:rPr>
        <w:t>Support of this scheduling mode is subject to UE capability (may or may not have capability for both LTE &amp; NR)</w:t>
      </w:r>
    </w:p>
    <w:p w14:paraId="1A89DF8C" w14:textId="77777777" w:rsidR="008D2659" w:rsidRDefault="00E229A6">
      <w:pPr>
        <w:numPr>
          <w:ilvl w:val="1"/>
          <w:numId w:val="11"/>
        </w:numPr>
        <w:rPr>
          <w:i/>
        </w:rPr>
      </w:pPr>
      <w:r>
        <w:rPr>
          <w:i/>
        </w:rPr>
        <w:t>Note: some specification LTE change is needed to support the reception of a grant through RRC</w:t>
      </w:r>
    </w:p>
    <w:p w14:paraId="3651BD53" w14:textId="77777777" w:rsidR="008D2659" w:rsidRDefault="00E229A6">
      <w:pPr>
        <w:numPr>
          <w:ilvl w:val="2"/>
          <w:numId w:val="11"/>
        </w:numPr>
        <w:rPr>
          <w:i/>
        </w:rPr>
      </w:pPr>
      <w:r>
        <w:rPr>
          <w:i/>
        </w:rPr>
        <w:t>RRC message contains mode 3 grant content and timing</w:t>
      </w:r>
    </w:p>
    <w:p w14:paraId="78D8ED38" w14:textId="77777777" w:rsidR="008D2659" w:rsidRDefault="00E229A6">
      <w:pPr>
        <w:numPr>
          <w:ilvl w:val="2"/>
          <w:numId w:val="11"/>
        </w:numPr>
        <w:rPr>
          <w:i/>
        </w:rPr>
      </w:pPr>
      <w:r>
        <w:rPr>
          <w:i/>
        </w:rPr>
        <w:t>Up to the Editor to capture it as mode 3 or new LTE sidelink mode</w:t>
      </w:r>
    </w:p>
    <w:p w14:paraId="351175E8" w14:textId="77777777" w:rsidR="008D2659" w:rsidRDefault="00E229A6">
      <w:pPr>
        <w:numPr>
          <w:ilvl w:val="1"/>
          <w:numId w:val="11"/>
        </w:numPr>
        <w:rPr>
          <w:i/>
        </w:rPr>
      </w:pPr>
      <w:r>
        <w:rPr>
          <w:i/>
        </w:rPr>
        <w:t>No intention to have additional NR &amp; LTE specification change (other than those described above) for this function in Rel-16</w:t>
      </w:r>
    </w:p>
    <w:p w14:paraId="79E502CB" w14:textId="77777777" w:rsidR="008D2659" w:rsidRDefault="00E229A6">
      <w:pPr>
        <w:numPr>
          <w:ilvl w:val="0"/>
          <w:numId w:val="11"/>
        </w:numPr>
        <w:rPr>
          <w:i/>
        </w:rPr>
      </w:pPr>
      <w:r>
        <w:rPr>
          <w:i/>
        </w:rPr>
        <w:t>RAN1 studied the feasibility of SPS scheduling by gNB for LTE sidelink with DCI activation/release, but there is no consensus to support it</w:t>
      </w:r>
    </w:p>
    <w:p w14:paraId="61A92AD1" w14:textId="77777777" w:rsidR="008D2659" w:rsidRDefault="008D2659"/>
    <w:p w14:paraId="31DC848B" w14:textId="77777777" w:rsidR="008D2659" w:rsidRDefault="00E229A6">
      <w:pPr>
        <w:pStyle w:val="Heading2"/>
      </w:pPr>
      <w:r>
        <w:t>RAN1#96bis</w:t>
      </w:r>
    </w:p>
    <w:p w14:paraId="73D5A28F" w14:textId="77777777" w:rsidR="008D2659" w:rsidRDefault="00E229A6">
      <w:pPr>
        <w:rPr>
          <w:i/>
        </w:rPr>
      </w:pPr>
      <w:r>
        <w:rPr>
          <w:i/>
        </w:rPr>
        <w:t>Agreements:</w:t>
      </w:r>
    </w:p>
    <w:p w14:paraId="65CA2E86" w14:textId="77777777" w:rsidR="008D2659" w:rsidRDefault="00E229A6">
      <w:pPr>
        <w:rPr>
          <w:i/>
        </w:rPr>
      </w:pPr>
      <w:r>
        <w:rPr>
          <w:i/>
        </w:rPr>
        <w:t>Regarding RRC-based versus DCI-based activation/release of LTE sidelink SPS, RAN1 agrees to make the choice on the basis of at least:</w:t>
      </w:r>
    </w:p>
    <w:p w14:paraId="1867BE26" w14:textId="77777777" w:rsidR="008D2659" w:rsidRDefault="00E229A6">
      <w:pPr>
        <w:numPr>
          <w:ilvl w:val="0"/>
          <w:numId w:val="12"/>
        </w:numPr>
        <w:rPr>
          <w:i/>
        </w:rPr>
      </w:pPr>
      <w:r>
        <w:rPr>
          <w:i/>
        </w:rPr>
        <w:t>Spec impact</w:t>
      </w:r>
    </w:p>
    <w:p w14:paraId="5EF667C2" w14:textId="77777777" w:rsidR="008D2659" w:rsidRDefault="00E229A6">
      <w:pPr>
        <w:numPr>
          <w:ilvl w:val="0"/>
          <w:numId w:val="12"/>
        </w:numPr>
        <w:rPr>
          <w:i/>
        </w:rPr>
      </w:pPr>
      <w:r>
        <w:rPr>
          <w:i/>
        </w:rPr>
        <w:t xml:space="preserve">Flexibility </w:t>
      </w:r>
    </w:p>
    <w:p w14:paraId="2DF760E8" w14:textId="77777777" w:rsidR="008D2659" w:rsidRDefault="00E229A6">
      <w:pPr>
        <w:numPr>
          <w:ilvl w:val="0"/>
          <w:numId w:val="12"/>
        </w:numPr>
        <w:rPr>
          <w:i/>
        </w:rPr>
      </w:pPr>
      <w:r>
        <w:rPr>
          <w:i/>
        </w:rPr>
        <w:t>Performance, including latency</w:t>
      </w:r>
    </w:p>
    <w:p w14:paraId="064D7F8C" w14:textId="77777777" w:rsidR="008D2659" w:rsidRDefault="00E229A6">
      <w:pPr>
        <w:numPr>
          <w:ilvl w:val="0"/>
          <w:numId w:val="12"/>
        </w:numPr>
        <w:rPr>
          <w:i/>
        </w:rPr>
      </w:pPr>
      <w:r>
        <w:rPr>
          <w:i/>
        </w:rPr>
        <w:t>Implementation complexity</w:t>
      </w:r>
    </w:p>
    <w:p w14:paraId="6622DA79" w14:textId="77777777" w:rsidR="008D2659" w:rsidRDefault="00E229A6">
      <w:pPr>
        <w:numPr>
          <w:ilvl w:val="0"/>
          <w:numId w:val="12"/>
        </w:numPr>
        <w:rPr>
          <w:i/>
        </w:rPr>
      </w:pPr>
      <w:r>
        <w:rPr>
          <w:i/>
        </w:rPr>
        <w:t>Timing of the activation/deactivation</w:t>
      </w:r>
    </w:p>
    <w:p w14:paraId="62245222" w14:textId="77777777" w:rsidR="008D2659" w:rsidRDefault="008D2659"/>
    <w:p w14:paraId="266FDE0F" w14:textId="77777777" w:rsidR="008D2659" w:rsidRDefault="00E229A6">
      <w:pPr>
        <w:pStyle w:val="Heading2"/>
      </w:pPr>
      <w:r>
        <w:t>RAN2#105bis</w:t>
      </w:r>
    </w:p>
    <w:p w14:paraId="2CA6BB05" w14:textId="77777777" w:rsidR="008D2659" w:rsidRDefault="00E229A6">
      <w:pPr>
        <w:rPr>
          <w:i/>
        </w:rPr>
      </w:pPr>
      <w:r>
        <w:rPr>
          <w:i/>
        </w:rPr>
        <w:t>Agreements:</w:t>
      </w:r>
    </w:p>
    <w:p w14:paraId="136172EE"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For scheduling LTE SL UEs, the gNB uses RRC messages to deliver the SPS grant configuration.</w:t>
      </w:r>
    </w:p>
    <w:p w14:paraId="1C82CC36"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Separate system information block should be designed to support LTE resource pool configuration via NR Uu. It will be defined as a container (OCTET STRING) and actual information follows what defined in LTE RRC.</w:t>
      </w:r>
    </w:p>
    <w:p w14:paraId="60E0EC7C"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gNB should be able to configure the LTE V2X mode 4 sidelink resource pool via dedicated signalling. In addition, gNB should be able to configure mode3 SL resources via dedicated signaling. It will be defined as a container (OCTET STRING) and actual information follows what defined in LTE RRC.</w:t>
      </w:r>
    </w:p>
    <w:p w14:paraId="2FDD4C15" w14:textId="77777777" w:rsidR="008D2659" w:rsidRDefault="008D2659"/>
    <w:p w14:paraId="57BC7ED8" w14:textId="77777777" w:rsidR="008D2659" w:rsidRDefault="00E229A6">
      <w:pPr>
        <w:pStyle w:val="Heading2"/>
      </w:pPr>
      <w:r>
        <w:t>RAN1#97</w:t>
      </w:r>
    </w:p>
    <w:p w14:paraId="755B0DAA" w14:textId="77777777" w:rsidR="008D2659" w:rsidRDefault="00E229A6">
      <w:pPr>
        <w:rPr>
          <w:i/>
        </w:rPr>
      </w:pPr>
      <w:r>
        <w:rPr>
          <w:i/>
        </w:rPr>
        <w:t>Agreements:</w:t>
      </w:r>
    </w:p>
    <w:p w14:paraId="412833DC" w14:textId="77777777" w:rsidR="008D2659" w:rsidRDefault="00E229A6">
      <w:pPr>
        <w:pStyle w:val="ListParagraph"/>
        <w:numPr>
          <w:ilvl w:val="0"/>
          <w:numId w:val="9"/>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3E5A5790"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Support of LTE PC5 scheduling by NR Uu (mode 3-like )</w:t>
      </w:r>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2ADE0495"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226296BB" w14:textId="77777777" w:rsidR="008D2659" w:rsidRDefault="00E229A6">
      <w:pPr>
        <w:pStyle w:val="ListParagraph"/>
        <w:numPr>
          <w:ilvl w:val="1"/>
          <w:numId w:val="9"/>
        </w:numPr>
        <w:spacing w:line="256" w:lineRule="auto"/>
        <w:rPr>
          <w:rFonts w:ascii="Times New Roman" w:hAnsi="Times New Roman"/>
          <w:i/>
          <w:szCs w:val="20"/>
        </w:rPr>
      </w:pPr>
      <w:bookmarkStart w:id="28" w:name="_Hlk24638457"/>
      <w:r>
        <w:rPr>
          <w:rFonts w:ascii="Times New Roman" w:hAnsi="Times New Roman"/>
          <w:i/>
          <w:szCs w:val="20"/>
        </w:rPr>
        <w:t>The size of DCI for activation/deactivation is one of the DCI size(s) that will be defined for NR Uu scheduling NR V2V</w:t>
      </w:r>
    </w:p>
    <w:bookmarkEnd w:id="28"/>
    <w:p w14:paraId="3B3D4C2A"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FFS whether the DCI format is the same as one of the DCI formats that will be defined for NR Uu scheduling NR V2V</w:t>
      </w:r>
    </w:p>
    <w:p w14:paraId="399FC4FE"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Activation/deactivation applies to the first LTE subframe after Z+X ms after receiving the DCI</w:t>
      </w:r>
    </w:p>
    <w:p w14:paraId="41552707"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Z is the same timing offset in current LTE V2X specs</w:t>
      </w:r>
    </w:p>
    <w:p w14:paraId="7AC720D0"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X&gt;0. FFS value(s) of X, and if one or multiple values of X are possible</w:t>
      </w:r>
    </w:p>
    <w:p w14:paraId="4442D3A2" w14:textId="77777777" w:rsidR="008D2659" w:rsidRDefault="008D2659"/>
    <w:p w14:paraId="52BDC24C" w14:textId="77777777" w:rsidR="008D2659" w:rsidRDefault="00E229A6">
      <w:pPr>
        <w:pStyle w:val="Heading2"/>
      </w:pPr>
      <w:r>
        <w:t>RAN1#98</w:t>
      </w:r>
    </w:p>
    <w:p w14:paraId="54D3AC48" w14:textId="77777777" w:rsidR="008D2659" w:rsidRDefault="00E229A6">
      <w:pPr>
        <w:rPr>
          <w:i/>
          <w:szCs w:val="20"/>
          <w:lang w:eastAsia="zh-CN"/>
        </w:rPr>
      </w:pPr>
      <w:r>
        <w:rPr>
          <w:i/>
          <w:szCs w:val="20"/>
          <w:lang w:eastAsia="zh-CN"/>
        </w:rPr>
        <w:t>Agreements:</w:t>
      </w:r>
    </w:p>
    <w:p w14:paraId="57853BB8" w14:textId="77777777" w:rsidR="008D2659" w:rsidRDefault="00E229A6">
      <w:pPr>
        <w:pStyle w:val="ListParagraph"/>
        <w:numPr>
          <w:ilvl w:val="0"/>
          <w:numId w:val="13"/>
        </w:numPr>
        <w:spacing w:after="60"/>
        <w:rPr>
          <w:rFonts w:ascii="Times New Roman" w:hAnsi="Times New Roman"/>
          <w:bCs/>
          <w:i/>
          <w:iCs/>
          <w:szCs w:val="20"/>
        </w:rPr>
      </w:pPr>
      <w:r>
        <w:rPr>
          <w:rFonts w:ascii="Times New Roman" w:hAnsi="Times New Roman"/>
          <w:bCs/>
          <w:i/>
          <w:iCs/>
          <w:szCs w:val="20"/>
        </w:rPr>
        <w:t>A new RNTI is introduced to scramble the NR DCI used for scheduling LTE PC5.</w:t>
      </w:r>
    </w:p>
    <w:p w14:paraId="2D50DB76" w14:textId="77777777" w:rsidR="008D2659" w:rsidRDefault="008D2659">
      <w:pPr>
        <w:rPr>
          <w:i/>
          <w:lang w:eastAsia="zh-CN"/>
        </w:rPr>
      </w:pPr>
    </w:p>
    <w:p w14:paraId="11FFFAA3" w14:textId="77777777" w:rsidR="008D2659" w:rsidRDefault="00E229A6">
      <w:pPr>
        <w:numPr>
          <w:ilvl w:val="0"/>
          <w:numId w:val="14"/>
        </w:numPr>
        <w:autoSpaceDE/>
        <w:autoSpaceDN/>
        <w:adjustRightInd/>
        <w:snapToGrid/>
        <w:spacing w:after="0"/>
        <w:jc w:val="left"/>
        <w:rPr>
          <w:i/>
          <w:szCs w:val="20"/>
        </w:rPr>
      </w:pPr>
      <w:r>
        <w:rPr>
          <w:i/>
          <w:szCs w:val="20"/>
        </w:rPr>
        <w:t>X is dynamically indicated using a field in the DCI</w:t>
      </w:r>
    </w:p>
    <w:p w14:paraId="243EFE9B" w14:textId="77777777" w:rsidR="008D2659" w:rsidRDefault="00E229A6">
      <w:pPr>
        <w:numPr>
          <w:ilvl w:val="1"/>
          <w:numId w:val="14"/>
        </w:numPr>
        <w:autoSpaceDE/>
        <w:autoSpaceDN/>
        <w:adjustRightInd/>
        <w:snapToGrid/>
        <w:spacing w:after="0"/>
        <w:jc w:val="left"/>
        <w:rPr>
          <w:i/>
          <w:szCs w:val="20"/>
        </w:rPr>
      </w:pPr>
      <w:r>
        <w:rPr>
          <w:i/>
          <w:szCs w:val="20"/>
        </w:rPr>
        <w:t>FFS whether the DCI field provides an index to a table or the value of X</w:t>
      </w:r>
    </w:p>
    <w:p w14:paraId="1FBA4D69" w14:textId="77777777" w:rsidR="008D2659" w:rsidRDefault="00E229A6">
      <w:pPr>
        <w:numPr>
          <w:ilvl w:val="1"/>
          <w:numId w:val="14"/>
        </w:numPr>
        <w:autoSpaceDE/>
        <w:autoSpaceDN/>
        <w:adjustRightInd/>
        <w:snapToGrid/>
        <w:spacing w:after="0"/>
        <w:jc w:val="left"/>
        <w:rPr>
          <w:i/>
          <w:szCs w:val="20"/>
        </w:rPr>
      </w:pPr>
      <w:r>
        <w:rPr>
          <w:i/>
          <w:szCs w:val="20"/>
        </w:rPr>
        <w:t>The minimum value of X is subject to UE capability</w:t>
      </w:r>
    </w:p>
    <w:p w14:paraId="49388B76" w14:textId="77777777" w:rsidR="008D2659" w:rsidRDefault="00E229A6">
      <w:pPr>
        <w:numPr>
          <w:ilvl w:val="2"/>
          <w:numId w:val="14"/>
        </w:numPr>
        <w:autoSpaceDE/>
        <w:autoSpaceDN/>
        <w:adjustRightInd/>
        <w:snapToGrid/>
        <w:spacing w:after="0"/>
        <w:jc w:val="left"/>
        <w:rPr>
          <w:i/>
          <w:szCs w:val="20"/>
        </w:rPr>
      </w:pPr>
      <w:r>
        <w:rPr>
          <w:i/>
          <w:szCs w:val="20"/>
        </w:rPr>
        <w:t xml:space="preserve">UE reports a single value subject to UE capability </w:t>
      </w:r>
    </w:p>
    <w:p w14:paraId="194B114D" w14:textId="77777777" w:rsidR="008D2659" w:rsidRDefault="008D2659"/>
    <w:p w14:paraId="6FE36BDF" w14:textId="77777777" w:rsidR="008D2659" w:rsidRDefault="00E229A6">
      <w:pPr>
        <w:pStyle w:val="Heading2"/>
      </w:pPr>
      <w:r>
        <w:t>RAN1#98b</w:t>
      </w:r>
    </w:p>
    <w:p w14:paraId="02AE2CFF" w14:textId="77777777" w:rsidR="008D2659" w:rsidRDefault="00E229A6">
      <w:pPr>
        <w:autoSpaceDE/>
        <w:autoSpaceDN/>
        <w:jc w:val="left"/>
        <w:rPr>
          <w:i/>
          <w:szCs w:val="20"/>
          <w:lang w:eastAsia="zh-CN"/>
        </w:rPr>
      </w:pPr>
      <w:r>
        <w:rPr>
          <w:i/>
          <w:szCs w:val="20"/>
          <w:lang w:eastAsia="zh-CN"/>
        </w:rPr>
        <w:t>Agreements:</w:t>
      </w:r>
    </w:p>
    <w:p w14:paraId="6F00E429" w14:textId="77777777" w:rsidR="008D2659" w:rsidRDefault="00E229A6">
      <w:pPr>
        <w:numPr>
          <w:ilvl w:val="0"/>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NR DCI field to indicate X provides an index to a table of values</w:t>
      </w:r>
    </w:p>
    <w:p w14:paraId="103DFB93"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table of values is configurable, and has 8 values</w:t>
      </w:r>
    </w:p>
    <w:p w14:paraId="34E8F891"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size of the DCI field is fixed at 3 bits</w:t>
      </w:r>
    </w:p>
    <w:p w14:paraId="6894950F" w14:textId="77777777" w:rsidR="008D2659" w:rsidRDefault="008D2659"/>
    <w:p w14:paraId="27275E1B" w14:textId="77777777" w:rsidR="008D2659" w:rsidRDefault="00E229A6">
      <w:pPr>
        <w:pStyle w:val="Heading2"/>
      </w:pPr>
      <w:r>
        <w:t>RAN1#99</w:t>
      </w:r>
    </w:p>
    <w:p w14:paraId="2C51FCBD" w14:textId="77777777" w:rsidR="008D2659" w:rsidRDefault="00E229A6">
      <w:pPr>
        <w:rPr>
          <w:b/>
          <w:i/>
          <w:sz w:val="20"/>
          <w:szCs w:val="20"/>
        </w:rPr>
      </w:pPr>
      <w:r>
        <w:rPr>
          <w:bCs/>
          <w:i/>
          <w:szCs w:val="20"/>
        </w:rPr>
        <w:t>Agreements</w:t>
      </w:r>
      <w:r>
        <w:rPr>
          <w:b/>
          <w:i/>
          <w:szCs w:val="20"/>
        </w:rPr>
        <w:t>:</w:t>
      </w:r>
    </w:p>
    <w:p w14:paraId="6059AAB6" w14:textId="77777777" w:rsidR="008D2659" w:rsidRDefault="00E229A6">
      <w:pPr>
        <w:pStyle w:val="ListParagraph"/>
        <w:numPr>
          <w:ilvl w:val="0"/>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Use a separate PDCCH monitoring configuration (as configured in Rel-15) for NR DCI scheduling LTE SL</w:t>
      </w:r>
    </w:p>
    <w:p w14:paraId="6AF6EFF7"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blind decoding budget and the maximum number of non-overlapped CCEs for channel estimation are not increased.</w:t>
      </w:r>
    </w:p>
    <w:p w14:paraId="1E60CD7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search spaces is not increased.</w:t>
      </w:r>
    </w:p>
    <w:p w14:paraId="02B830D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CORESETs is not increased</w:t>
      </w:r>
    </w:p>
    <w:p w14:paraId="6F37832C" w14:textId="77777777" w:rsidR="008D2659" w:rsidRDefault="00E229A6">
      <w:pPr>
        <w:pStyle w:val="ListParagraph"/>
        <w:numPr>
          <w:ilvl w:val="2"/>
          <w:numId w:val="16"/>
        </w:numPr>
        <w:spacing w:line="256" w:lineRule="auto"/>
        <w:contextualSpacing w:val="0"/>
        <w:rPr>
          <w:rFonts w:ascii="Times New Roman" w:hAnsi="Times New Roman"/>
          <w:bCs/>
          <w:i/>
          <w:szCs w:val="20"/>
          <w:lang w:eastAsia="ja-JP"/>
        </w:rPr>
      </w:pPr>
      <w:r>
        <w:rPr>
          <w:rFonts w:ascii="Times New Roman" w:hAnsi="Times New Roman"/>
          <w:bCs/>
          <w:i/>
          <w:szCs w:val="20"/>
          <w:lang w:eastAsia="ja-JP"/>
        </w:rPr>
        <w:t>When in the same slot, there is both PDCCH monitoring for Uu SL and PDCCH monitoring for SL for the same CC, the search space(s) for LTE SL is configured to be the same or a subset of those for Uu for the same CC or vice versa</w:t>
      </w:r>
    </w:p>
    <w:p w14:paraId="3FB0169D" w14:textId="77777777" w:rsidR="008D2659" w:rsidRDefault="00E229A6">
      <w:pPr>
        <w:rPr>
          <w:rFonts w:ascii="Times" w:hAnsi="Times"/>
          <w:i/>
          <w:szCs w:val="20"/>
          <w:lang w:eastAsia="zh-CN"/>
        </w:rPr>
      </w:pPr>
      <w:r>
        <w:rPr>
          <w:i/>
          <w:szCs w:val="20"/>
          <w:lang w:eastAsia="zh-CN"/>
        </w:rPr>
        <w:t>Agreements:</w:t>
      </w:r>
    </w:p>
    <w:p w14:paraId="61605788" w14:textId="77777777" w:rsidR="008D2659" w:rsidRDefault="00E229A6">
      <w:pPr>
        <w:pStyle w:val="ListParagraph"/>
        <w:numPr>
          <w:ilvl w:val="0"/>
          <w:numId w:val="17"/>
        </w:numPr>
        <w:spacing w:line="256" w:lineRule="auto"/>
        <w:rPr>
          <w:bCs/>
          <w:i/>
          <w:szCs w:val="20"/>
          <w:lang w:eastAsia="zh-CN"/>
        </w:rPr>
      </w:pPr>
      <w:r>
        <w:rPr>
          <w:bCs/>
          <w:i/>
          <w:szCs w:val="20"/>
        </w:rPr>
        <w:t>The minimum value of X signalled in the UE capability is one of the values (excluding spare values) that can be signalled in DCI 3_1</w:t>
      </w:r>
    </w:p>
    <w:p w14:paraId="480AD5B8" w14:textId="77777777" w:rsidR="008D2659" w:rsidRDefault="00E229A6">
      <w:pPr>
        <w:rPr>
          <w:i/>
          <w:szCs w:val="20"/>
          <w:lang w:eastAsia="zh-CN"/>
        </w:rPr>
      </w:pPr>
      <w:r>
        <w:rPr>
          <w:i/>
          <w:szCs w:val="20"/>
          <w:lang w:eastAsia="zh-CN"/>
        </w:rPr>
        <w:t>Agreements:</w:t>
      </w:r>
    </w:p>
    <w:p w14:paraId="62B5E176" w14:textId="77777777" w:rsidR="008D2659" w:rsidRDefault="00E229A6">
      <w:pPr>
        <w:rPr>
          <w:bCs/>
          <w:i/>
          <w:szCs w:val="20"/>
        </w:rPr>
      </w:pPr>
      <w:r>
        <w:rPr>
          <w:bCs/>
          <w:i/>
          <w:szCs w:val="20"/>
        </w:rPr>
        <w:t>The supported values of X signaled in the DCI are:</w:t>
      </w:r>
    </w:p>
    <w:p w14:paraId="7697621A" w14:textId="77777777" w:rsidR="008D2659" w:rsidRDefault="00E229A6">
      <w:pPr>
        <w:pStyle w:val="ListParagraph"/>
        <w:numPr>
          <w:ilvl w:val="0"/>
          <w:numId w:val="18"/>
        </w:numPr>
        <w:spacing w:line="256" w:lineRule="auto"/>
        <w:rPr>
          <w:bCs/>
          <w:i/>
          <w:szCs w:val="20"/>
        </w:rPr>
      </w:pPr>
      <w:r>
        <w:rPr>
          <w:bCs/>
          <w:i/>
          <w:szCs w:val="20"/>
        </w:rPr>
        <w:t>0.75ms, 1ms, [1.25ms], [1.5ms], 2ms, 4ms, 5ms, 8ms, 10ms, 20 ms</w:t>
      </w:r>
    </w:p>
    <w:p w14:paraId="289B716A" w14:textId="77777777" w:rsidR="008D2659" w:rsidRDefault="00E229A6">
      <w:pPr>
        <w:pStyle w:val="ListParagraph"/>
        <w:numPr>
          <w:ilvl w:val="1"/>
          <w:numId w:val="18"/>
        </w:numPr>
        <w:spacing w:line="256" w:lineRule="auto"/>
        <w:rPr>
          <w:bCs/>
          <w:i/>
          <w:szCs w:val="20"/>
        </w:rPr>
      </w:pPr>
      <w:r>
        <w:rPr>
          <w:bCs/>
          <w:i/>
          <w:szCs w:val="20"/>
        </w:rPr>
        <w:t>Additional value(s) can be discussed during the Feb. meeting</w:t>
      </w:r>
    </w:p>
    <w:p w14:paraId="6E5AAD9F" w14:textId="77777777" w:rsidR="008D2659" w:rsidRDefault="00E229A6">
      <w:pPr>
        <w:pStyle w:val="ListParagraph"/>
        <w:numPr>
          <w:ilvl w:val="0"/>
          <w:numId w:val="18"/>
        </w:numPr>
        <w:spacing w:line="256" w:lineRule="auto"/>
        <w:rPr>
          <w:bCs/>
          <w:i/>
          <w:szCs w:val="20"/>
        </w:rPr>
      </w:pPr>
      <w:r>
        <w:rPr>
          <w:bCs/>
          <w:i/>
          <w:szCs w:val="20"/>
        </w:rPr>
        <w:t>Spare values are reserved for future deployments</w:t>
      </w:r>
    </w:p>
    <w:p w14:paraId="27C39CDB" w14:textId="77777777" w:rsidR="008D2659" w:rsidRDefault="00E229A6">
      <w:pPr>
        <w:pStyle w:val="Heading2"/>
      </w:pPr>
      <w:r>
        <w:t>RAN1#100</w:t>
      </w:r>
    </w:p>
    <w:p w14:paraId="16654D36" w14:textId="77777777" w:rsidR="008D2659" w:rsidRDefault="00E229A6">
      <w:pPr>
        <w:rPr>
          <w:i/>
          <w:iCs/>
          <w:sz w:val="20"/>
          <w:szCs w:val="24"/>
          <w:lang w:eastAsia="zh-CN"/>
        </w:rPr>
      </w:pPr>
      <w:r>
        <w:rPr>
          <w:i/>
          <w:iCs/>
          <w:lang w:eastAsia="zh-CN"/>
        </w:rPr>
        <w:t>Agreements</w:t>
      </w:r>
    </w:p>
    <w:p w14:paraId="474FC751" w14:textId="77777777" w:rsidR="008D2659" w:rsidRDefault="00E229A6">
      <w:pPr>
        <w:numPr>
          <w:ilvl w:val="0"/>
          <w:numId w:val="19"/>
        </w:numPr>
        <w:autoSpaceDE/>
        <w:autoSpaceDN/>
        <w:adjustRightInd/>
        <w:snapToGrid/>
        <w:spacing w:after="0"/>
        <w:jc w:val="left"/>
        <w:rPr>
          <w:i/>
          <w:iCs/>
          <w:lang w:eastAsia="en-GB"/>
        </w:rPr>
      </w:pPr>
      <w:bookmarkStart w:id="29" w:name="_Hlk37684998"/>
      <w:r>
        <w:rPr>
          <w:i/>
          <w:iCs/>
          <w:szCs w:val="20"/>
        </w:rPr>
        <w:t xml:space="preserve">For NR Uu scheduling LTE sidelink, the subframe of the first sidelink transmission is the first SL subframe of the corresponding resource pool that starts not earlier than </w:t>
      </w:r>
      <w:r>
        <w:rPr>
          <w:i/>
          <w:iCs/>
          <w:noProof/>
          <w:lang w:eastAsia="ko-KR"/>
        </w:rPr>
        <w:drawing>
          <wp:inline distT="0" distB="0" distL="0" distR="0" wp14:anchorId="78506986" wp14:editId="3FED292C">
            <wp:extent cx="20955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3_1 if SL index is present, otherwise m=0.</w:t>
      </w:r>
    </w:p>
    <w:bookmarkEnd w:id="29"/>
    <w:p w14:paraId="5A9E38D4" w14:textId="77777777" w:rsidR="008D2659" w:rsidRDefault="008D2659">
      <w:pPr>
        <w:rPr>
          <w:i/>
          <w:iCs/>
        </w:rPr>
      </w:pPr>
    </w:p>
    <w:p w14:paraId="02F70505" w14:textId="77777777" w:rsidR="008D2659" w:rsidRDefault="00E229A6">
      <w:pPr>
        <w:rPr>
          <w:i/>
          <w:iCs/>
          <w:sz w:val="20"/>
          <w:szCs w:val="24"/>
          <w:lang w:eastAsia="zh-CN"/>
        </w:rPr>
      </w:pPr>
      <w:r>
        <w:rPr>
          <w:i/>
          <w:iCs/>
          <w:lang w:eastAsia="zh-CN"/>
        </w:rPr>
        <w:t>Agreements</w:t>
      </w:r>
    </w:p>
    <w:p w14:paraId="598848C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lang w:eastAsia="ja-JP"/>
        </w:rPr>
      </w:pPr>
      <w:r>
        <w:rPr>
          <w:rFonts w:ascii="Times New Roman" w:hAnsi="Times New Roman"/>
          <w:i/>
          <w:iCs/>
        </w:rPr>
        <w:t xml:space="preserve">If UE is configured to monitor DCI 3_0, the sizes of DCI 3_1 and DCI 3_0 are aligned by zero padding. </w:t>
      </w:r>
    </w:p>
    <w:p w14:paraId="5C5D3B2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rPr>
      </w:pPr>
      <w:r>
        <w:rPr>
          <w:rFonts w:ascii="Times New Roman" w:hAnsi="Times New Roman"/>
          <w:i/>
          <w:iCs/>
        </w:rPr>
        <w:t>If UE is not configured to monitor DCI 3_0, the mechanism for size alignment between DCI 3_0 and Uu DCI is reused for size alignment between DCI 3_1 and Uu DCI</w:t>
      </w:r>
    </w:p>
    <w:p w14:paraId="7FB37333" w14:textId="77777777" w:rsidR="008D2659" w:rsidRDefault="008D2659">
      <w:pPr>
        <w:ind w:left="360"/>
        <w:rPr>
          <w:i/>
          <w:iCs/>
          <w:sz w:val="20"/>
          <w:szCs w:val="24"/>
        </w:rPr>
      </w:pPr>
    </w:p>
    <w:p w14:paraId="22576D88" w14:textId="77777777" w:rsidR="008D2659" w:rsidRDefault="00E229A6">
      <w:pPr>
        <w:rPr>
          <w:i/>
          <w:iCs/>
          <w:sz w:val="20"/>
          <w:szCs w:val="24"/>
        </w:rPr>
      </w:pPr>
      <w:r>
        <w:rPr>
          <w:i/>
          <w:iCs/>
        </w:rPr>
        <w:t>Agreements:</w:t>
      </w:r>
    </w:p>
    <w:p w14:paraId="0F11B394" w14:textId="77777777" w:rsidR="008D2659" w:rsidRDefault="00E229A6">
      <w:pPr>
        <w:pStyle w:val="ListParagraph"/>
        <w:numPr>
          <w:ilvl w:val="0"/>
          <w:numId w:val="20"/>
        </w:numPr>
        <w:rPr>
          <w:rFonts w:ascii="Times New Roman" w:hAnsi="Times New Roman"/>
          <w:i/>
          <w:iCs/>
        </w:rPr>
      </w:pPr>
      <w:r>
        <w:rPr>
          <w:rFonts w:ascii="Times New Roman" w:hAnsi="Times New Roman"/>
          <w:i/>
          <w:iCs/>
        </w:rPr>
        <w:t>The set of possible values for X is: 0ms, 0.25ms, 0.5ms, 0.625ms, 0.75ms, 1ms, 1.25ms, 1.5ms,1.75ms, 2ms, 2.5ms, 3ms, 4ms, 5ms, 6ms, 8ms, 10ms, 20 ms</w:t>
      </w:r>
    </w:p>
    <w:p w14:paraId="3522FEF2" w14:textId="77777777" w:rsidR="008D2659" w:rsidRDefault="008D2659"/>
    <w:p w14:paraId="1A9B5D03" w14:textId="77777777" w:rsidR="008D2659" w:rsidRDefault="008D2659"/>
    <w:p w14:paraId="554C006C" w14:textId="77777777" w:rsidR="008D2659" w:rsidRDefault="008D2659"/>
    <w:p w14:paraId="5FB9223F" w14:textId="77777777" w:rsidR="008D2659" w:rsidRDefault="00E229A6">
      <w:pPr>
        <w:pStyle w:val="Heading1"/>
      </w:pPr>
      <w:r>
        <w:t>References</w:t>
      </w:r>
    </w:p>
    <w:tbl>
      <w:tblPr>
        <w:tblW w:w="9468" w:type="dxa"/>
        <w:tblBorders>
          <w:top w:val="single" w:sz="12" w:space="0" w:color="000000"/>
          <w:bottom w:val="single" w:sz="12" w:space="0" w:color="000000"/>
        </w:tblBorders>
        <w:tblLayout w:type="fixed"/>
        <w:tblLook w:val="04A0" w:firstRow="1" w:lastRow="0" w:firstColumn="1" w:lastColumn="0" w:noHBand="0" w:noVBand="1"/>
      </w:tblPr>
      <w:tblGrid>
        <w:gridCol w:w="531"/>
        <w:gridCol w:w="1191"/>
        <w:gridCol w:w="1056"/>
        <w:gridCol w:w="2226"/>
        <w:gridCol w:w="3648"/>
        <w:gridCol w:w="816"/>
      </w:tblGrid>
      <w:tr w:rsidR="008D2659" w14:paraId="55442904" w14:textId="77777777">
        <w:tc>
          <w:tcPr>
            <w:tcW w:w="531" w:type="dxa"/>
            <w:tcBorders>
              <w:bottom w:val="single" w:sz="6" w:space="0" w:color="000000"/>
              <w:right w:val="single" w:sz="6" w:space="0" w:color="000000"/>
            </w:tcBorders>
            <w:shd w:val="clear" w:color="auto" w:fill="auto"/>
          </w:tcPr>
          <w:p w14:paraId="5C63C41F" w14:textId="77777777" w:rsidR="008D2659" w:rsidRDefault="00E229A6">
            <w:pPr>
              <w:rPr>
                <w:i/>
                <w:iCs/>
                <w:sz w:val="16"/>
              </w:rPr>
            </w:pPr>
            <w:r>
              <w:rPr>
                <w:i/>
                <w:iCs/>
                <w:sz w:val="16"/>
              </w:rPr>
              <w:t>No.</w:t>
            </w:r>
          </w:p>
        </w:tc>
        <w:tc>
          <w:tcPr>
            <w:tcW w:w="1191" w:type="dxa"/>
            <w:tcBorders>
              <w:left w:val="single" w:sz="6" w:space="0" w:color="000000"/>
              <w:bottom w:val="single" w:sz="6" w:space="0" w:color="000000"/>
            </w:tcBorders>
            <w:shd w:val="clear" w:color="auto" w:fill="auto"/>
          </w:tcPr>
          <w:p w14:paraId="7A67AF0D" w14:textId="77777777" w:rsidR="008D2659" w:rsidRDefault="00E229A6">
            <w:pPr>
              <w:rPr>
                <w:i/>
                <w:iCs/>
                <w:sz w:val="16"/>
              </w:rPr>
            </w:pPr>
            <w:r>
              <w:rPr>
                <w:i/>
                <w:iCs/>
                <w:sz w:val="16"/>
              </w:rPr>
              <w:t>Tdoc</w:t>
            </w:r>
          </w:p>
        </w:tc>
        <w:tc>
          <w:tcPr>
            <w:tcW w:w="1056" w:type="dxa"/>
            <w:tcBorders>
              <w:bottom w:val="single" w:sz="6" w:space="0" w:color="000000"/>
            </w:tcBorders>
            <w:shd w:val="clear" w:color="auto" w:fill="auto"/>
          </w:tcPr>
          <w:p w14:paraId="76B38519" w14:textId="77777777" w:rsidR="008D2659" w:rsidRDefault="00E229A6">
            <w:pPr>
              <w:rPr>
                <w:i/>
                <w:iCs/>
                <w:sz w:val="16"/>
              </w:rPr>
            </w:pPr>
            <w:r>
              <w:rPr>
                <w:i/>
                <w:iCs/>
                <w:sz w:val="16"/>
              </w:rPr>
              <w:t>Type</w:t>
            </w:r>
          </w:p>
        </w:tc>
        <w:tc>
          <w:tcPr>
            <w:tcW w:w="2226" w:type="dxa"/>
            <w:tcBorders>
              <w:bottom w:val="single" w:sz="6" w:space="0" w:color="000000"/>
            </w:tcBorders>
            <w:shd w:val="clear" w:color="auto" w:fill="auto"/>
          </w:tcPr>
          <w:p w14:paraId="60060831" w14:textId="77777777" w:rsidR="008D2659" w:rsidRDefault="00E229A6">
            <w:pPr>
              <w:rPr>
                <w:i/>
                <w:iCs/>
                <w:sz w:val="16"/>
              </w:rPr>
            </w:pPr>
            <w:r>
              <w:rPr>
                <w:i/>
                <w:iCs/>
                <w:sz w:val="16"/>
              </w:rPr>
              <w:t>Source</w:t>
            </w:r>
          </w:p>
        </w:tc>
        <w:tc>
          <w:tcPr>
            <w:tcW w:w="3648" w:type="dxa"/>
            <w:tcBorders>
              <w:bottom w:val="single" w:sz="6" w:space="0" w:color="000000"/>
            </w:tcBorders>
            <w:shd w:val="clear" w:color="auto" w:fill="auto"/>
          </w:tcPr>
          <w:p w14:paraId="6275203B" w14:textId="77777777" w:rsidR="008D2659" w:rsidRDefault="00E229A6">
            <w:pPr>
              <w:rPr>
                <w:i/>
                <w:iCs/>
                <w:sz w:val="16"/>
              </w:rPr>
            </w:pPr>
            <w:r>
              <w:rPr>
                <w:i/>
                <w:iCs/>
                <w:sz w:val="16"/>
              </w:rPr>
              <w:t>Title</w:t>
            </w:r>
          </w:p>
        </w:tc>
        <w:tc>
          <w:tcPr>
            <w:tcW w:w="816" w:type="dxa"/>
            <w:tcBorders>
              <w:bottom w:val="single" w:sz="6" w:space="0" w:color="000000"/>
            </w:tcBorders>
            <w:shd w:val="clear" w:color="auto" w:fill="auto"/>
          </w:tcPr>
          <w:p w14:paraId="42626EDF" w14:textId="77777777" w:rsidR="008D2659" w:rsidRDefault="00E229A6">
            <w:pPr>
              <w:rPr>
                <w:i/>
                <w:iCs/>
                <w:sz w:val="16"/>
              </w:rPr>
            </w:pPr>
            <w:r>
              <w:rPr>
                <w:i/>
                <w:iCs/>
                <w:sz w:val="16"/>
              </w:rPr>
              <w:t>Status</w:t>
            </w:r>
          </w:p>
        </w:tc>
      </w:tr>
      <w:tr w:rsidR="008D2659" w14:paraId="6365ED7B" w14:textId="77777777">
        <w:tc>
          <w:tcPr>
            <w:tcW w:w="531" w:type="dxa"/>
            <w:tcBorders>
              <w:top w:val="single" w:sz="6" w:space="0" w:color="000000"/>
              <w:right w:val="single" w:sz="6" w:space="0" w:color="000000"/>
            </w:tcBorders>
            <w:shd w:val="clear" w:color="auto" w:fill="auto"/>
          </w:tcPr>
          <w:p w14:paraId="32E66DA6" w14:textId="77777777" w:rsidR="008D2659" w:rsidRDefault="00E229A6">
            <w:pPr>
              <w:rPr>
                <w:sz w:val="16"/>
              </w:rPr>
            </w:pPr>
            <w:r>
              <w:rPr>
                <w:sz w:val="16"/>
              </w:rPr>
              <w:t>1</w:t>
            </w:r>
          </w:p>
        </w:tc>
        <w:tc>
          <w:tcPr>
            <w:tcW w:w="1191" w:type="dxa"/>
            <w:tcBorders>
              <w:top w:val="single" w:sz="6" w:space="0" w:color="000000"/>
              <w:left w:val="single" w:sz="6" w:space="0" w:color="000000"/>
            </w:tcBorders>
            <w:shd w:val="clear" w:color="auto" w:fill="auto"/>
          </w:tcPr>
          <w:p w14:paraId="4D09420F" w14:textId="77777777" w:rsidR="008D2659" w:rsidRDefault="00E229A6">
            <w:pPr>
              <w:rPr>
                <w:sz w:val="16"/>
              </w:rPr>
            </w:pPr>
            <w:r>
              <w:rPr>
                <w:sz w:val="16"/>
              </w:rPr>
              <w:t>R1-2003315</w:t>
            </w:r>
          </w:p>
        </w:tc>
        <w:tc>
          <w:tcPr>
            <w:tcW w:w="1056" w:type="dxa"/>
            <w:tcBorders>
              <w:top w:val="single" w:sz="6" w:space="0" w:color="000000"/>
            </w:tcBorders>
            <w:shd w:val="clear" w:color="auto" w:fill="auto"/>
          </w:tcPr>
          <w:p w14:paraId="77382199" w14:textId="77777777" w:rsidR="008D2659" w:rsidRDefault="00E229A6">
            <w:pPr>
              <w:rPr>
                <w:sz w:val="16"/>
              </w:rPr>
            </w:pPr>
            <w:r>
              <w:rPr>
                <w:sz w:val="16"/>
              </w:rPr>
              <w:t>discussion</w:t>
            </w:r>
          </w:p>
        </w:tc>
        <w:tc>
          <w:tcPr>
            <w:tcW w:w="2226" w:type="dxa"/>
            <w:tcBorders>
              <w:top w:val="single" w:sz="6" w:space="0" w:color="000000"/>
            </w:tcBorders>
            <w:shd w:val="clear" w:color="auto" w:fill="auto"/>
          </w:tcPr>
          <w:p w14:paraId="3F6DD6DB" w14:textId="77777777" w:rsidR="008D2659" w:rsidRDefault="00E229A6">
            <w:pPr>
              <w:rPr>
                <w:sz w:val="16"/>
              </w:rPr>
            </w:pPr>
            <w:r>
              <w:rPr>
                <w:sz w:val="16"/>
              </w:rPr>
              <w:t>Nokia, Nokia Shanghai Bell</w:t>
            </w:r>
          </w:p>
        </w:tc>
        <w:tc>
          <w:tcPr>
            <w:tcW w:w="3648" w:type="dxa"/>
            <w:tcBorders>
              <w:top w:val="single" w:sz="6" w:space="0" w:color="000000"/>
            </w:tcBorders>
            <w:shd w:val="clear" w:color="auto" w:fill="auto"/>
          </w:tcPr>
          <w:p w14:paraId="73D8552A" w14:textId="77777777" w:rsidR="008D2659" w:rsidRDefault="00E229A6">
            <w:pPr>
              <w:rPr>
                <w:sz w:val="16"/>
              </w:rPr>
            </w:pPr>
            <w:r>
              <w:rPr>
                <w:sz w:val="16"/>
              </w:rPr>
              <w:t>Remaining details of Support of NR Uu controlling LTE sidelink</w:t>
            </w:r>
          </w:p>
        </w:tc>
        <w:tc>
          <w:tcPr>
            <w:tcW w:w="816" w:type="dxa"/>
            <w:tcBorders>
              <w:top w:val="single" w:sz="6" w:space="0" w:color="000000"/>
            </w:tcBorders>
            <w:shd w:val="clear" w:color="auto" w:fill="auto"/>
          </w:tcPr>
          <w:p w14:paraId="4D4822A5" w14:textId="77777777" w:rsidR="008D2659" w:rsidRDefault="00E229A6">
            <w:pPr>
              <w:rPr>
                <w:sz w:val="16"/>
              </w:rPr>
            </w:pPr>
            <w:r>
              <w:rPr>
                <w:sz w:val="16"/>
              </w:rPr>
              <w:t>present</w:t>
            </w:r>
          </w:p>
        </w:tc>
      </w:tr>
      <w:tr w:rsidR="008D2659" w14:paraId="356EB31F" w14:textId="77777777">
        <w:tc>
          <w:tcPr>
            <w:tcW w:w="531" w:type="dxa"/>
            <w:tcBorders>
              <w:right w:val="single" w:sz="6" w:space="0" w:color="000000"/>
            </w:tcBorders>
            <w:shd w:val="clear" w:color="auto" w:fill="auto"/>
          </w:tcPr>
          <w:p w14:paraId="585463D8" w14:textId="77777777" w:rsidR="008D2659" w:rsidRDefault="00E229A6">
            <w:pPr>
              <w:rPr>
                <w:sz w:val="16"/>
              </w:rPr>
            </w:pPr>
            <w:r>
              <w:rPr>
                <w:sz w:val="16"/>
              </w:rPr>
              <w:t>2</w:t>
            </w:r>
          </w:p>
        </w:tc>
        <w:tc>
          <w:tcPr>
            <w:tcW w:w="1191" w:type="dxa"/>
            <w:tcBorders>
              <w:left w:val="single" w:sz="6" w:space="0" w:color="000000"/>
            </w:tcBorders>
            <w:shd w:val="clear" w:color="auto" w:fill="auto"/>
          </w:tcPr>
          <w:p w14:paraId="38873F58" w14:textId="77777777" w:rsidR="008D2659" w:rsidRDefault="00E229A6">
            <w:pPr>
              <w:rPr>
                <w:sz w:val="16"/>
              </w:rPr>
            </w:pPr>
            <w:r>
              <w:rPr>
                <w:sz w:val="16"/>
              </w:rPr>
              <w:t>R1-2003385</w:t>
            </w:r>
          </w:p>
        </w:tc>
        <w:tc>
          <w:tcPr>
            <w:tcW w:w="1056" w:type="dxa"/>
            <w:shd w:val="clear" w:color="auto" w:fill="auto"/>
          </w:tcPr>
          <w:p w14:paraId="3795DFB2" w14:textId="77777777" w:rsidR="008D2659" w:rsidRDefault="00E229A6">
            <w:pPr>
              <w:rPr>
                <w:sz w:val="16"/>
              </w:rPr>
            </w:pPr>
            <w:r>
              <w:rPr>
                <w:sz w:val="16"/>
              </w:rPr>
              <w:t>discussion</w:t>
            </w:r>
          </w:p>
        </w:tc>
        <w:tc>
          <w:tcPr>
            <w:tcW w:w="2226" w:type="dxa"/>
            <w:shd w:val="clear" w:color="auto" w:fill="auto"/>
          </w:tcPr>
          <w:p w14:paraId="0BB38982" w14:textId="77777777" w:rsidR="008D2659" w:rsidRDefault="00E229A6">
            <w:pPr>
              <w:rPr>
                <w:sz w:val="16"/>
              </w:rPr>
            </w:pPr>
            <w:r>
              <w:rPr>
                <w:sz w:val="16"/>
              </w:rPr>
              <w:t>vivo</w:t>
            </w:r>
          </w:p>
        </w:tc>
        <w:tc>
          <w:tcPr>
            <w:tcW w:w="3648" w:type="dxa"/>
            <w:shd w:val="clear" w:color="auto" w:fill="auto"/>
          </w:tcPr>
          <w:p w14:paraId="01AEEB8A" w14:textId="77777777" w:rsidR="008D2659" w:rsidRDefault="00E229A6">
            <w:pPr>
              <w:rPr>
                <w:sz w:val="16"/>
              </w:rPr>
            </w:pPr>
            <w:r>
              <w:rPr>
                <w:sz w:val="16"/>
              </w:rPr>
              <w:t>Remaining issues on support of NR Uu controlling LTE sidelink</w:t>
            </w:r>
          </w:p>
        </w:tc>
        <w:tc>
          <w:tcPr>
            <w:tcW w:w="816" w:type="dxa"/>
            <w:shd w:val="clear" w:color="auto" w:fill="auto"/>
          </w:tcPr>
          <w:p w14:paraId="2E8EC029" w14:textId="77777777" w:rsidR="008D2659" w:rsidRDefault="00E229A6">
            <w:pPr>
              <w:rPr>
                <w:sz w:val="16"/>
              </w:rPr>
            </w:pPr>
            <w:r>
              <w:rPr>
                <w:sz w:val="16"/>
              </w:rPr>
              <w:t>present</w:t>
            </w:r>
          </w:p>
        </w:tc>
      </w:tr>
      <w:tr w:rsidR="008D2659" w14:paraId="10E76A8A" w14:textId="77777777">
        <w:tc>
          <w:tcPr>
            <w:tcW w:w="531" w:type="dxa"/>
            <w:tcBorders>
              <w:right w:val="single" w:sz="6" w:space="0" w:color="000000"/>
            </w:tcBorders>
            <w:shd w:val="clear" w:color="auto" w:fill="auto"/>
          </w:tcPr>
          <w:p w14:paraId="72DA8F04" w14:textId="77777777" w:rsidR="008D2659" w:rsidRDefault="00E229A6">
            <w:pPr>
              <w:rPr>
                <w:sz w:val="16"/>
              </w:rPr>
            </w:pPr>
            <w:r>
              <w:rPr>
                <w:sz w:val="16"/>
              </w:rPr>
              <w:t>3</w:t>
            </w:r>
          </w:p>
        </w:tc>
        <w:tc>
          <w:tcPr>
            <w:tcW w:w="1191" w:type="dxa"/>
            <w:tcBorders>
              <w:left w:val="single" w:sz="6" w:space="0" w:color="000000"/>
            </w:tcBorders>
            <w:shd w:val="clear" w:color="auto" w:fill="auto"/>
          </w:tcPr>
          <w:p w14:paraId="45AD75BA" w14:textId="77777777" w:rsidR="008D2659" w:rsidRDefault="00E229A6">
            <w:pPr>
              <w:rPr>
                <w:sz w:val="16"/>
              </w:rPr>
            </w:pPr>
            <w:r>
              <w:rPr>
                <w:sz w:val="16"/>
              </w:rPr>
              <w:t>R1-2003500</w:t>
            </w:r>
          </w:p>
        </w:tc>
        <w:tc>
          <w:tcPr>
            <w:tcW w:w="1056" w:type="dxa"/>
            <w:shd w:val="clear" w:color="auto" w:fill="auto"/>
          </w:tcPr>
          <w:p w14:paraId="2A8A425A" w14:textId="77777777" w:rsidR="008D2659" w:rsidRDefault="00E229A6">
            <w:pPr>
              <w:rPr>
                <w:sz w:val="16"/>
              </w:rPr>
            </w:pPr>
            <w:r>
              <w:rPr>
                <w:sz w:val="16"/>
              </w:rPr>
              <w:t>discussion</w:t>
            </w:r>
          </w:p>
        </w:tc>
        <w:tc>
          <w:tcPr>
            <w:tcW w:w="2226" w:type="dxa"/>
            <w:shd w:val="clear" w:color="auto" w:fill="auto"/>
          </w:tcPr>
          <w:p w14:paraId="1520521C" w14:textId="77777777" w:rsidR="008D2659" w:rsidRDefault="00E229A6">
            <w:pPr>
              <w:rPr>
                <w:sz w:val="16"/>
              </w:rPr>
            </w:pPr>
            <w:r>
              <w:rPr>
                <w:sz w:val="16"/>
              </w:rPr>
              <w:t>Huawei, HiSilicon</w:t>
            </w:r>
          </w:p>
        </w:tc>
        <w:tc>
          <w:tcPr>
            <w:tcW w:w="3648" w:type="dxa"/>
            <w:shd w:val="clear" w:color="auto" w:fill="auto"/>
          </w:tcPr>
          <w:p w14:paraId="13FAC6BB" w14:textId="77777777" w:rsidR="008D2659" w:rsidRDefault="00E229A6">
            <w:pPr>
              <w:rPr>
                <w:sz w:val="16"/>
              </w:rPr>
            </w:pPr>
            <w:r>
              <w:rPr>
                <w:sz w:val="16"/>
              </w:rPr>
              <w:t>Remaining details of NR Uu control for LTE sidelink</w:t>
            </w:r>
          </w:p>
        </w:tc>
        <w:tc>
          <w:tcPr>
            <w:tcW w:w="816" w:type="dxa"/>
            <w:shd w:val="clear" w:color="auto" w:fill="auto"/>
          </w:tcPr>
          <w:p w14:paraId="16A69D26" w14:textId="77777777" w:rsidR="008D2659" w:rsidRDefault="00E229A6">
            <w:pPr>
              <w:rPr>
                <w:sz w:val="16"/>
              </w:rPr>
            </w:pPr>
            <w:r>
              <w:rPr>
                <w:sz w:val="16"/>
              </w:rPr>
              <w:t>present</w:t>
            </w:r>
          </w:p>
        </w:tc>
      </w:tr>
      <w:tr w:rsidR="008D2659" w14:paraId="2AE4AB29" w14:textId="77777777">
        <w:tc>
          <w:tcPr>
            <w:tcW w:w="531" w:type="dxa"/>
            <w:tcBorders>
              <w:right w:val="single" w:sz="6" w:space="0" w:color="000000"/>
            </w:tcBorders>
            <w:shd w:val="clear" w:color="auto" w:fill="auto"/>
          </w:tcPr>
          <w:p w14:paraId="18EED84C" w14:textId="77777777" w:rsidR="008D2659" w:rsidRDefault="00E229A6">
            <w:pPr>
              <w:rPr>
                <w:sz w:val="16"/>
              </w:rPr>
            </w:pPr>
            <w:r>
              <w:rPr>
                <w:sz w:val="16"/>
              </w:rPr>
              <w:t>4</w:t>
            </w:r>
          </w:p>
        </w:tc>
        <w:tc>
          <w:tcPr>
            <w:tcW w:w="1191" w:type="dxa"/>
            <w:tcBorders>
              <w:left w:val="single" w:sz="6" w:space="0" w:color="000000"/>
            </w:tcBorders>
            <w:shd w:val="clear" w:color="auto" w:fill="auto"/>
          </w:tcPr>
          <w:p w14:paraId="1DEC9CE0" w14:textId="77777777" w:rsidR="008D2659" w:rsidRDefault="00E229A6">
            <w:pPr>
              <w:rPr>
                <w:sz w:val="16"/>
              </w:rPr>
            </w:pPr>
            <w:r>
              <w:rPr>
                <w:sz w:val="16"/>
              </w:rPr>
              <w:t>R1-2003554</w:t>
            </w:r>
          </w:p>
        </w:tc>
        <w:tc>
          <w:tcPr>
            <w:tcW w:w="1056" w:type="dxa"/>
            <w:shd w:val="clear" w:color="auto" w:fill="auto"/>
          </w:tcPr>
          <w:p w14:paraId="194AF8DF" w14:textId="77777777" w:rsidR="008D2659" w:rsidRDefault="00E229A6">
            <w:pPr>
              <w:rPr>
                <w:sz w:val="16"/>
              </w:rPr>
            </w:pPr>
            <w:r>
              <w:rPr>
                <w:sz w:val="16"/>
              </w:rPr>
              <w:t>discussion</w:t>
            </w:r>
          </w:p>
        </w:tc>
        <w:tc>
          <w:tcPr>
            <w:tcW w:w="2226" w:type="dxa"/>
            <w:shd w:val="clear" w:color="auto" w:fill="auto"/>
          </w:tcPr>
          <w:p w14:paraId="6C3A3F07" w14:textId="77777777" w:rsidR="008D2659" w:rsidRDefault="00E229A6">
            <w:pPr>
              <w:rPr>
                <w:sz w:val="16"/>
              </w:rPr>
            </w:pPr>
            <w:r>
              <w:rPr>
                <w:sz w:val="16"/>
              </w:rPr>
              <w:t>ZTE, sanechips</w:t>
            </w:r>
          </w:p>
        </w:tc>
        <w:tc>
          <w:tcPr>
            <w:tcW w:w="3648" w:type="dxa"/>
            <w:shd w:val="clear" w:color="auto" w:fill="auto"/>
          </w:tcPr>
          <w:p w14:paraId="1190DC58" w14:textId="77777777" w:rsidR="008D2659" w:rsidRDefault="00E229A6">
            <w:pPr>
              <w:rPr>
                <w:sz w:val="16"/>
              </w:rPr>
            </w:pPr>
            <w:r>
              <w:rPr>
                <w:sz w:val="16"/>
              </w:rPr>
              <w:t>Remaining issues on NR Uu control LTE sidelink</w:t>
            </w:r>
          </w:p>
        </w:tc>
        <w:tc>
          <w:tcPr>
            <w:tcW w:w="816" w:type="dxa"/>
            <w:shd w:val="clear" w:color="auto" w:fill="auto"/>
          </w:tcPr>
          <w:p w14:paraId="7D61C58D" w14:textId="77777777" w:rsidR="008D2659" w:rsidRDefault="00E229A6">
            <w:pPr>
              <w:rPr>
                <w:sz w:val="16"/>
              </w:rPr>
            </w:pPr>
            <w:r>
              <w:rPr>
                <w:sz w:val="16"/>
              </w:rPr>
              <w:t>present</w:t>
            </w:r>
          </w:p>
        </w:tc>
      </w:tr>
      <w:tr w:rsidR="008D2659" w14:paraId="227B6E1E" w14:textId="77777777">
        <w:tc>
          <w:tcPr>
            <w:tcW w:w="531" w:type="dxa"/>
            <w:tcBorders>
              <w:right w:val="single" w:sz="6" w:space="0" w:color="000000"/>
            </w:tcBorders>
            <w:shd w:val="clear" w:color="auto" w:fill="auto"/>
          </w:tcPr>
          <w:p w14:paraId="2186FDF7" w14:textId="77777777" w:rsidR="008D2659" w:rsidRDefault="00E229A6">
            <w:pPr>
              <w:rPr>
                <w:sz w:val="16"/>
              </w:rPr>
            </w:pPr>
            <w:r>
              <w:rPr>
                <w:sz w:val="16"/>
              </w:rPr>
              <w:t>5</w:t>
            </w:r>
          </w:p>
        </w:tc>
        <w:tc>
          <w:tcPr>
            <w:tcW w:w="1191" w:type="dxa"/>
            <w:tcBorders>
              <w:left w:val="single" w:sz="6" w:space="0" w:color="000000"/>
            </w:tcBorders>
            <w:shd w:val="clear" w:color="auto" w:fill="auto"/>
          </w:tcPr>
          <w:p w14:paraId="52C9BDCD" w14:textId="77777777" w:rsidR="008D2659" w:rsidRDefault="00E229A6">
            <w:pPr>
              <w:rPr>
                <w:sz w:val="16"/>
              </w:rPr>
            </w:pPr>
            <w:r>
              <w:rPr>
                <w:sz w:val="16"/>
              </w:rPr>
              <w:t>R1-2003568</w:t>
            </w:r>
          </w:p>
        </w:tc>
        <w:tc>
          <w:tcPr>
            <w:tcW w:w="1056" w:type="dxa"/>
            <w:shd w:val="clear" w:color="auto" w:fill="auto"/>
          </w:tcPr>
          <w:p w14:paraId="20834FD8" w14:textId="77777777" w:rsidR="008D2659" w:rsidRDefault="00E229A6">
            <w:pPr>
              <w:rPr>
                <w:sz w:val="16"/>
              </w:rPr>
            </w:pPr>
            <w:r>
              <w:rPr>
                <w:sz w:val="16"/>
              </w:rPr>
              <w:t>discussion</w:t>
            </w:r>
          </w:p>
        </w:tc>
        <w:tc>
          <w:tcPr>
            <w:tcW w:w="2226" w:type="dxa"/>
            <w:shd w:val="clear" w:color="auto" w:fill="auto"/>
          </w:tcPr>
          <w:p w14:paraId="689ADA4C" w14:textId="77777777" w:rsidR="008D2659" w:rsidRDefault="00E229A6">
            <w:pPr>
              <w:rPr>
                <w:sz w:val="16"/>
              </w:rPr>
            </w:pPr>
            <w:r>
              <w:rPr>
                <w:sz w:val="16"/>
              </w:rPr>
              <w:t>LGE</w:t>
            </w:r>
          </w:p>
        </w:tc>
        <w:tc>
          <w:tcPr>
            <w:tcW w:w="3648" w:type="dxa"/>
            <w:shd w:val="clear" w:color="auto" w:fill="auto"/>
          </w:tcPr>
          <w:p w14:paraId="17B584BB" w14:textId="77777777" w:rsidR="008D2659" w:rsidRDefault="00E229A6">
            <w:pPr>
              <w:rPr>
                <w:sz w:val="16"/>
              </w:rPr>
            </w:pPr>
            <w:r>
              <w:rPr>
                <w:sz w:val="16"/>
              </w:rPr>
              <w:t>Discussion on NR Uu controlling LTE sidelink</w:t>
            </w:r>
          </w:p>
        </w:tc>
        <w:tc>
          <w:tcPr>
            <w:tcW w:w="816" w:type="dxa"/>
            <w:shd w:val="clear" w:color="auto" w:fill="auto"/>
          </w:tcPr>
          <w:p w14:paraId="29B1BBB9" w14:textId="77777777" w:rsidR="008D2659" w:rsidRDefault="00E229A6">
            <w:pPr>
              <w:rPr>
                <w:sz w:val="16"/>
              </w:rPr>
            </w:pPr>
            <w:r>
              <w:rPr>
                <w:sz w:val="16"/>
              </w:rPr>
              <w:t>present</w:t>
            </w:r>
          </w:p>
        </w:tc>
      </w:tr>
      <w:tr w:rsidR="008D2659" w14:paraId="458D9616" w14:textId="77777777">
        <w:tc>
          <w:tcPr>
            <w:tcW w:w="531" w:type="dxa"/>
            <w:tcBorders>
              <w:right w:val="single" w:sz="6" w:space="0" w:color="000000"/>
            </w:tcBorders>
            <w:shd w:val="clear" w:color="auto" w:fill="auto"/>
          </w:tcPr>
          <w:p w14:paraId="743C3A6E" w14:textId="77777777" w:rsidR="008D2659" w:rsidRDefault="00E229A6">
            <w:pPr>
              <w:rPr>
                <w:sz w:val="16"/>
              </w:rPr>
            </w:pPr>
            <w:r>
              <w:rPr>
                <w:sz w:val="16"/>
              </w:rPr>
              <w:t>6</w:t>
            </w:r>
          </w:p>
        </w:tc>
        <w:tc>
          <w:tcPr>
            <w:tcW w:w="1191" w:type="dxa"/>
            <w:tcBorders>
              <w:left w:val="single" w:sz="6" w:space="0" w:color="000000"/>
            </w:tcBorders>
            <w:shd w:val="clear" w:color="auto" w:fill="auto"/>
          </w:tcPr>
          <w:p w14:paraId="459A7D61" w14:textId="77777777" w:rsidR="008D2659" w:rsidRDefault="00E229A6">
            <w:pPr>
              <w:rPr>
                <w:sz w:val="16"/>
              </w:rPr>
            </w:pPr>
            <w:r>
              <w:rPr>
                <w:sz w:val="16"/>
              </w:rPr>
              <w:t>R1-2003808</w:t>
            </w:r>
          </w:p>
        </w:tc>
        <w:tc>
          <w:tcPr>
            <w:tcW w:w="1056" w:type="dxa"/>
            <w:shd w:val="clear" w:color="auto" w:fill="auto"/>
          </w:tcPr>
          <w:p w14:paraId="52C8CFF9" w14:textId="77777777" w:rsidR="008D2659" w:rsidRDefault="00E229A6">
            <w:pPr>
              <w:rPr>
                <w:sz w:val="16"/>
              </w:rPr>
            </w:pPr>
            <w:r>
              <w:rPr>
                <w:sz w:val="16"/>
              </w:rPr>
              <w:t>decision</w:t>
            </w:r>
          </w:p>
        </w:tc>
        <w:tc>
          <w:tcPr>
            <w:tcW w:w="2226" w:type="dxa"/>
            <w:shd w:val="clear" w:color="auto" w:fill="auto"/>
          </w:tcPr>
          <w:p w14:paraId="7CDF6636" w14:textId="77777777" w:rsidR="008D2659" w:rsidRDefault="00E229A6">
            <w:pPr>
              <w:rPr>
                <w:sz w:val="16"/>
              </w:rPr>
            </w:pPr>
            <w:r>
              <w:rPr>
                <w:sz w:val="16"/>
              </w:rPr>
              <w:t>Futurewei</w:t>
            </w:r>
          </w:p>
        </w:tc>
        <w:tc>
          <w:tcPr>
            <w:tcW w:w="3648" w:type="dxa"/>
            <w:shd w:val="clear" w:color="auto" w:fill="auto"/>
          </w:tcPr>
          <w:p w14:paraId="21610EE5" w14:textId="77777777" w:rsidR="008D2659" w:rsidRDefault="00E229A6">
            <w:pPr>
              <w:rPr>
                <w:sz w:val="16"/>
              </w:rPr>
            </w:pPr>
            <w:r>
              <w:rPr>
                <w:sz w:val="16"/>
              </w:rPr>
              <w:t>Remaining details of cross-RAT scheduling</w:t>
            </w:r>
          </w:p>
        </w:tc>
        <w:tc>
          <w:tcPr>
            <w:tcW w:w="816" w:type="dxa"/>
            <w:shd w:val="clear" w:color="auto" w:fill="auto"/>
          </w:tcPr>
          <w:p w14:paraId="2385229D" w14:textId="77777777" w:rsidR="008D2659" w:rsidRDefault="00E229A6">
            <w:pPr>
              <w:rPr>
                <w:sz w:val="16"/>
              </w:rPr>
            </w:pPr>
            <w:r>
              <w:rPr>
                <w:sz w:val="16"/>
              </w:rPr>
              <w:t>present</w:t>
            </w:r>
          </w:p>
        </w:tc>
      </w:tr>
      <w:tr w:rsidR="008D2659" w14:paraId="242AF88A" w14:textId="77777777">
        <w:tc>
          <w:tcPr>
            <w:tcW w:w="531" w:type="dxa"/>
            <w:tcBorders>
              <w:right w:val="single" w:sz="6" w:space="0" w:color="000000"/>
            </w:tcBorders>
            <w:shd w:val="clear" w:color="auto" w:fill="auto"/>
          </w:tcPr>
          <w:p w14:paraId="63C3948B" w14:textId="77777777" w:rsidR="008D2659" w:rsidRDefault="00E229A6">
            <w:pPr>
              <w:rPr>
                <w:sz w:val="16"/>
              </w:rPr>
            </w:pPr>
            <w:r>
              <w:rPr>
                <w:sz w:val="16"/>
              </w:rPr>
              <w:t>7</w:t>
            </w:r>
          </w:p>
        </w:tc>
        <w:tc>
          <w:tcPr>
            <w:tcW w:w="1191" w:type="dxa"/>
            <w:tcBorders>
              <w:left w:val="single" w:sz="6" w:space="0" w:color="000000"/>
            </w:tcBorders>
            <w:shd w:val="clear" w:color="auto" w:fill="auto"/>
          </w:tcPr>
          <w:p w14:paraId="61268E6E" w14:textId="77777777" w:rsidR="008D2659" w:rsidRDefault="00E229A6">
            <w:pPr>
              <w:rPr>
                <w:sz w:val="16"/>
              </w:rPr>
            </w:pPr>
            <w:r>
              <w:rPr>
                <w:sz w:val="16"/>
              </w:rPr>
              <w:t>R1-2004078</w:t>
            </w:r>
          </w:p>
        </w:tc>
        <w:tc>
          <w:tcPr>
            <w:tcW w:w="1056" w:type="dxa"/>
            <w:shd w:val="clear" w:color="auto" w:fill="auto"/>
          </w:tcPr>
          <w:p w14:paraId="1F330E6B" w14:textId="77777777" w:rsidR="008D2659" w:rsidRDefault="00E229A6">
            <w:pPr>
              <w:rPr>
                <w:sz w:val="16"/>
              </w:rPr>
            </w:pPr>
            <w:r>
              <w:rPr>
                <w:sz w:val="16"/>
              </w:rPr>
              <w:t>discussion</w:t>
            </w:r>
          </w:p>
        </w:tc>
        <w:tc>
          <w:tcPr>
            <w:tcW w:w="2226" w:type="dxa"/>
            <w:shd w:val="clear" w:color="auto" w:fill="auto"/>
          </w:tcPr>
          <w:p w14:paraId="04BCED66" w14:textId="77777777" w:rsidR="008D2659" w:rsidRDefault="00E229A6">
            <w:pPr>
              <w:rPr>
                <w:sz w:val="16"/>
              </w:rPr>
            </w:pPr>
            <w:r>
              <w:rPr>
                <w:sz w:val="16"/>
              </w:rPr>
              <w:t>OPPO</w:t>
            </w:r>
          </w:p>
        </w:tc>
        <w:tc>
          <w:tcPr>
            <w:tcW w:w="3648" w:type="dxa"/>
            <w:shd w:val="clear" w:color="auto" w:fill="auto"/>
          </w:tcPr>
          <w:p w14:paraId="5EEC2351" w14:textId="77777777" w:rsidR="008D2659" w:rsidRDefault="00E229A6">
            <w:pPr>
              <w:rPr>
                <w:sz w:val="16"/>
              </w:rPr>
            </w:pPr>
            <w:r>
              <w:rPr>
                <w:sz w:val="16"/>
              </w:rPr>
              <w:t>Open loop power control for NR Uu controlling LTE sidelink</w:t>
            </w:r>
          </w:p>
        </w:tc>
        <w:tc>
          <w:tcPr>
            <w:tcW w:w="816" w:type="dxa"/>
            <w:shd w:val="clear" w:color="auto" w:fill="auto"/>
          </w:tcPr>
          <w:p w14:paraId="2413BC49" w14:textId="77777777" w:rsidR="008D2659" w:rsidRDefault="00E229A6">
            <w:pPr>
              <w:rPr>
                <w:sz w:val="16"/>
              </w:rPr>
            </w:pPr>
            <w:r>
              <w:rPr>
                <w:sz w:val="16"/>
              </w:rPr>
              <w:t>present</w:t>
            </w:r>
          </w:p>
        </w:tc>
      </w:tr>
      <w:tr w:rsidR="008D2659" w14:paraId="55008FA2" w14:textId="77777777">
        <w:tc>
          <w:tcPr>
            <w:tcW w:w="531" w:type="dxa"/>
            <w:tcBorders>
              <w:right w:val="single" w:sz="6" w:space="0" w:color="000000"/>
            </w:tcBorders>
            <w:shd w:val="clear" w:color="auto" w:fill="auto"/>
          </w:tcPr>
          <w:p w14:paraId="1F8D8C91" w14:textId="77777777" w:rsidR="008D2659" w:rsidRDefault="00E229A6">
            <w:pPr>
              <w:rPr>
                <w:sz w:val="16"/>
              </w:rPr>
            </w:pPr>
            <w:r>
              <w:rPr>
                <w:sz w:val="16"/>
              </w:rPr>
              <w:t>8</w:t>
            </w:r>
          </w:p>
        </w:tc>
        <w:tc>
          <w:tcPr>
            <w:tcW w:w="1191" w:type="dxa"/>
            <w:tcBorders>
              <w:left w:val="single" w:sz="6" w:space="0" w:color="000000"/>
            </w:tcBorders>
            <w:shd w:val="clear" w:color="auto" w:fill="auto"/>
          </w:tcPr>
          <w:p w14:paraId="145666A1" w14:textId="77777777" w:rsidR="008D2659" w:rsidRDefault="00E229A6">
            <w:pPr>
              <w:rPr>
                <w:sz w:val="16"/>
              </w:rPr>
            </w:pPr>
            <w:r>
              <w:rPr>
                <w:sz w:val="16"/>
              </w:rPr>
              <w:t>R1-2004388</w:t>
            </w:r>
          </w:p>
        </w:tc>
        <w:tc>
          <w:tcPr>
            <w:tcW w:w="1056" w:type="dxa"/>
            <w:shd w:val="clear" w:color="auto" w:fill="auto"/>
          </w:tcPr>
          <w:p w14:paraId="51ABDAB2" w14:textId="77777777" w:rsidR="008D2659" w:rsidRDefault="00E229A6">
            <w:pPr>
              <w:rPr>
                <w:sz w:val="16"/>
              </w:rPr>
            </w:pPr>
            <w:r>
              <w:rPr>
                <w:sz w:val="16"/>
              </w:rPr>
              <w:t>discussion</w:t>
            </w:r>
          </w:p>
        </w:tc>
        <w:tc>
          <w:tcPr>
            <w:tcW w:w="2226" w:type="dxa"/>
            <w:shd w:val="clear" w:color="auto" w:fill="auto"/>
          </w:tcPr>
          <w:p w14:paraId="48F1BEF2" w14:textId="77777777" w:rsidR="008D2659" w:rsidRDefault="00E229A6">
            <w:pPr>
              <w:rPr>
                <w:sz w:val="16"/>
              </w:rPr>
            </w:pPr>
            <w:r>
              <w:rPr>
                <w:sz w:val="16"/>
              </w:rPr>
              <w:t>NTT DoCoMo</w:t>
            </w:r>
          </w:p>
        </w:tc>
        <w:tc>
          <w:tcPr>
            <w:tcW w:w="3648" w:type="dxa"/>
            <w:shd w:val="clear" w:color="auto" w:fill="auto"/>
          </w:tcPr>
          <w:p w14:paraId="7D373369" w14:textId="77777777" w:rsidR="008D2659" w:rsidRDefault="00E229A6">
            <w:pPr>
              <w:rPr>
                <w:sz w:val="16"/>
              </w:rPr>
            </w:pPr>
            <w:r>
              <w:rPr>
                <w:sz w:val="16"/>
              </w:rPr>
              <w:t>Remaining issues on NR Uu controlling LTE SL</w:t>
            </w:r>
          </w:p>
        </w:tc>
        <w:tc>
          <w:tcPr>
            <w:tcW w:w="816" w:type="dxa"/>
            <w:shd w:val="clear" w:color="auto" w:fill="auto"/>
          </w:tcPr>
          <w:p w14:paraId="49BC39C1" w14:textId="77777777" w:rsidR="008D2659" w:rsidRDefault="00E229A6">
            <w:pPr>
              <w:rPr>
                <w:sz w:val="16"/>
              </w:rPr>
            </w:pPr>
            <w:r>
              <w:rPr>
                <w:sz w:val="16"/>
              </w:rPr>
              <w:t>present</w:t>
            </w:r>
          </w:p>
        </w:tc>
      </w:tr>
      <w:tr w:rsidR="008D2659" w14:paraId="73D1FE45" w14:textId="77777777">
        <w:tc>
          <w:tcPr>
            <w:tcW w:w="531" w:type="dxa"/>
            <w:tcBorders>
              <w:right w:val="single" w:sz="6" w:space="0" w:color="000000"/>
            </w:tcBorders>
            <w:shd w:val="clear" w:color="auto" w:fill="auto"/>
          </w:tcPr>
          <w:p w14:paraId="1193109F" w14:textId="77777777" w:rsidR="008D2659" w:rsidRDefault="00E229A6">
            <w:pPr>
              <w:rPr>
                <w:sz w:val="16"/>
              </w:rPr>
            </w:pPr>
            <w:r>
              <w:rPr>
                <w:sz w:val="16"/>
              </w:rPr>
              <w:t>9</w:t>
            </w:r>
          </w:p>
        </w:tc>
        <w:tc>
          <w:tcPr>
            <w:tcW w:w="1191" w:type="dxa"/>
            <w:tcBorders>
              <w:left w:val="single" w:sz="6" w:space="0" w:color="000000"/>
            </w:tcBorders>
            <w:shd w:val="clear" w:color="auto" w:fill="auto"/>
          </w:tcPr>
          <w:p w14:paraId="51F16446" w14:textId="77777777" w:rsidR="008D2659" w:rsidRDefault="00E229A6">
            <w:pPr>
              <w:rPr>
                <w:sz w:val="16"/>
              </w:rPr>
            </w:pPr>
            <w:r>
              <w:rPr>
                <w:sz w:val="16"/>
              </w:rPr>
              <w:t>R1-2004550</w:t>
            </w:r>
          </w:p>
        </w:tc>
        <w:tc>
          <w:tcPr>
            <w:tcW w:w="1056" w:type="dxa"/>
            <w:shd w:val="clear" w:color="auto" w:fill="auto"/>
          </w:tcPr>
          <w:p w14:paraId="34A0BA55" w14:textId="77777777" w:rsidR="008D2659" w:rsidRDefault="00E229A6">
            <w:pPr>
              <w:rPr>
                <w:sz w:val="16"/>
              </w:rPr>
            </w:pPr>
            <w:r>
              <w:rPr>
                <w:sz w:val="16"/>
              </w:rPr>
              <w:t>decision</w:t>
            </w:r>
          </w:p>
        </w:tc>
        <w:tc>
          <w:tcPr>
            <w:tcW w:w="2226" w:type="dxa"/>
            <w:shd w:val="clear" w:color="auto" w:fill="auto"/>
          </w:tcPr>
          <w:p w14:paraId="15190DBF" w14:textId="77777777" w:rsidR="008D2659" w:rsidRDefault="00E229A6">
            <w:pPr>
              <w:rPr>
                <w:sz w:val="16"/>
              </w:rPr>
            </w:pPr>
            <w:r>
              <w:rPr>
                <w:sz w:val="16"/>
              </w:rPr>
              <w:t>Ericsson</w:t>
            </w:r>
          </w:p>
        </w:tc>
        <w:tc>
          <w:tcPr>
            <w:tcW w:w="3648" w:type="dxa"/>
            <w:shd w:val="clear" w:color="auto" w:fill="auto"/>
          </w:tcPr>
          <w:p w14:paraId="7D311B12" w14:textId="77777777" w:rsidR="008D2659" w:rsidRDefault="00E229A6">
            <w:pPr>
              <w:rPr>
                <w:sz w:val="16"/>
              </w:rPr>
            </w:pPr>
            <w:r>
              <w:rPr>
                <w:sz w:val="16"/>
              </w:rPr>
              <w:t>NR UU controlling LTE sidelink transmissions</w:t>
            </w:r>
          </w:p>
        </w:tc>
        <w:tc>
          <w:tcPr>
            <w:tcW w:w="816" w:type="dxa"/>
            <w:shd w:val="clear" w:color="auto" w:fill="auto"/>
          </w:tcPr>
          <w:p w14:paraId="5FE874B4" w14:textId="77777777" w:rsidR="008D2659" w:rsidRDefault="00E229A6">
            <w:pPr>
              <w:rPr>
                <w:sz w:val="16"/>
              </w:rPr>
            </w:pPr>
            <w:r>
              <w:rPr>
                <w:sz w:val="16"/>
              </w:rPr>
              <w:t>present</w:t>
            </w:r>
          </w:p>
        </w:tc>
      </w:tr>
    </w:tbl>
    <w:p w14:paraId="5A1497F3" w14:textId="77777777" w:rsidR="008D2659" w:rsidRDefault="008D2659"/>
    <w:sectPr w:rsidR="008D265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A3EC9" w14:textId="77777777" w:rsidR="0024695E" w:rsidRDefault="0024695E" w:rsidP="00F51D0F">
      <w:pPr>
        <w:spacing w:after="0" w:line="240" w:lineRule="auto"/>
      </w:pPr>
      <w:r>
        <w:separator/>
      </w:r>
    </w:p>
  </w:endnote>
  <w:endnote w:type="continuationSeparator" w:id="0">
    <w:p w14:paraId="6F2158A5" w14:textId="77777777" w:rsidR="0024695E" w:rsidRDefault="0024695E" w:rsidP="00F5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BB65A" w14:textId="77777777" w:rsidR="0024695E" w:rsidRDefault="0024695E" w:rsidP="00F51D0F">
      <w:pPr>
        <w:spacing w:after="0" w:line="240" w:lineRule="auto"/>
      </w:pPr>
      <w:r>
        <w:separator/>
      </w:r>
    </w:p>
  </w:footnote>
  <w:footnote w:type="continuationSeparator" w:id="0">
    <w:p w14:paraId="08384DEE" w14:textId="77777777" w:rsidR="0024695E" w:rsidRDefault="0024695E" w:rsidP="00F51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9E35"/>
    <w:multiLevelType w:val="multi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07027CD5"/>
    <w:multiLevelType w:val="multilevel"/>
    <w:tmpl w:val="07027CD5"/>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3573A4"/>
    <w:multiLevelType w:val="multilevel"/>
    <w:tmpl w:val="143573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4F7718C"/>
    <w:multiLevelType w:val="multilevel"/>
    <w:tmpl w:val="14F771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65B638C"/>
    <w:multiLevelType w:val="multilevel"/>
    <w:tmpl w:val="165B63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8110F4"/>
    <w:multiLevelType w:val="multilevel"/>
    <w:tmpl w:val="16811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E33345"/>
    <w:multiLevelType w:val="multilevel"/>
    <w:tmpl w:val="34E33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7D0F5C"/>
    <w:multiLevelType w:val="multilevel"/>
    <w:tmpl w:val="367D0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C4B30D2"/>
    <w:multiLevelType w:val="hybridMultilevel"/>
    <w:tmpl w:val="2E2CC95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821" w:hanging="360"/>
      </w:pPr>
    </w:lvl>
    <w:lvl w:ilvl="2">
      <w:start w:val="1"/>
      <w:numFmt w:val="lowerRoman"/>
      <w:lvlText w:val="%3."/>
      <w:lvlJc w:val="right"/>
      <w:pPr>
        <w:ind w:left="-1101" w:hanging="180"/>
      </w:pPr>
    </w:lvl>
    <w:lvl w:ilvl="3">
      <w:start w:val="1"/>
      <w:numFmt w:val="decimal"/>
      <w:lvlText w:val="%4."/>
      <w:lvlJc w:val="left"/>
      <w:pPr>
        <w:ind w:left="-381" w:hanging="360"/>
      </w:pPr>
    </w:lvl>
    <w:lvl w:ilvl="4">
      <w:start w:val="1"/>
      <w:numFmt w:val="lowerLetter"/>
      <w:lvlText w:val="%5."/>
      <w:lvlJc w:val="left"/>
      <w:pPr>
        <w:ind w:left="339" w:hanging="360"/>
      </w:pPr>
    </w:lvl>
    <w:lvl w:ilvl="5">
      <w:start w:val="1"/>
      <w:numFmt w:val="lowerRoman"/>
      <w:lvlText w:val="%6."/>
      <w:lvlJc w:val="right"/>
      <w:pPr>
        <w:ind w:left="1059" w:hanging="180"/>
      </w:pPr>
    </w:lvl>
    <w:lvl w:ilvl="6">
      <w:start w:val="1"/>
      <w:numFmt w:val="decimal"/>
      <w:lvlText w:val="%7."/>
      <w:lvlJc w:val="left"/>
      <w:pPr>
        <w:ind w:left="1779" w:hanging="360"/>
      </w:pPr>
    </w:lvl>
    <w:lvl w:ilvl="7">
      <w:start w:val="1"/>
      <w:numFmt w:val="lowerLetter"/>
      <w:lvlText w:val="%8."/>
      <w:lvlJc w:val="left"/>
      <w:pPr>
        <w:ind w:left="2499" w:hanging="360"/>
      </w:pPr>
    </w:lvl>
    <w:lvl w:ilvl="8">
      <w:start w:val="1"/>
      <w:numFmt w:val="lowerRoman"/>
      <w:lvlText w:val="%9."/>
      <w:lvlJc w:val="right"/>
      <w:pPr>
        <w:ind w:left="3219" w:hanging="180"/>
      </w:pPr>
    </w:lvl>
  </w:abstractNum>
  <w:abstractNum w:abstractNumId="14" w15:restartNumberingAfterBreak="0">
    <w:nsid w:val="5165544C"/>
    <w:multiLevelType w:val="multilevel"/>
    <w:tmpl w:val="51655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740AFD"/>
    <w:multiLevelType w:val="multilevel"/>
    <w:tmpl w:val="5C740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EA192D"/>
    <w:multiLevelType w:val="multilevel"/>
    <w:tmpl w:val="6CEA19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A50776"/>
    <w:multiLevelType w:val="multilevel"/>
    <w:tmpl w:val="6EA5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032A93"/>
    <w:multiLevelType w:val="multilevel"/>
    <w:tmpl w:val="76032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6"/>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19"/>
  </w:num>
  <w:num w:numId="10">
    <w:abstractNumId w:val="2"/>
  </w:num>
  <w:num w:numId="11">
    <w:abstractNumId w:val="8"/>
  </w:num>
  <w:num w:numId="12">
    <w:abstractNumId w:val="1"/>
  </w:num>
  <w:num w:numId="13">
    <w:abstractNumId w:val="15"/>
  </w:num>
  <w:num w:numId="14">
    <w:abstractNumId w:val="5"/>
  </w:num>
  <w:num w:numId="15">
    <w:abstractNumId w:val="14"/>
  </w:num>
  <w:num w:numId="16">
    <w:abstractNumId w:val="17"/>
  </w:num>
  <w:num w:numId="17">
    <w:abstractNumId w:val="18"/>
  </w:num>
  <w:num w:numId="18">
    <w:abstractNumId w:val="3"/>
  </w:num>
  <w:num w:numId="19">
    <w:abstractNumId w:val="4"/>
  </w:num>
  <w:num w:numId="20">
    <w:abstractNumId w:val="7"/>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ippe Sartori">
    <w15:presenceInfo w15:providerId="AD" w15:userId="S::psartori@futurewei.com::c9947e6d-baec-4cf1-9c8d-b63fb95bb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E70"/>
    <w:rsid w:val="00005E66"/>
    <w:rsid w:val="000067E8"/>
    <w:rsid w:val="00006B4B"/>
    <w:rsid w:val="000072B6"/>
    <w:rsid w:val="00007813"/>
    <w:rsid w:val="000102D7"/>
    <w:rsid w:val="000109E6"/>
    <w:rsid w:val="0001116D"/>
    <w:rsid w:val="00011278"/>
    <w:rsid w:val="00011F67"/>
    <w:rsid w:val="00012169"/>
    <w:rsid w:val="00012862"/>
    <w:rsid w:val="000128E6"/>
    <w:rsid w:val="00012F77"/>
    <w:rsid w:val="00013371"/>
    <w:rsid w:val="00015A05"/>
    <w:rsid w:val="00015EFB"/>
    <w:rsid w:val="000165E2"/>
    <w:rsid w:val="00016B0E"/>
    <w:rsid w:val="00016EF9"/>
    <w:rsid w:val="000172BE"/>
    <w:rsid w:val="00017D8A"/>
    <w:rsid w:val="000227D0"/>
    <w:rsid w:val="00022DF6"/>
    <w:rsid w:val="00023388"/>
    <w:rsid w:val="00023425"/>
    <w:rsid w:val="00023685"/>
    <w:rsid w:val="00023EF0"/>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6660"/>
    <w:rsid w:val="000369C1"/>
    <w:rsid w:val="00036A84"/>
    <w:rsid w:val="000371DD"/>
    <w:rsid w:val="00040180"/>
    <w:rsid w:val="0004023E"/>
    <w:rsid w:val="0004024B"/>
    <w:rsid w:val="000404D2"/>
    <w:rsid w:val="00041C10"/>
    <w:rsid w:val="00041C57"/>
    <w:rsid w:val="00041D96"/>
    <w:rsid w:val="00042ADB"/>
    <w:rsid w:val="000434B7"/>
    <w:rsid w:val="000435E4"/>
    <w:rsid w:val="00045A92"/>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CED"/>
    <w:rsid w:val="00052FEE"/>
    <w:rsid w:val="000530DF"/>
    <w:rsid w:val="00053C16"/>
    <w:rsid w:val="000543DD"/>
    <w:rsid w:val="00054BBB"/>
    <w:rsid w:val="00054E0C"/>
    <w:rsid w:val="0005541D"/>
    <w:rsid w:val="00055B33"/>
    <w:rsid w:val="000565C8"/>
    <w:rsid w:val="000567AD"/>
    <w:rsid w:val="00057DC8"/>
    <w:rsid w:val="00060AB2"/>
    <w:rsid w:val="000612E1"/>
    <w:rsid w:val="000614FE"/>
    <w:rsid w:val="0006295E"/>
    <w:rsid w:val="000632A2"/>
    <w:rsid w:val="00065D38"/>
    <w:rsid w:val="0006694E"/>
    <w:rsid w:val="00067DD1"/>
    <w:rsid w:val="00070447"/>
    <w:rsid w:val="000706E7"/>
    <w:rsid w:val="000707E8"/>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587"/>
    <w:rsid w:val="00083838"/>
    <w:rsid w:val="00083B6A"/>
    <w:rsid w:val="00084856"/>
    <w:rsid w:val="00084AFF"/>
    <w:rsid w:val="00085E04"/>
    <w:rsid w:val="00086800"/>
    <w:rsid w:val="00086AA0"/>
    <w:rsid w:val="00087913"/>
    <w:rsid w:val="000902DC"/>
    <w:rsid w:val="00090946"/>
    <w:rsid w:val="000911AE"/>
    <w:rsid w:val="00092DF7"/>
    <w:rsid w:val="00093697"/>
    <w:rsid w:val="00093D42"/>
    <w:rsid w:val="00093DD0"/>
    <w:rsid w:val="00094A16"/>
    <w:rsid w:val="00094C03"/>
    <w:rsid w:val="00094DE6"/>
    <w:rsid w:val="00094F11"/>
    <w:rsid w:val="00095799"/>
    <w:rsid w:val="00096356"/>
    <w:rsid w:val="00096372"/>
    <w:rsid w:val="0009798B"/>
    <w:rsid w:val="00097C40"/>
    <w:rsid w:val="00097C99"/>
    <w:rsid w:val="000A0B2A"/>
    <w:rsid w:val="000A0F14"/>
    <w:rsid w:val="000A11ED"/>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CDF"/>
    <w:rsid w:val="000C2FBD"/>
    <w:rsid w:val="000C3B0C"/>
    <w:rsid w:val="000C422D"/>
    <w:rsid w:val="000C539A"/>
    <w:rsid w:val="000C5ADD"/>
    <w:rsid w:val="000C5F91"/>
    <w:rsid w:val="000C6025"/>
    <w:rsid w:val="000C63B6"/>
    <w:rsid w:val="000C690A"/>
    <w:rsid w:val="000C6EFA"/>
    <w:rsid w:val="000C7345"/>
    <w:rsid w:val="000D0565"/>
    <w:rsid w:val="000D0811"/>
    <w:rsid w:val="000D0E4E"/>
    <w:rsid w:val="000D113C"/>
    <w:rsid w:val="000D12D1"/>
    <w:rsid w:val="000D159A"/>
    <w:rsid w:val="000D16FF"/>
    <w:rsid w:val="000D1796"/>
    <w:rsid w:val="000D22CC"/>
    <w:rsid w:val="000D2ABC"/>
    <w:rsid w:val="000D36AE"/>
    <w:rsid w:val="000D38A1"/>
    <w:rsid w:val="000D3C4B"/>
    <w:rsid w:val="000D4C4E"/>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4334"/>
    <w:rsid w:val="000F5BC8"/>
    <w:rsid w:val="000F631C"/>
    <w:rsid w:val="000F637B"/>
    <w:rsid w:val="000F65A0"/>
    <w:rsid w:val="000F7326"/>
    <w:rsid w:val="000F7F58"/>
    <w:rsid w:val="00100128"/>
    <w:rsid w:val="00100697"/>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8C2"/>
    <w:rsid w:val="00107E1C"/>
    <w:rsid w:val="00110243"/>
    <w:rsid w:val="001112C4"/>
    <w:rsid w:val="001113D1"/>
    <w:rsid w:val="00111444"/>
    <w:rsid w:val="00111723"/>
    <w:rsid w:val="00111860"/>
    <w:rsid w:val="001129B5"/>
    <w:rsid w:val="00112AD7"/>
    <w:rsid w:val="00112BE6"/>
    <w:rsid w:val="00112FE5"/>
    <w:rsid w:val="001130DD"/>
    <w:rsid w:val="00113AD2"/>
    <w:rsid w:val="001141E3"/>
    <w:rsid w:val="001144DF"/>
    <w:rsid w:val="00114BF1"/>
    <w:rsid w:val="001152B9"/>
    <w:rsid w:val="0011557B"/>
    <w:rsid w:val="00115B5D"/>
    <w:rsid w:val="001161A4"/>
    <w:rsid w:val="00116311"/>
    <w:rsid w:val="00116585"/>
    <w:rsid w:val="001169EC"/>
    <w:rsid w:val="00117141"/>
    <w:rsid w:val="00117678"/>
    <w:rsid w:val="001179BC"/>
    <w:rsid w:val="00117C85"/>
    <w:rsid w:val="001203A0"/>
    <w:rsid w:val="00120B13"/>
    <w:rsid w:val="001233BB"/>
    <w:rsid w:val="00124258"/>
    <w:rsid w:val="00124875"/>
    <w:rsid w:val="00124D84"/>
    <w:rsid w:val="00124D97"/>
    <w:rsid w:val="001250DD"/>
    <w:rsid w:val="00125733"/>
    <w:rsid w:val="001263AA"/>
    <w:rsid w:val="00126C33"/>
    <w:rsid w:val="001273F3"/>
    <w:rsid w:val="00130779"/>
    <w:rsid w:val="001307A1"/>
    <w:rsid w:val="00130F5A"/>
    <w:rsid w:val="001314A8"/>
    <w:rsid w:val="0013160D"/>
    <w:rsid w:val="001321D3"/>
    <w:rsid w:val="0013229E"/>
    <w:rsid w:val="00132FAA"/>
    <w:rsid w:val="00133599"/>
    <w:rsid w:val="00133BF7"/>
    <w:rsid w:val="00134B88"/>
    <w:rsid w:val="00135A01"/>
    <w:rsid w:val="00136A23"/>
    <w:rsid w:val="00136B99"/>
    <w:rsid w:val="0013737A"/>
    <w:rsid w:val="0014063E"/>
    <w:rsid w:val="0014087D"/>
    <w:rsid w:val="00140F74"/>
    <w:rsid w:val="00141191"/>
    <w:rsid w:val="0014159C"/>
    <w:rsid w:val="00142665"/>
    <w:rsid w:val="0014384A"/>
    <w:rsid w:val="0014450F"/>
    <w:rsid w:val="00144D8F"/>
    <w:rsid w:val="00144DCF"/>
    <w:rsid w:val="00145802"/>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71E"/>
    <w:rsid w:val="00162D7A"/>
    <w:rsid w:val="001633C3"/>
    <w:rsid w:val="001648D6"/>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C30"/>
    <w:rsid w:val="001762F8"/>
    <w:rsid w:val="00177069"/>
    <w:rsid w:val="00177FC1"/>
    <w:rsid w:val="0018014F"/>
    <w:rsid w:val="0018070A"/>
    <w:rsid w:val="001815A2"/>
    <w:rsid w:val="00181FC1"/>
    <w:rsid w:val="00182F13"/>
    <w:rsid w:val="00183034"/>
    <w:rsid w:val="001830F7"/>
    <w:rsid w:val="0018371D"/>
    <w:rsid w:val="00183EE6"/>
    <w:rsid w:val="001844E5"/>
    <w:rsid w:val="00184E75"/>
    <w:rsid w:val="0018528A"/>
    <w:rsid w:val="0018588A"/>
    <w:rsid w:val="00186BE6"/>
    <w:rsid w:val="00187252"/>
    <w:rsid w:val="0019074B"/>
    <w:rsid w:val="00191C91"/>
    <w:rsid w:val="00192DD9"/>
    <w:rsid w:val="001931F7"/>
    <w:rsid w:val="00193878"/>
    <w:rsid w:val="00194339"/>
    <w:rsid w:val="00194848"/>
    <w:rsid w:val="00194BA9"/>
    <w:rsid w:val="00194F68"/>
    <w:rsid w:val="001958EA"/>
    <w:rsid w:val="00195E0E"/>
    <w:rsid w:val="00197284"/>
    <w:rsid w:val="001976CB"/>
    <w:rsid w:val="001A01A5"/>
    <w:rsid w:val="001A0E0D"/>
    <w:rsid w:val="001A180D"/>
    <w:rsid w:val="001A1BAC"/>
    <w:rsid w:val="001A23CE"/>
    <w:rsid w:val="001A2C89"/>
    <w:rsid w:val="001A4965"/>
    <w:rsid w:val="001A57EE"/>
    <w:rsid w:val="001A5C71"/>
    <w:rsid w:val="001A673E"/>
    <w:rsid w:val="001A7763"/>
    <w:rsid w:val="001B0525"/>
    <w:rsid w:val="001B1EB4"/>
    <w:rsid w:val="001B2439"/>
    <w:rsid w:val="001B27A5"/>
    <w:rsid w:val="001B31DB"/>
    <w:rsid w:val="001B3964"/>
    <w:rsid w:val="001B4452"/>
    <w:rsid w:val="001B463A"/>
    <w:rsid w:val="001B466C"/>
    <w:rsid w:val="001B4F34"/>
    <w:rsid w:val="001B52EC"/>
    <w:rsid w:val="001B554A"/>
    <w:rsid w:val="001B64C4"/>
    <w:rsid w:val="001B6564"/>
    <w:rsid w:val="001B691A"/>
    <w:rsid w:val="001B72E7"/>
    <w:rsid w:val="001B7520"/>
    <w:rsid w:val="001B7D23"/>
    <w:rsid w:val="001C02D8"/>
    <w:rsid w:val="001C04E3"/>
    <w:rsid w:val="001C2378"/>
    <w:rsid w:val="001C3EE9"/>
    <w:rsid w:val="001C3FA4"/>
    <w:rsid w:val="001C40F9"/>
    <w:rsid w:val="001C40FC"/>
    <w:rsid w:val="001C41B6"/>
    <w:rsid w:val="001C458B"/>
    <w:rsid w:val="001C50F9"/>
    <w:rsid w:val="001C527F"/>
    <w:rsid w:val="001C5D4F"/>
    <w:rsid w:val="001C64C0"/>
    <w:rsid w:val="001C69DA"/>
    <w:rsid w:val="001C6F06"/>
    <w:rsid w:val="001C75AF"/>
    <w:rsid w:val="001C7611"/>
    <w:rsid w:val="001D04E6"/>
    <w:rsid w:val="001D2360"/>
    <w:rsid w:val="001D2372"/>
    <w:rsid w:val="001D2CE6"/>
    <w:rsid w:val="001D3109"/>
    <w:rsid w:val="001D332E"/>
    <w:rsid w:val="001D5033"/>
    <w:rsid w:val="001D5C88"/>
    <w:rsid w:val="001D6567"/>
    <w:rsid w:val="001D695C"/>
    <w:rsid w:val="001D6FD9"/>
    <w:rsid w:val="001D780E"/>
    <w:rsid w:val="001D7A29"/>
    <w:rsid w:val="001D7FF7"/>
    <w:rsid w:val="001E05C3"/>
    <w:rsid w:val="001E0AB0"/>
    <w:rsid w:val="001E0AD3"/>
    <w:rsid w:val="001E36E4"/>
    <w:rsid w:val="001E379D"/>
    <w:rsid w:val="001E3A3C"/>
    <w:rsid w:val="001E3A65"/>
    <w:rsid w:val="001E462D"/>
    <w:rsid w:val="001E5518"/>
    <w:rsid w:val="001E5C23"/>
    <w:rsid w:val="001E6354"/>
    <w:rsid w:val="001E7504"/>
    <w:rsid w:val="001E76DF"/>
    <w:rsid w:val="001E7CDA"/>
    <w:rsid w:val="001E7E4C"/>
    <w:rsid w:val="001F1308"/>
    <w:rsid w:val="001F1525"/>
    <w:rsid w:val="001F1E87"/>
    <w:rsid w:val="001F1EB6"/>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7121"/>
    <w:rsid w:val="001F7534"/>
    <w:rsid w:val="002009BC"/>
    <w:rsid w:val="00200D2C"/>
    <w:rsid w:val="002019D8"/>
    <w:rsid w:val="00201EC7"/>
    <w:rsid w:val="0020349A"/>
    <w:rsid w:val="002034B4"/>
    <w:rsid w:val="00204032"/>
    <w:rsid w:val="002043FA"/>
    <w:rsid w:val="002048C2"/>
    <w:rsid w:val="00204AFE"/>
    <w:rsid w:val="00204BAD"/>
    <w:rsid w:val="00204D60"/>
    <w:rsid w:val="00205627"/>
    <w:rsid w:val="002056D0"/>
    <w:rsid w:val="00205A0F"/>
    <w:rsid w:val="00207118"/>
    <w:rsid w:val="00210106"/>
    <w:rsid w:val="00210860"/>
    <w:rsid w:val="00210B6A"/>
    <w:rsid w:val="0021120F"/>
    <w:rsid w:val="00211C40"/>
    <w:rsid w:val="00211DAC"/>
    <w:rsid w:val="00212CB6"/>
    <w:rsid w:val="00212E37"/>
    <w:rsid w:val="00213B5D"/>
    <w:rsid w:val="002140FF"/>
    <w:rsid w:val="00214C03"/>
    <w:rsid w:val="002164D8"/>
    <w:rsid w:val="00220894"/>
    <w:rsid w:val="0022095C"/>
    <w:rsid w:val="00221772"/>
    <w:rsid w:val="002232BA"/>
    <w:rsid w:val="00224952"/>
    <w:rsid w:val="00224DD2"/>
    <w:rsid w:val="00225905"/>
    <w:rsid w:val="00225A6A"/>
    <w:rsid w:val="00225AC7"/>
    <w:rsid w:val="00225ACC"/>
    <w:rsid w:val="00225C4C"/>
    <w:rsid w:val="00227DBD"/>
    <w:rsid w:val="00230C6F"/>
    <w:rsid w:val="00231C25"/>
    <w:rsid w:val="00231C6F"/>
    <w:rsid w:val="0023244C"/>
    <w:rsid w:val="002329C4"/>
    <w:rsid w:val="00232A90"/>
    <w:rsid w:val="00232B3B"/>
    <w:rsid w:val="00234151"/>
    <w:rsid w:val="002344FB"/>
    <w:rsid w:val="00234F8C"/>
    <w:rsid w:val="0023535E"/>
    <w:rsid w:val="00235542"/>
    <w:rsid w:val="00235DAD"/>
    <w:rsid w:val="002366A2"/>
    <w:rsid w:val="002369B0"/>
    <w:rsid w:val="00236AD8"/>
    <w:rsid w:val="00236B3F"/>
    <w:rsid w:val="002401F5"/>
    <w:rsid w:val="002407C9"/>
    <w:rsid w:val="00240E54"/>
    <w:rsid w:val="002419CC"/>
    <w:rsid w:val="00241CFB"/>
    <w:rsid w:val="00242380"/>
    <w:rsid w:val="00244C2D"/>
    <w:rsid w:val="002451C5"/>
    <w:rsid w:val="00245E6C"/>
    <w:rsid w:val="00245F1F"/>
    <w:rsid w:val="0024663B"/>
    <w:rsid w:val="0024695E"/>
    <w:rsid w:val="00246F24"/>
    <w:rsid w:val="00247103"/>
    <w:rsid w:val="00250067"/>
    <w:rsid w:val="00250FCC"/>
    <w:rsid w:val="002516DE"/>
    <w:rsid w:val="00251F81"/>
    <w:rsid w:val="00252BE0"/>
    <w:rsid w:val="00253588"/>
    <w:rsid w:val="002538DA"/>
    <w:rsid w:val="00253C1D"/>
    <w:rsid w:val="00254567"/>
    <w:rsid w:val="002546F4"/>
    <w:rsid w:val="002551D0"/>
    <w:rsid w:val="00255374"/>
    <w:rsid w:val="00255780"/>
    <w:rsid w:val="002559BE"/>
    <w:rsid w:val="00255BA9"/>
    <w:rsid w:val="00255FEB"/>
    <w:rsid w:val="0025639F"/>
    <w:rsid w:val="00257BF4"/>
    <w:rsid w:val="00260003"/>
    <w:rsid w:val="0026035D"/>
    <w:rsid w:val="002606D6"/>
    <w:rsid w:val="00261C98"/>
    <w:rsid w:val="0026248E"/>
    <w:rsid w:val="00262914"/>
    <w:rsid w:val="00263F38"/>
    <w:rsid w:val="002647BF"/>
    <w:rsid w:val="002647D5"/>
    <w:rsid w:val="00265032"/>
    <w:rsid w:val="002651FB"/>
    <w:rsid w:val="0026538C"/>
    <w:rsid w:val="002655FC"/>
    <w:rsid w:val="00265781"/>
    <w:rsid w:val="00265933"/>
    <w:rsid w:val="00266B13"/>
    <w:rsid w:val="00266B23"/>
    <w:rsid w:val="00270728"/>
    <w:rsid w:val="00270D42"/>
    <w:rsid w:val="00270FA0"/>
    <w:rsid w:val="002714D5"/>
    <w:rsid w:val="0027195D"/>
    <w:rsid w:val="002724CE"/>
    <w:rsid w:val="00272B03"/>
    <w:rsid w:val="002733E2"/>
    <w:rsid w:val="002750B1"/>
    <w:rsid w:val="002763C6"/>
    <w:rsid w:val="00276A35"/>
    <w:rsid w:val="00276F36"/>
    <w:rsid w:val="002771AD"/>
    <w:rsid w:val="002774DD"/>
    <w:rsid w:val="00277835"/>
    <w:rsid w:val="0027789D"/>
    <w:rsid w:val="00280AB1"/>
    <w:rsid w:val="00281274"/>
    <w:rsid w:val="0028344F"/>
    <w:rsid w:val="00283AD1"/>
    <w:rsid w:val="002846CE"/>
    <w:rsid w:val="00284B4D"/>
    <w:rsid w:val="00284BAE"/>
    <w:rsid w:val="002859AF"/>
    <w:rsid w:val="00286AE7"/>
    <w:rsid w:val="00287243"/>
    <w:rsid w:val="00287552"/>
    <w:rsid w:val="00290647"/>
    <w:rsid w:val="00290B85"/>
    <w:rsid w:val="00291385"/>
    <w:rsid w:val="00291422"/>
    <w:rsid w:val="002920B3"/>
    <w:rsid w:val="0029237F"/>
    <w:rsid w:val="00292715"/>
    <w:rsid w:val="00293E57"/>
    <w:rsid w:val="002947D1"/>
    <w:rsid w:val="002948DF"/>
    <w:rsid w:val="00294D90"/>
    <w:rsid w:val="0029546B"/>
    <w:rsid w:val="0029571C"/>
    <w:rsid w:val="0029628D"/>
    <w:rsid w:val="00296F96"/>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3ED"/>
    <w:rsid w:val="002B0A7D"/>
    <w:rsid w:val="002B0BC8"/>
    <w:rsid w:val="002B1A69"/>
    <w:rsid w:val="002B1BD3"/>
    <w:rsid w:val="002B1F96"/>
    <w:rsid w:val="002B20D7"/>
    <w:rsid w:val="002B2723"/>
    <w:rsid w:val="002B2DBC"/>
    <w:rsid w:val="002B2E4A"/>
    <w:rsid w:val="002B303A"/>
    <w:rsid w:val="002B538E"/>
    <w:rsid w:val="002B5DCA"/>
    <w:rsid w:val="002B64EC"/>
    <w:rsid w:val="002B6BDC"/>
    <w:rsid w:val="002B75B0"/>
    <w:rsid w:val="002B7EAF"/>
    <w:rsid w:val="002C099C"/>
    <w:rsid w:val="002C0B74"/>
    <w:rsid w:val="002C0C8B"/>
    <w:rsid w:val="002C0CBB"/>
    <w:rsid w:val="002C1201"/>
    <w:rsid w:val="002C1460"/>
    <w:rsid w:val="002C20F2"/>
    <w:rsid w:val="002C30EA"/>
    <w:rsid w:val="002C38B2"/>
    <w:rsid w:val="002C3DC2"/>
    <w:rsid w:val="002C3F54"/>
    <w:rsid w:val="002C3F9C"/>
    <w:rsid w:val="002C51A7"/>
    <w:rsid w:val="002C5AFA"/>
    <w:rsid w:val="002C6A67"/>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1C0"/>
    <w:rsid w:val="002E0319"/>
    <w:rsid w:val="002E0E23"/>
    <w:rsid w:val="002E1093"/>
    <w:rsid w:val="002E179B"/>
    <w:rsid w:val="002E1C9E"/>
    <w:rsid w:val="002E215A"/>
    <w:rsid w:val="002E257B"/>
    <w:rsid w:val="002E3C65"/>
    <w:rsid w:val="002E3F40"/>
    <w:rsid w:val="002E3F5B"/>
    <w:rsid w:val="002E4362"/>
    <w:rsid w:val="002E53B9"/>
    <w:rsid w:val="002E5B07"/>
    <w:rsid w:val="002E63D9"/>
    <w:rsid w:val="002E640E"/>
    <w:rsid w:val="002E739D"/>
    <w:rsid w:val="002F052E"/>
    <w:rsid w:val="002F0C28"/>
    <w:rsid w:val="002F281C"/>
    <w:rsid w:val="002F2999"/>
    <w:rsid w:val="002F3CDE"/>
    <w:rsid w:val="002F559A"/>
    <w:rsid w:val="002F5DD6"/>
    <w:rsid w:val="002F5FEA"/>
    <w:rsid w:val="002F63E7"/>
    <w:rsid w:val="002F7BE3"/>
    <w:rsid w:val="002F7E6A"/>
    <w:rsid w:val="00300165"/>
    <w:rsid w:val="00300445"/>
    <w:rsid w:val="003008C7"/>
    <w:rsid w:val="00300978"/>
    <w:rsid w:val="00300F00"/>
    <w:rsid w:val="003010CF"/>
    <w:rsid w:val="00303440"/>
    <w:rsid w:val="00304D9B"/>
    <w:rsid w:val="00304E7F"/>
    <w:rsid w:val="00305FF9"/>
    <w:rsid w:val="0030651C"/>
    <w:rsid w:val="00306827"/>
    <w:rsid w:val="00306E6B"/>
    <w:rsid w:val="0030723C"/>
    <w:rsid w:val="003100C8"/>
    <w:rsid w:val="00311161"/>
    <w:rsid w:val="00312400"/>
    <w:rsid w:val="00312739"/>
    <w:rsid w:val="00312D10"/>
    <w:rsid w:val="00313C7D"/>
    <w:rsid w:val="003156C5"/>
    <w:rsid w:val="0031639A"/>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3A6"/>
    <w:rsid w:val="00323587"/>
    <w:rsid w:val="0032377E"/>
    <w:rsid w:val="00323D6B"/>
    <w:rsid w:val="003245D2"/>
    <w:rsid w:val="00326957"/>
    <w:rsid w:val="00326AE2"/>
    <w:rsid w:val="00326E13"/>
    <w:rsid w:val="00327792"/>
    <w:rsid w:val="00330D56"/>
    <w:rsid w:val="003311E9"/>
    <w:rsid w:val="00331426"/>
    <w:rsid w:val="0033171D"/>
    <w:rsid w:val="00331949"/>
    <w:rsid w:val="00331EE8"/>
    <w:rsid w:val="00331F28"/>
    <w:rsid w:val="00331FC3"/>
    <w:rsid w:val="0033200E"/>
    <w:rsid w:val="00332E41"/>
    <w:rsid w:val="003336B3"/>
    <w:rsid w:val="003343EC"/>
    <w:rsid w:val="003354A9"/>
    <w:rsid w:val="00335B75"/>
    <w:rsid w:val="00335D8C"/>
    <w:rsid w:val="00335DA8"/>
    <w:rsid w:val="00336072"/>
    <w:rsid w:val="003363A1"/>
    <w:rsid w:val="0033668B"/>
    <w:rsid w:val="003373D2"/>
    <w:rsid w:val="00337F31"/>
    <w:rsid w:val="00341749"/>
    <w:rsid w:val="00341DB8"/>
    <w:rsid w:val="00341F43"/>
    <w:rsid w:val="0034226D"/>
    <w:rsid w:val="00342972"/>
    <w:rsid w:val="00342FDD"/>
    <w:rsid w:val="00343118"/>
    <w:rsid w:val="0034429B"/>
    <w:rsid w:val="003442D8"/>
    <w:rsid w:val="00344866"/>
    <w:rsid w:val="00345C56"/>
    <w:rsid w:val="0034638C"/>
    <w:rsid w:val="00346F7F"/>
    <w:rsid w:val="00347715"/>
    <w:rsid w:val="003500F6"/>
    <w:rsid w:val="00350108"/>
    <w:rsid w:val="00350762"/>
    <w:rsid w:val="003507C4"/>
    <w:rsid w:val="00351233"/>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2569"/>
    <w:rsid w:val="003636CD"/>
    <w:rsid w:val="00363ABF"/>
    <w:rsid w:val="0036487C"/>
    <w:rsid w:val="00365411"/>
    <w:rsid w:val="003655E9"/>
    <w:rsid w:val="00365FA2"/>
    <w:rsid w:val="003664B0"/>
    <w:rsid w:val="00366C69"/>
    <w:rsid w:val="00367441"/>
    <w:rsid w:val="00367B1D"/>
    <w:rsid w:val="003707F6"/>
    <w:rsid w:val="00370D2E"/>
    <w:rsid w:val="00370E4F"/>
    <w:rsid w:val="00371215"/>
    <w:rsid w:val="00371CB1"/>
    <w:rsid w:val="00372270"/>
    <w:rsid w:val="00372630"/>
    <w:rsid w:val="00372CA6"/>
    <w:rsid w:val="00372F0D"/>
    <w:rsid w:val="00374059"/>
    <w:rsid w:val="003748F7"/>
    <w:rsid w:val="0037535B"/>
    <w:rsid w:val="00375394"/>
    <w:rsid w:val="0037552D"/>
    <w:rsid w:val="003755E9"/>
    <w:rsid w:val="003756DB"/>
    <w:rsid w:val="00376991"/>
    <w:rsid w:val="003770BB"/>
    <w:rsid w:val="00377186"/>
    <w:rsid w:val="0037771A"/>
    <w:rsid w:val="003802DC"/>
    <w:rsid w:val="003807F0"/>
    <w:rsid w:val="00380E4E"/>
    <w:rsid w:val="00380FBF"/>
    <w:rsid w:val="00381156"/>
    <w:rsid w:val="003820E9"/>
    <w:rsid w:val="00382A43"/>
    <w:rsid w:val="00382D60"/>
    <w:rsid w:val="00382F29"/>
    <w:rsid w:val="00383C8D"/>
    <w:rsid w:val="0038467F"/>
    <w:rsid w:val="003852FB"/>
    <w:rsid w:val="00385429"/>
    <w:rsid w:val="00385B05"/>
    <w:rsid w:val="00386382"/>
    <w:rsid w:val="003865EF"/>
    <w:rsid w:val="00386BA9"/>
    <w:rsid w:val="00390017"/>
    <w:rsid w:val="003901A3"/>
    <w:rsid w:val="0039072F"/>
    <w:rsid w:val="00390EC7"/>
    <w:rsid w:val="003919F6"/>
    <w:rsid w:val="0039218D"/>
    <w:rsid w:val="00392B93"/>
    <w:rsid w:val="003940CE"/>
    <w:rsid w:val="00394739"/>
    <w:rsid w:val="00395826"/>
    <w:rsid w:val="00396D33"/>
    <w:rsid w:val="0039738B"/>
    <w:rsid w:val="00397B55"/>
    <w:rsid w:val="00397C1D"/>
    <w:rsid w:val="00397D21"/>
    <w:rsid w:val="003A015A"/>
    <w:rsid w:val="003A180F"/>
    <w:rsid w:val="003A18DD"/>
    <w:rsid w:val="003A1FB6"/>
    <w:rsid w:val="003A20C8"/>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4E9B"/>
    <w:rsid w:val="003B4FAE"/>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B48"/>
    <w:rsid w:val="003C2D21"/>
    <w:rsid w:val="003C4503"/>
    <w:rsid w:val="003C56F7"/>
    <w:rsid w:val="003C5E6B"/>
    <w:rsid w:val="003C5ED6"/>
    <w:rsid w:val="003C6B81"/>
    <w:rsid w:val="003C7632"/>
    <w:rsid w:val="003C7AD7"/>
    <w:rsid w:val="003D01A5"/>
    <w:rsid w:val="003D0992"/>
    <w:rsid w:val="003D0FC3"/>
    <w:rsid w:val="003D1902"/>
    <w:rsid w:val="003D2C1D"/>
    <w:rsid w:val="003D2C34"/>
    <w:rsid w:val="003D31B9"/>
    <w:rsid w:val="003D3538"/>
    <w:rsid w:val="003D3568"/>
    <w:rsid w:val="003D3DDD"/>
    <w:rsid w:val="003D4022"/>
    <w:rsid w:val="003D46F1"/>
    <w:rsid w:val="003D55D8"/>
    <w:rsid w:val="003D5CBF"/>
    <w:rsid w:val="003D60B6"/>
    <w:rsid w:val="003D66D2"/>
    <w:rsid w:val="003D6B0A"/>
    <w:rsid w:val="003D729E"/>
    <w:rsid w:val="003E0282"/>
    <w:rsid w:val="003E0473"/>
    <w:rsid w:val="003E07AE"/>
    <w:rsid w:val="003E14FC"/>
    <w:rsid w:val="003E2976"/>
    <w:rsid w:val="003E30DB"/>
    <w:rsid w:val="003E33B8"/>
    <w:rsid w:val="003E349D"/>
    <w:rsid w:val="003E3B8E"/>
    <w:rsid w:val="003E4288"/>
    <w:rsid w:val="003E4858"/>
    <w:rsid w:val="003E557D"/>
    <w:rsid w:val="003E6316"/>
    <w:rsid w:val="003E6884"/>
    <w:rsid w:val="003E6AC5"/>
    <w:rsid w:val="003E6AE3"/>
    <w:rsid w:val="003F0096"/>
    <w:rsid w:val="003F0381"/>
    <w:rsid w:val="003F0850"/>
    <w:rsid w:val="003F0D12"/>
    <w:rsid w:val="003F12C3"/>
    <w:rsid w:val="003F15A3"/>
    <w:rsid w:val="003F15A9"/>
    <w:rsid w:val="003F160C"/>
    <w:rsid w:val="003F1ED8"/>
    <w:rsid w:val="003F2AE2"/>
    <w:rsid w:val="003F2B82"/>
    <w:rsid w:val="003F324F"/>
    <w:rsid w:val="003F33BC"/>
    <w:rsid w:val="003F3D4E"/>
    <w:rsid w:val="003F4271"/>
    <w:rsid w:val="003F477E"/>
    <w:rsid w:val="003F6C65"/>
    <w:rsid w:val="003F6CD2"/>
    <w:rsid w:val="003F788D"/>
    <w:rsid w:val="003F7936"/>
    <w:rsid w:val="0040008F"/>
    <w:rsid w:val="004008FE"/>
    <w:rsid w:val="00400AE4"/>
    <w:rsid w:val="0040126E"/>
    <w:rsid w:val="004015B7"/>
    <w:rsid w:val="004020D4"/>
    <w:rsid w:val="004021B6"/>
    <w:rsid w:val="0040274F"/>
    <w:rsid w:val="004039EC"/>
    <w:rsid w:val="00403F9A"/>
    <w:rsid w:val="00404767"/>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F6C"/>
    <w:rsid w:val="00421DCF"/>
    <w:rsid w:val="00421F52"/>
    <w:rsid w:val="00422341"/>
    <w:rsid w:val="004226CC"/>
    <w:rsid w:val="00423641"/>
    <w:rsid w:val="004237F1"/>
    <w:rsid w:val="00423DA5"/>
    <w:rsid w:val="00426266"/>
    <w:rsid w:val="00430A2D"/>
    <w:rsid w:val="004312B0"/>
    <w:rsid w:val="00431505"/>
    <w:rsid w:val="0043190D"/>
    <w:rsid w:val="00431AF0"/>
    <w:rsid w:val="0043213A"/>
    <w:rsid w:val="0043260B"/>
    <w:rsid w:val="00432AB9"/>
    <w:rsid w:val="004330F4"/>
    <w:rsid w:val="00433590"/>
    <w:rsid w:val="0043393D"/>
    <w:rsid w:val="004344C7"/>
    <w:rsid w:val="00435274"/>
    <w:rsid w:val="004352AD"/>
    <w:rsid w:val="004353EA"/>
    <w:rsid w:val="0043545D"/>
    <w:rsid w:val="0043547E"/>
    <w:rsid w:val="00435FE2"/>
    <w:rsid w:val="00436B3C"/>
    <w:rsid w:val="00436E2F"/>
    <w:rsid w:val="00436EAB"/>
    <w:rsid w:val="004376CE"/>
    <w:rsid w:val="00440C21"/>
    <w:rsid w:val="004423FF"/>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5113"/>
    <w:rsid w:val="00456175"/>
    <w:rsid w:val="00456421"/>
    <w:rsid w:val="00456DAB"/>
    <w:rsid w:val="00457656"/>
    <w:rsid w:val="00457825"/>
    <w:rsid w:val="00457D9A"/>
    <w:rsid w:val="00460BBD"/>
    <w:rsid w:val="00460CC3"/>
    <w:rsid w:val="00460D13"/>
    <w:rsid w:val="00460E86"/>
    <w:rsid w:val="00462B1E"/>
    <w:rsid w:val="00462E54"/>
    <w:rsid w:val="00463690"/>
    <w:rsid w:val="004646B4"/>
    <w:rsid w:val="00464A88"/>
    <w:rsid w:val="00464B01"/>
    <w:rsid w:val="004651A0"/>
    <w:rsid w:val="00465742"/>
    <w:rsid w:val="00466532"/>
    <w:rsid w:val="00467488"/>
    <w:rsid w:val="0047083E"/>
    <w:rsid w:val="00470B8A"/>
    <w:rsid w:val="00470BFA"/>
    <w:rsid w:val="00470EB5"/>
    <w:rsid w:val="00470FE0"/>
    <w:rsid w:val="00471030"/>
    <w:rsid w:val="00472419"/>
    <w:rsid w:val="0047286B"/>
    <w:rsid w:val="00472E27"/>
    <w:rsid w:val="00472E55"/>
    <w:rsid w:val="004740FC"/>
    <w:rsid w:val="00474220"/>
    <w:rsid w:val="00474DA2"/>
    <w:rsid w:val="00474E54"/>
    <w:rsid w:val="00474FBB"/>
    <w:rsid w:val="004752D3"/>
    <w:rsid w:val="0047542A"/>
    <w:rsid w:val="004754E1"/>
    <w:rsid w:val="00475CE0"/>
    <w:rsid w:val="0047621A"/>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F05"/>
    <w:rsid w:val="00497002"/>
    <w:rsid w:val="00497370"/>
    <w:rsid w:val="004A0F39"/>
    <w:rsid w:val="004A152B"/>
    <w:rsid w:val="004A251F"/>
    <w:rsid w:val="004A2C8C"/>
    <w:rsid w:val="004A3329"/>
    <w:rsid w:val="004A3BF1"/>
    <w:rsid w:val="004A3E42"/>
    <w:rsid w:val="004A4045"/>
    <w:rsid w:val="004A436E"/>
    <w:rsid w:val="004A4715"/>
    <w:rsid w:val="004A5046"/>
    <w:rsid w:val="004A565E"/>
    <w:rsid w:val="004A5D55"/>
    <w:rsid w:val="004A5DF3"/>
    <w:rsid w:val="004A6134"/>
    <w:rsid w:val="004A7092"/>
    <w:rsid w:val="004A7437"/>
    <w:rsid w:val="004A74BE"/>
    <w:rsid w:val="004B0F06"/>
    <w:rsid w:val="004B1C92"/>
    <w:rsid w:val="004B3371"/>
    <w:rsid w:val="004B44D6"/>
    <w:rsid w:val="004B49E6"/>
    <w:rsid w:val="004B4D69"/>
    <w:rsid w:val="004B4DE4"/>
    <w:rsid w:val="004B6A5A"/>
    <w:rsid w:val="004B6C16"/>
    <w:rsid w:val="004B7E99"/>
    <w:rsid w:val="004C01A8"/>
    <w:rsid w:val="004C1840"/>
    <w:rsid w:val="004C24C9"/>
    <w:rsid w:val="004C252E"/>
    <w:rsid w:val="004C2B04"/>
    <w:rsid w:val="004C31B6"/>
    <w:rsid w:val="004C3B83"/>
    <w:rsid w:val="004C5319"/>
    <w:rsid w:val="004C5395"/>
    <w:rsid w:val="004C621F"/>
    <w:rsid w:val="004C6C17"/>
    <w:rsid w:val="004C73E6"/>
    <w:rsid w:val="004C7948"/>
    <w:rsid w:val="004C7BB8"/>
    <w:rsid w:val="004C7C60"/>
    <w:rsid w:val="004C7DDC"/>
    <w:rsid w:val="004D0C61"/>
    <w:rsid w:val="004D0DFE"/>
    <w:rsid w:val="004D1180"/>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3FC"/>
    <w:rsid w:val="004E1A31"/>
    <w:rsid w:val="004E1C6F"/>
    <w:rsid w:val="004E2413"/>
    <w:rsid w:val="004E2971"/>
    <w:rsid w:val="004E298C"/>
    <w:rsid w:val="004E2DE0"/>
    <w:rsid w:val="004E4060"/>
    <w:rsid w:val="004E409A"/>
    <w:rsid w:val="004E4456"/>
    <w:rsid w:val="004E5D90"/>
    <w:rsid w:val="004E7A42"/>
    <w:rsid w:val="004E7C7A"/>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00B3"/>
    <w:rsid w:val="00501981"/>
    <w:rsid w:val="00501A85"/>
    <w:rsid w:val="00501BB3"/>
    <w:rsid w:val="005021DD"/>
    <w:rsid w:val="005026CA"/>
    <w:rsid w:val="00502B72"/>
    <w:rsid w:val="00502FB1"/>
    <w:rsid w:val="0050376D"/>
    <w:rsid w:val="00504009"/>
    <w:rsid w:val="00504BC1"/>
    <w:rsid w:val="00505134"/>
    <w:rsid w:val="00505C04"/>
    <w:rsid w:val="00506853"/>
    <w:rsid w:val="005076EC"/>
    <w:rsid w:val="005118E5"/>
    <w:rsid w:val="00511F15"/>
    <w:rsid w:val="0051318C"/>
    <w:rsid w:val="005142CD"/>
    <w:rsid w:val="005143C9"/>
    <w:rsid w:val="005157A9"/>
    <w:rsid w:val="0051685C"/>
    <w:rsid w:val="00516951"/>
    <w:rsid w:val="005173A7"/>
    <w:rsid w:val="00517495"/>
    <w:rsid w:val="005176D7"/>
    <w:rsid w:val="00517742"/>
    <w:rsid w:val="005177E1"/>
    <w:rsid w:val="00520C0A"/>
    <w:rsid w:val="005218B6"/>
    <w:rsid w:val="005219AF"/>
    <w:rsid w:val="00521C33"/>
    <w:rsid w:val="00522589"/>
    <w:rsid w:val="0052283C"/>
    <w:rsid w:val="0052361E"/>
    <w:rsid w:val="00524204"/>
    <w:rsid w:val="00524489"/>
    <w:rsid w:val="00524545"/>
    <w:rsid w:val="00524937"/>
    <w:rsid w:val="005255BF"/>
    <w:rsid w:val="005257DE"/>
    <w:rsid w:val="005261DA"/>
    <w:rsid w:val="00527200"/>
    <w:rsid w:val="00527802"/>
    <w:rsid w:val="00530157"/>
    <w:rsid w:val="00530FEB"/>
    <w:rsid w:val="00531491"/>
    <w:rsid w:val="00531EBE"/>
    <w:rsid w:val="0053217E"/>
    <w:rsid w:val="00532F8B"/>
    <w:rsid w:val="00533737"/>
    <w:rsid w:val="00533D90"/>
    <w:rsid w:val="00535079"/>
    <w:rsid w:val="00535B79"/>
    <w:rsid w:val="00535D7C"/>
    <w:rsid w:val="00536579"/>
    <w:rsid w:val="00536C1E"/>
    <w:rsid w:val="00536DCF"/>
    <w:rsid w:val="005370EF"/>
    <w:rsid w:val="00537348"/>
    <w:rsid w:val="005373F0"/>
    <w:rsid w:val="0053799D"/>
    <w:rsid w:val="0054046C"/>
    <w:rsid w:val="005411F6"/>
    <w:rsid w:val="00541B25"/>
    <w:rsid w:val="005424D5"/>
    <w:rsid w:val="0054343A"/>
    <w:rsid w:val="005437F3"/>
    <w:rsid w:val="00543974"/>
    <w:rsid w:val="00543EBF"/>
    <w:rsid w:val="00544ABA"/>
    <w:rsid w:val="0054593A"/>
    <w:rsid w:val="005461C9"/>
    <w:rsid w:val="0054622F"/>
    <w:rsid w:val="005467FB"/>
    <w:rsid w:val="00546AE9"/>
    <w:rsid w:val="00546CA8"/>
    <w:rsid w:val="00546CC9"/>
    <w:rsid w:val="00547989"/>
    <w:rsid w:val="00551320"/>
    <w:rsid w:val="00551527"/>
    <w:rsid w:val="005518A4"/>
    <w:rsid w:val="005519A0"/>
    <w:rsid w:val="00552753"/>
    <w:rsid w:val="00552768"/>
    <w:rsid w:val="00552935"/>
    <w:rsid w:val="00552A30"/>
    <w:rsid w:val="00553127"/>
    <w:rsid w:val="005537D5"/>
    <w:rsid w:val="00554551"/>
    <w:rsid w:val="00554973"/>
    <w:rsid w:val="00554BE7"/>
    <w:rsid w:val="005556F9"/>
    <w:rsid w:val="00556D68"/>
    <w:rsid w:val="00556FA2"/>
    <w:rsid w:val="00557173"/>
    <w:rsid w:val="005575FE"/>
    <w:rsid w:val="005576A1"/>
    <w:rsid w:val="00557A64"/>
    <w:rsid w:val="005605C0"/>
    <w:rsid w:val="00560D23"/>
    <w:rsid w:val="005615D8"/>
    <w:rsid w:val="00561B5E"/>
    <w:rsid w:val="00562152"/>
    <w:rsid w:val="005626D6"/>
    <w:rsid w:val="005638D4"/>
    <w:rsid w:val="005643CA"/>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1F6"/>
    <w:rsid w:val="005763B2"/>
    <w:rsid w:val="005765F5"/>
    <w:rsid w:val="00576D6C"/>
    <w:rsid w:val="0057790E"/>
    <w:rsid w:val="00577A2E"/>
    <w:rsid w:val="00580E48"/>
    <w:rsid w:val="00580F0A"/>
    <w:rsid w:val="00581246"/>
    <w:rsid w:val="00582B55"/>
    <w:rsid w:val="00582C3A"/>
    <w:rsid w:val="00582E1A"/>
    <w:rsid w:val="00583147"/>
    <w:rsid w:val="00584416"/>
    <w:rsid w:val="00584874"/>
    <w:rsid w:val="00584B39"/>
    <w:rsid w:val="00585028"/>
    <w:rsid w:val="00585253"/>
    <w:rsid w:val="005854D1"/>
    <w:rsid w:val="005856A2"/>
    <w:rsid w:val="0058589A"/>
    <w:rsid w:val="0058590B"/>
    <w:rsid w:val="00585F5B"/>
    <w:rsid w:val="0058620A"/>
    <w:rsid w:val="00587FC0"/>
    <w:rsid w:val="005906AD"/>
    <w:rsid w:val="00590DA6"/>
    <w:rsid w:val="00590FF4"/>
    <w:rsid w:val="00591C7D"/>
    <w:rsid w:val="0059239D"/>
    <w:rsid w:val="00592A47"/>
    <w:rsid w:val="00592B03"/>
    <w:rsid w:val="00593305"/>
    <w:rsid w:val="00593AB9"/>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985"/>
    <w:rsid w:val="005A1BF0"/>
    <w:rsid w:val="005A269F"/>
    <w:rsid w:val="005A305E"/>
    <w:rsid w:val="005A30BB"/>
    <w:rsid w:val="005A3887"/>
    <w:rsid w:val="005A57EA"/>
    <w:rsid w:val="005A5E23"/>
    <w:rsid w:val="005A763D"/>
    <w:rsid w:val="005A7C43"/>
    <w:rsid w:val="005B0542"/>
    <w:rsid w:val="005B1C65"/>
    <w:rsid w:val="005B1FD1"/>
    <w:rsid w:val="005B2225"/>
    <w:rsid w:val="005B2799"/>
    <w:rsid w:val="005B2B77"/>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8B9"/>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A"/>
    <w:rsid w:val="005D5ADB"/>
    <w:rsid w:val="005D648A"/>
    <w:rsid w:val="005D7E0D"/>
    <w:rsid w:val="005E0B3F"/>
    <w:rsid w:val="005E1FBC"/>
    <w:rsid w:val="005E234A"/>
    <w:rsid w:val="005E2867"/>
    <w:rsid w:val="005E2D4B"/>
    <w:rsid w:val="005E35CC"/>
    <w:rsid w:val="005E371E"/>
    <w:rsid w:val="005E53F9"/>
    <w:rsid w:val="005E7614"/>
    <w:rsid w:val="005E775D"/>
    <w:rsid w:val="005F0551"/>
    <w:rsid w:val="005F0A43"/>
    <w:rsid w:val="005F0E91"/>
    <w:rsid w:val="005F25A0"/>
    <w:rsid w:val="005F27BF"/>
    <w:rsid w:val="005F3D1F"/>
    <w:rsid w:val="005F4171"/>
    <w:rsid w:val="005F46D6"/>
    <w:rsid w:val="005F4DD6"/>
    <w:rsid w:val="005F50D8"/>
    <w:rsid w:val="005F53A1"/>
    <w:rsid w:val="005F5879"/>
    <w:rsid w:val="005F6648"/>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1B29"/>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4ACF"/>
    <w:rsid w:val="00635035"/>
    <w:rsid w:val="0063580D"/>
    <w:rsid w:val="00635C6D"/>
    <w:rsid w:val="00635CAE"/>
    <w:rsid w:val="00637240"/>
    <w:rsid w:val="00643607"/>
    <w:rsid w:val="00643660"/>
    <w:rsid w:val="006447DC"/>
    <w:rsid w:val="0064484F"/>
    <w:rsid w:val="00644C95"/>
    <w:rsid w:val="00644E37"/>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734"/>
    <w:rsid w:val="006613F4"/>
    <w:rsid w:val="006615FD"/>
    <w:rsid w:val="006618CC"/>
    <w:rsid w:val="00661ACB"/>
    <w:rsid w:val="00661E09"/>
    <w:rsid w:val="00662111"/>
    <w:rsid w:val="00662118"/>
    <w:rsid w:val="00662D25"/>
    <w:rsid w:val="00662E2F"/>
    <w:rsid w:val="006638AD"/>
    <w:rsid w:val="0066732C"/>
    <w:rsid w:val="006679F5"/>
    <w:rsid w:val="00667B77"/>
    <w:rsid w:val="00667D81"/>
    <w:rsid w:val="0067013A"/>
    <w:rsid w:val="00670F07"/>
    <w:rsid w:val="006716DA"/>
    <w:rsid w:val="00672893"/>
    <w:rsid w:val="006728ED"/>
    <w:rsid w:val="006732B1"/>
    <w:rsid w:val="00673980"/>
    <w:rsid w:val="006739CF"/>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90A49"/>
    <w:rsid w:val="00690BB6"/>
    <w:rsid w:val="0069135B"/>
    <w:rsid w:val="00691610"/>
    <w:rsid w:val="00691B30"/>
    <w:rsid w:val="00692012"/>
    <w:rsid w:val="00693E1F"/>
    <w:rsid w:val="00693ECB"/>
    <w:rsid w:val="00694482"/>
    <w:rsid w:val="00694797"/>
    <w:rsid w:val="00694F2D"/>
    <w:rsid w:val="00695246"/>
    <w:rsid w:val="00695257"/>
    <w:rsid w:val="00695887"/>
    <w:rsid w:val="00697733"/>
    <w:rsid w:val="006A22DE"/>
    <w:rsid w:val="006A254E"/>
    <w:rsid w:val="006A28AD"/>
    <w:rsid w:val="006A2C30"/>
    <w:rsid w:val="006A301C"/>
    <w:rsid w:val="006A307F"/>
    <w:rsid w:val="006A3E2B"/>
    <w:rsid w:val="006A3FF2"/>
    <w:rsid w:val="006A5175"/>
    <w:rsid w:val="006A6262"/>
    <w:rsid w:val="006A692F"/>
    <w:rsid w:val="006A6E17"/>
    <w:rsid w:val="006B0095"/>
    <w:rsid w:val="006B120D"/>
    <w:rsid w:val="006B17E7"/>
    <w:rsid w:val="006B19E8"/>
    <w:rsid w:val="006B1A8A"/>
    <w:rsid w:val="006B1FD5"/>
    <w:rsid w:val="006B24D6"/>
    <w:rsid w:val="006B2F57"/>
    <w:rsid w:val="006B3B9C"/>
    <w:rsid w:val="006B475C"/>
    <w:rsid w:val="006B506C"/>
    <w:rsid w:val="006B555A"/>
    <w:rsid w:val="006B5BD6"/>
    <w:rsid w:val="006B600A"/>
    <w:rsid w:val="006B6635"/>
    <w:rsid w:val="006B7466"/>
    <w:rsid w:val="006B7A69"/>
    <w:rsid w:val="006B7D22"/>
    <w:rsid w:val="006B7D2C"/>
    <w:rsid w:val="006C1019"/>
    <w:rsid w:val="006C1794"/>
    <w:rsid w:val="006C2006"/>
    <w:rsid w:val="006C2BB5"/>
    <w:rsid w:val="006C2BEE"/>
    <w:rsid w:val="006C2C71"/>
    <w:rsid w:val="006C3AD8"/>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20B"/>
    <w:rsid w:val="006D54ED"/>
    <w:rsid w:val="006D5D0E"/>
    <w:rsid w:val="006D62BC"/>
    <w:rsid w:val="006D6450"/>
    <w:rsid w:val="006D6939"/>
    <w:rsid w:val="006D6E3D"/>
    <w:rsid w:val="006D6F42"/>
    <w:rsid w:val="006D7EB0"/>
    <w:rsid w:val="006E0138"/>
    <w:rsid w:val="006E06E9"/>
    <w:rsid w:val="006E0BB0"/>
    <w:rsid w:val="006E12C3"/>
    <w:rsid w:val="006E2407"/>
    <w:rsid w:val="006E2529"/>
    <w:rsid w:val="006E2A36"/>
    <w:rsid w:val="006E2B19"/>
    <w:rsid w:val="006E3DA8"/>
    <w:rsid w:val="006E45F3"/>
    <w:rsid w:val="006E4A2F"/>
    <w:rsid w:val="006E4ED4"/>
    <w:rsid w:val="006E5BF6"/>
    <w:rsid w:val="006E5E19"/>
    <w:rsid w:val="006E61C3"/>
    <w:rsid w:val="006E77C8"/>
    <w:rsid w:val="006E799D"/>
    <w:rsid w:val="006F0593"/>
    <w:rsid w:val="006F0D3C"/>
    <w:rsid w:val="006F1064"/>
    <w:rsid w:val="006F1B76"/>
    <w:rsid w:val="006F1EB7"/>
    <w:rsid w:val="006F1FFC"/>
    <w:rsid w:val="006F2DE3"/>
    <w:rsid w:val="006F49EF"/>
    <w:rsid w:val="006F4BE0"/>
    <w:rsid w:val="006F5273"/>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5E53"/>
    <w:rsid w:val="00716462"/>
    <w:rsid w:val="00716D29"/>
    <w:rsid w:val="00717762"/>
    <w:rsid w:val="00717CCE"/>
    <w:rsid w:val="00720093"/>
    <w:rsid w:val="00721084"/>
    <w:rsid w:val="00721262"/>
    <w:rsid w:val="007215BF"/>
    <w:rsid w:val="0072196D"/>
    <w:rsid w:val="00721D9B"/>
    <w:rsid w:val="00721E63"/>
    <w:rsid w:val="00722121"/>
    <w:rsid w:val="007224B9"/>
    <w:rsid w:val="00722F94"/>
    <w:rsid w:val="0072366E"/>
    <w:rsid w:val="00723AA7"/>
    <w:rsid w:val="0072432E"/>
    <w:rsid w:val="007248BE"/>
    <w:rsid w:val="0072530E"/>
    <w:rsid w:val="00725C99"/>
    <w:rsid w:val="00726036"/>
    <w:rsid w:val="00726279"/>
    <w:rsid w:val="0072692D"/>
    <w:rsid w:val="00726A9B"/>
    <w:rsid w:val="00726D75"/>
    <w:rsid w:val="00727530"/>
    <w:rsid w:val="007275F1"/>
    <w:rsid w:val="007279FA"/>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7B5"/>
    <w:rsid w:val="00742865"/>
    <w:rsid w:val="0074296C"/>
    <w:rsid w:val="00742C83"/>
    <w:rsid w:val="0074360F"/>
    <w:rsid w:val="00744278"/>
    <w:rsid w:val="00744A26"/>
    <w:rsid w:val="00744A64"/>
    <w:rsid w:val="00744D47"/>
    <w:rsid w:val="00744EA0"/>
    <w:rsid w:val="0074638D"/>
    <w:rsid w:val="00746484"/>
    <w:rsid w:val="007464F4"/>
    <w:rsid w:val="00746667"/>
    <w:rsid w:val="0074704F"/>
    <w:rsid w:val="0074787C"/>
    <w:rsid w:val="00747F48"/>
    <w:rsid w:val="00747F4C"/>
    <w:rsid w:val="00750721"/>
    <w:rsid w:val="00750CEE"/>
    <w:rsid w:val="00751091"/>
    <w:rsid w:val="00751B83"/>
    <w:rsid w:val="0075268B"/>
    <w:rsid w:val="00753191"/>
    <w:rsid w:val="00754359"/>
    <w:rsid w:val="00754411"/>
    <w:rsid w:val="00754BD9"/>
    <w:rsid w:val="00754D7C"/>
    <w:rsid w:val="00754E7A"/>
    <w:rsid w:val="0075540C"/>
    <w:rsid w:val="00755DB1"/>
    <w:rsid w:val="007563E5"/>
    <w:rsid w:val="007574FC"/>
    <w:rsid w:val="007603F1"/>
    <w:rsid w:val="00760975"/>
    <w:rsid w:val="00761A5B"/>
    <w:rsid w:val="00761FDA"/>
    <w:rsid w:val="007621AD"/>
    <w:rsid w:val="007621FF"/>
    <w:rsid w:val="007634E3"/>
    <w:rsid w:val="00764194"/>
    <w:rsid w:val="0076443E"/>
    <w:rsid w:val="00765ED3"/>
    <w:rsid w:val="0076681D"/>
    <w:rsid w:val="00766A65"/>
    <w:rsid w:val="007671F5"/>
    <w:rsid w:val="007676B8"/>
    <w:rsid w:val="007702E0"/>
    <w:rsid w:val="0077175C"/>
    <w:rsid w:val="00771870"/>
    <w:rsid w:val="00771BF9"/>
    <w:rsid w:val="00772F8A"/>
    <w:rsid w:val="00773641"/>
    <w:rsid w:val="007739C6"/>
    <w:rsid w:val="007747AF"/>
    <w:rsid w:val="00774889"/>
    <w:rsid w:val="00774FF5"/>
    <w:rsid w:val="007750B3"/>
    <w:rsid w:val="00775469"/>
    <w:rsid w:val="00775F76"/>
    <w:rsid w:val="00776AEA"/>
    <w:rsid w:val="007772B7"/>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6076"/>
    <w:rsid w:val="00786810"/>
    <w:rsid w:val="00786958"/>
    <w:rsid w:val="00786A97"/>
    <w:rsid w:val="00786E71"/>
    <w:rsid w:val="007908F8"/>
    <w:rsid w:val="0079162F"/>
    <w:rsid w:val="00794924"/>
    <w:rsid w:val="0079506E"/>
    <w:rsid w:val="007A0BC2"/>
    <w:rsid w:val="007A1F44"/>
    <w:rsid w:val="007A23FF"/>
    <w:rsid w:val="007A25D6"/>
    <w:rsid w:val="007A295B"/>
    <w:rsid w:val="007A3424"/>
    <w:rsid w:val="007A35EF"/>
    <w:rsid w:val="007A43A2"/>
    <w:rsid w:val="007A4D04"/>
    <w:rsid w:val="007A59F6"/>
    <w:rsid w:val="007A5D5A"/>
    <w:rsid w:val="007A7A96"/>
    <w:rsid w:val="007B03AF"/>
    <w:rsid w:val="007B1543"/>
    <w:rsid w:val="007B1AC0"/>
    <w:rsid w:val="007B1B9F"/>
    <w:rsid w:val="007B25A8"/>
    <w:rsid w:val="007B270A"/>
    <w:rsid w:val="007B2953"/>
    <w:rsid w:val="007B2D3B"/>
    <w:rsid w:val="007B52CD"/>
    <w:rsid w:val="007B5DFB"/>
    <w:rsid w:val="007B6204"/>
    <w:rsid w:val="007B7DC1"/>
    <w:rsid w:val="007B7EDB"/>
    <w:rsid w:val="007C0718"/>
    <w:rsid w:val="007C0962"/>
    <w:rsid w:val="007C0D1F"/>
    <w:rsid w:val="007C19AD"/>
    <w:rsid w:val="007C1F83"/>
    <w:rsid w:val="007C2977"/>
    <w:rsid w:val="007C2A16"/>
    <w:rsid w:val="007C2ABC"/>
    <w:rsid w:val="007C2C6E"/>
    <w:rsid w:val="007C3598"/>
    <w:rsid w:val="007C3FA8"/>
    <w:rsid w:val="007C417E"/>
    <w:rsid w:val="007C5956"/>
    <w:rsid w:val="007C5F1A"/>
    <w:rsid w:val="007C6552"/>
    <w:rsid w:val="007C669D"/>
    <w:rsid w:val="007C68DA"/>
    <w:rsid w:val="007C700B"/>
    <w:rsid w:val="007C7BB9"/>
    <w:rsid w:val="007D01D9"/>
    <w:rsid w:val="007D1C9B"/>
    <w:rsid w:val="007D222B"/>
    <w:rsid w:val="007D229A"/>
    <w:rsid w:val="007D2F44"/>
    <w:rsid w:val="007D2F4D"/>
    <w:rsid w:val="007D3C97"/>
    <w:rsid w:val="007D4178"/>
    <w:rsid w:val="007D4D33"/>
    <w:rsid w:val="007D5403"/>
    <w:rsid w:val="007D58DA"/>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12F"/>
    <w:rsid w:val="007F220B"/>
    <w:rsid w:val="007F22F5"/>
    <w:rsid w:val="007F25C6"/>
    <w:rsid w:val="007F27DD"/>
    <w:rsid w:val="007F4247"/>
    <w:rsid w:val="007F4C0A"/>
    <w:rsid w:val="007F50B1"/>
    <w:rsid w:val="007F58C6"/>
    <w:rsid w:val="007F5EC6"/>
    <w:rsid w:val="007F6851"/>
    <w:rsid w:val="007F6880"/>
    <w:rsid w:val="007F76B4"/>
    <w:rsid w:val="007F7B0E"/>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AAF"/>
    <w:rsid w:val="008070AB"/>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9C7"/>
    <w:rsid w:val="00817B71"/>
    <w:rsid w:val="00820244"/>
    <w:rsid w:val="008205E8"/>
    <w:rsid w:val="00820DCE"/>
    <w:rsid w:val="0082102D"/>
    <w:rsid w:val="008221B3"/>
    <w:rsid w:val="0082248E"/>
    <w:rsid w:val="00822944"/>
    <w:rsid w:val="008230D9"/>
    <w:rsid w:val="0082320B"/>
    <w:rsid w:val="0082358A"/>
    <w:rsid w:val="00823FB6"/>
    <w:rsid w:val="00824B6F"/>
    <w:rsid w:val="00824FDF"/>
    <w:rsid w:val="00825125"/>
    <w:rsid w:val="00825749"/>
    <w:rsid w:val="008257CC"/>
    <w:rsid w:val="00825F5C"/>
    <w:rsid w:val="008274BF"/>
    <w:rsid w:val="00830DC3"/>
    <w:rsid w:val="00831555"/>
    <w:rsid w:val="00831F52"/>
    <w:rsid w:val="00832154"/>
    <w:rsid w:val="00832F5C"/>
    <w:rsid w:val="00834046"/>
    <w:rsid w:val="00834DE6"/>
    <w:rsid w:val="00834ECD"/>
    <w:rsid w:val="008359E0"/>
    <w:rsid w:val="008365A3"/>
    <w:rsid w:val="0083689A"/>
    <w:rsid w:val="00836E40"/>
    <w:rsid w:val="008376F6"/>
    <w:rsid w:val="00837D5B"/>
    <w:rsid w:val="00840607"/>
    <w:rsid w:val="00840A16"/>
    <w:rsid w:val="00841C13"/>
    <w:rsid w:val="00841CD2"/>
    <w:rsid w:val="00842899"/>
    <w:rsid w:val="00842B77"/>
    <w:rsid w:val="00842B92"/>
    <w:rsid w:val="0084309F"/>
    <w:rsid w:val="008435CF"/>
    <w:rsid w:val="0084556E"/>
    <w:rsid w:val="00845B5C"/>
    <w:rsid w:val="00845C12"/>
    <w:rsid w:val="008469D9"/>
    <w:rsid w:val="00846DC0"/>
    <w:rsid w:val="008474A7"/>
    <w:rsid w:val="008506B6"/>
    <w:rsid w:val="00850AE0"/>
    <w:rsid w:val="00851031"/>
    <w:rsid w:val="008524D2"/>
    <w:rsid w:val="00852E19"/>
    <w:rsid w:val="00854B62"/>
    <w:rsid w:val="008551A3"/>
    <w:rsid w:val="00856441"/>
    <w:rsid w:val="00856833"/>
    <w:rsid w:val="00856840"/>
    <w:rsid w:val="0086087C"/>
    <w:rsid w:val="0086099F"/>
    <w:rsid w:val="00860D8E"/>
    <w:rsid w:val="00861562"/>
    <w:rsid w:val="00861D51"/>
    <w:rsid w:val="0086275E"/>
    <w:rsid w:val="00864384"/>
    <w:rsid w:val="00864440"/>
    <w:rsid w:val="00864D76"/>
    <w:rsid w:val="008650FC"/>
    <w:rsid w:val="00866E61"/>
    <w:rsid w:val="00866EB3"/>
    <w:rsid w:val="0086701A"/>
    <w:rsid w:val="008673B5"/>
    <w:rsid w:val="00867BD2"/>
    <w:rsid w:val="008704F3"/>
    <w:rsid w:val="008707F7"/>
    <w:rsid w:val="0087089B"/>
    <w:rsid w:val="008712FD"/>
    <w:rsid w:val="008716A1"/>
    <w:rsid w:val="00872AA7"/>
    <w:rsid w:val="00872D3F"/>
    <w:rsid w:val="008733AA"/>
    <w:rsid w:val="008733E4"/>
    <w:rsid w:val="00873F15"/>
    <w:rsid w:val="00874096"/>
    <w:rsid w:val="008756A4"/>
    <w:rsid w:val="00875793"/>
    <w:rsid w:val="00875F73"/>
    <w:rsid w:val="00877049"/>
    <w:rsid w:val="00877F56"/>
    <w:rsid w:val="00880013"/>
    <w:rsid w:val="00880933"/>
    <w:rsid w:val="00880D53"/>
    <w:rsid w:val="00880F30"/>
    <w:rsid w:val="00882238"/>
    <w:rsid w:val="008833E8"/>
    <w:rsid w:val="00886333"/>
    <w:rsid w:val="008865C8"/>
    <w:rsid w:val="00887B48"/>
    <w:rsid w:val="00890EC6"/>
    <w:rsid w:val="0089111A"/>
    <w:rsid w:val="0089176E"/>
    <w:rsid w:val="008917E0"/>
    <w:rsid w:val="008918B6"/>
    <w:rsid w:val="00892365"/>
    <w:rsid w:val="00892BE5"/>
    <w:rsid w:val="0089387C"/>
    <w:rsid w:val="00893E12"/>
    <w:rsid w:val="0089444E"/>
    <w:rsid w:val="008949DF"/>
    <w:rsid w:val="008951DB"/>
    <w:rsid w:val="0089691B"/>
    <w:rsid w:val="00896C81"/>
    <w:rsid w:val="00896D83"/>
    <w:rsid w:val="00897F2B"/>
    <w:rsid w:val="008A0167"/>
    <w:rsid w:val="008A03D1"/>
    <w:rsid w:val="008A0618"/>
    <w:rsid w:val="008A0831"/>
    <w:rsid w:val="008A0AB2"/>
    <w:rsid w:val="008A0CFC"/>
    <w:rsid w:val="008A12FE"/>
    <w:rsid w:val="008A2282"/>
    <w:rsid w:val="008A28B6"/>
    <w:rsid w:val="008A2BB1"/>
    <w:rsid w:val="008A32BA"/>
    <w:rsid w:val="008A3466"/>
    <w:rsid w:val="008A366E"/>
    <w:rsid w:val="008A389F"/>
    <w:rsid w:val="008A3D02"/>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50E1"/>
    <w:rsid w:val="008B51EA"/>
    <w:rsid w:val="008B5299"/>
    <w:rsid w:val="008B5383"/>
    <w:rsid w:val="008B5A5F"/>
    <w:rsid w:val="008B5AB0"/>
    <w:rsid w:val="008B5D36"/>
    <w:rsid w:val="008B6054"/>
    <w:rsid w:val="008B7B08"/>
    <w:rsid w:val="008C068D"/>
    <w:rsid w:val="008C0724"/>
    <w:rsid w:val="008C13F0"/>
    <w:rsid w:val="008C1F26"/>
    <w:rsid w:val="008C1F57"/>
    <w:rsid w:val="008C2A3A"/>
    <w:rsid w:val="008C376C"/>
    <w:rsid w:val="008C47A0"/>
    <w:rsid w:val="008C4C7E"/>
    <w:rsid w:val="008C5C46"/>
    <w:rsid w:val="008C6184"/>
    <w:rsid w:val="008C6865"/>
    <w:rsid w:val="008C7008"/>
    <w:rsid w:val="008C71E4"/>
    <w:rsid w:val="008C785E"/>
    <w:rsid w:val="008C7DD4"/>
    <w:rsid w:val="008D04F1"/>
    <w:rsid w:val="008D0863"/>
    <w:rsid w:val="008D0AFB"/>
    <w:rsid w:val="008D120C"/>
    <w:rsid w:val="008D1511"/>
    <w:rsid w:val="008D2659"/>
    <w:rsid w:val="008D27E2"/>
    <w:rsid w:val="008D32DF"/>
    <w:rsid w:val="008D35E9"/>
    <w:rsid w:val="008D3959"/>
    <w:rsid w:val="008D3966"/>
    <w:rsid w:val="008D4352"/>
    <w:rsid w:val="008D4FBC"/>
    <w:rsid w:val="008D5755"/>
    <w:rsid w:val="008D5A60"/>
    <w:rsid w:val="008D60BC"/>
    <w:rsid w:val="008D6D7B"/>
    <w:rsid w:val="008D7D04"/>
    <w:rsid w:val="008D7EB7"/>
    <w:rsid w:val="008E0430"/>
    <w:rsid w:val="008E0EB8"/>
    <w:rsid w:val="008E10A6"/>
    <w:rsid w:val="008E1271"/>
    <w:rsid w:val="008E1A5B"/>
    <w:rsid w:val="008E2251"/>
    <w:rsid w:val="008E24B3"/>
    <w:rsid w:val="008E24CA"/>
    <w:rsid w:val="008E2F6E"/>
    <w:rsid w:val="008E3688"/>
    <w:rsid w:val="008E38AD"/>
    <w:rsid w:val="008E3EEC"/>
    <w:rsid w:val="008E3F27"/>
    <w:rsid w:val="008E46AE"/>
    <w:rsid w:val="008E50AB"/>
    <w:rsid w:val="008E5BF2"/>
    <w:rsid w:val="008E5C81"/>
    <w:rsid w:val="008E6BF5"/>
    <w:rsid w:val="008E73D8"/>
    <w:rsid w:val="008F0A38"/>
    <w:rsid w:val="008F0F84"/>
    <w:rsid w:val="008F1014"/>
    <w:rsid w:val="008F11C9"/>
    <w:rsid w:val="008F14BD"/>
    <w:rsid w:val="008F1FFF"/>
    <w:rsid w:val="008F23D8"/>
    <w:rsid w:val="008F2FD5"/>
    <w:rsid w:val="008F31F2"/>
    <w:rsid w:val="008F37E5"/>
    <w:rsid w:val="008F42E2"/>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5F2A"/>
    <w:rsid w:val="009062F5"/>
    <w:rsid w:val="0090696D"/>
    <w:rsid w:val="00906CD6"/>
    <w:rsid w:val="00906E4D"/>
    <w:rsid w:val="00906F31"/>
    <w:rsid w:val="0090729B"/>
    <w:rsid w:val="00907576"/>
    <w:rsid w:val="009078B3"/>
    <w:rsid w:val="00907A4F"/>
    <w:rsid w:val="00907A77"/>
    <w:rsid w:val="00907C68"/>
    <w:rsid w:val="00907E00"/>
    <w:rsid w:val="0091022D"/>
    <w:rsid w:val="00910606"/>
    <w:rsid w:val="0091088D"/>
    <w:rsid w:val="00910FC9"/>
    <w:rsid w:val="009122A6"/>
    <w:rsid w:val="0091291A"/>
    <w:rsid w:val="009133A6"/>
    <w:rsid w:val="00913612"/>
    <w:rsid w:val="0091366A"/>
    <w:rsid w:val="00913824"/>
    <w:rsid w:val="00915757"/>
    <w:rsid w:val="009159B3"/>
    <w:rsid w:val="00915FC5"/>
    <w:rsid w:val="0091607D"/>
    <w:rsid w:val="00916181"/>
    <w:rsid w:val="009204C5"/>
    <w:rsid w:val="0092180D"/>
    <w:rsid w:val="009218BD"/>
    <w:rsid w:val="00922F17"/>
    <w:rsid w:val="009232C9"/>
    <w:rsid w:val="00923608"/>
    <w:rsid w:val="009238E5"/>
    <w:rsid w:val="00923F12"/>
    <w:rsid w:val="00924FF8"/>
    <w:rsid w:val="009258AE"/>
    <w:rsid w:val="00925BA8"/>
    <w:rsid w:val="00926DA7"/>
    <w:rsid w:val="00927F41"/>
    <w:rsid w:val="00927F8B"/>
    <w:rsid w:val="0093094D"/>
    <w:rsid w:val="009312BE"/>
    <w:rsid w:val="009328C7"/>
    <w:rsid w:val="009336EC"/>
    <w:rsid w:val="00933F56"/>
    <w:rsid w:val="00934C13"/>
    <w:rsid w:val="0093515C"/>
    <w:rsid w:val="00935228"/>
    <w:rsid w:val="009355A2"/>
    <w:rsid w:val="00935F9E"/>
    <w:rsid w:val="00936D98"/>
    <w:rsid w:val="00940324"/>
    <w:rsid w:val="00941523"/>
    <w:rsid w:val="009415B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3C4A"/>
    <w:rsid w:val="00954353"/>
    <w:rsid w:val="00955C0A"/>
    <w:rsid w:val="00955C4F"/>
    <w:rsid w:val="00956109"/>
    <w:rsid w:val="009575AA"/>
    <w:rsid w:val="00960CE7"/>
    <w:rsid w:val="00961A13"/>
    <w:rsid w:val="00962EB2"/>
    <w:rsid w:val="00963B86"/>
    <w:rsid w:val="00964777"/>
    <w:rsid w:val="009657F1"/>
    <w:rsid w:val="0096625D"/>
    <w:rsid w:val="0096648B"/>
    <w:rsid w:val="009664F5"/>
    <w:rsid w:val="00966C58"/>
    <w:rsid w:val="009709F8"/>
    <w:rsid w:val="0097271B"/>
    <w:rsid w:val="009728F6"/>
    <w:rsid w:val="00972929"/>
    <w:rsid w:val="00972F91"/>
    <w:rsid w:val="0097317C"/>
    <w:rsid w:val="00973827"/>
    <w:rsid w:val="009739F2"/>
    <w:rsid w:val="00973D63"/>
    <w:rsid w:val="009742D3"/>
    <w:rsid w:val="0097597B"/>
    <w:rsid w:val="00976024"/>
    <w:rsid w:val="009760D8"/>
    <w:rsid w:val="00976F32"/>
    <w:rsid w:val="00977BA7"/>
    <w:rsid w:val="00977E45"/>
    <w:rsid w:val="00977EB0"/>
    <w:rsid w:val="009801D4"/>
    <w:rsid w:val="00980506"/>
    <w:rsid w:val="00980517"/>
    <w:rsid w:val="0098086D"/>
    <w:rsid w:val="0098194F"/>
    <w:rsid w:val="009826C8"/>
    <w:rsid w:val="00982A85"/>
    <w:rsid w:val="00982F56"/>
    <w:rsid w:val="00982F5C"/>
    <w:rsid w:val="00982FEA"/>
    <w:rsid w:val="00983686"/>
    <w:rsid w:val="009836E4"/>
    <w:rsid w:val="0098412F"/>
    <w:rsid w:val="009846CB"/>
    <w:rsid w:val="00984AED"/>
    <w:rsid w:val="00985F28"/>
    <w:rsid w:val="00986149"/>
    <w:rsid w:val="00986176"/>
    <w:rsid w:val="0098686E"/>
    <w:rsid w:val="00986988"/>
    <w:rsid w:val="00986E7F"/>
    <w:rsid w:val="00987536"/>
    <w:rsid w:val="00990BD5"/>
    <w:rsid w:val="009916CB"/>
    <w:rsid w:val="0099196F"/>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570"/>
    <w:rsid w:val="009A6A6B"/>
    <w:rsid w:val="009A70B0"/>
    <w:rsid w:val="009A7DAA"/>
    <w:rsid w:val="009B03F6"/>
    <w:rsid w:val="009B1EF9"/>
    <w:rsid w:val="009B24E0"/>
    <w:rsid w:val="009B26AC"/>
    <w:rsid w:val="009B37E2"/>
    <w:rsid w:val="009B3816"/>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17DA"/>
    <w:rsid w:val="009C2685"/>
    <w:rsid w:val="009C2CE0"/>
    <w:rsid w:val="009C37ED"/>
    <w:rsid w:val="009C39BC"/>
    <w:rsid w:val="009C4BC2"/>
    <w:rsid w:val="009C4D22"/>
    <w:rsid w:val="009C5144"/>
    <w:rsid w:val="009C5612"/>
    <w:rsid w:val="009C7249"/>
    <w:rsid w:val="009C7320"/>
    <w:rsid w:val="009C76FC"/>
    <w:rsid w:val="009D0729"/>
    <w:rsid w:val="009D0F66"/>
    <w:rsid w:val="009D1A06"/>
    <w:rsid w:val="009D1BA4"/>
    <w:rsid w:val="009D20A9"/>
    <w:rsid w:val="009D20C9"/>
    <w:rsid w:val="009D20D1"/>
    <w:rsid w:val="009D22E4"/>
    <w:rsid w:val="009D22F7"/>
    <w:rsid w:val="009D319C"/>
    <w:rsid w:val="009D4CBF"/>
    <w:rsid w:val="009D5788"/>
    <w:rsid w:val="009D5BAB"/>
    <w:rsid w:val="009D5FF6"/>
    <w:rsid w:val="009D6A0A"/>
    <w:rsid w:val="009D7580"/>
    <w:rsid w:val="009E024C"/>
    <w:rsid w:val="009E058F"/>
    <w:rsid w:val="009E0A9E"/>
    <w:rsid w:val="009E19A2"/>
    <w:rsid w:val="009E3AFD"/>
    <w:rsid w:val="009E3CDD"/>
    <w:rsid w:val="009E4A12"/>
    <w:rsid w:val="009E4B16"/>
    <w:rsid w:val="009E4F07"/>
    <w:rsid w:val="009E5C60"/>
    <w:rsid w:val="009E64DB"/>
    <w:rsid w:val="009E6794"/>
    <w:rsid w:val="009E7037"/>
    <w:rsid w:val="009E7189"/>
    <w:rsid w:val="009E79CB"/>
    <w:rsid w:val="009E7C89"/>
    <w:rsid w:val="009E7E46"/>
    <w:rsid w:val="009E7FC1"/>
    <w:rsid w:val="009F01E1"/>
    <w:rsid w:val="009F0B4D"/>
    <w:rsid w:val="009F0E4C"/>
    <w:rsid w:val="009F0FC8"/>
    <w:rsid w:val="009F1096"/>
    <w:rsid w:val="009F150E"/>
    <w:rsid w:val="009F1D69"/>
    <w:rsid w:val="009F266E"/>
    <w:rsid w:val="009F27AD"/>
    <w:rsid w:val="009F3FB5"/>
    <w:rsid w:val="009F4129"/>
    <w:rsid w:val="009F521F"/>
    <w:rsid w:val="009F5356"/>
    <w:rsid w:val="009F553C"/>
    <w:rsid w:val="009F59F8"/>
    <w:rsid w:val="00A00457"/>
    <w:rsid w:val="00A005B0"/>
    <w:rsid w:val="00A00D96"/>
    <w:rsid w:val="00A01370"/>
    <w:rsid w:val="00A01373"/>
    <w:rsid w:val="00A01514"/>
    <w:rsid w:val="00A01F17"/>
    <w:rsid w:val="00A022A5"/>
    <w:rsid w:val="00A02C86"/>
    <w:rsid w:val="00A03A22"/>
    <w:rsid w:val="00A040AB"/>
    <w:rsid w:val="00A04294"/>
    <w:rsid w:val="00A04634"/>
    <w:rsid w:val="00A0497B"/>
    <w:rsid w:val="00A04D67"/>
    <w:rsid w:val="00A05672"/>
    <w:rsid w:val="00A06119"/>
    <w:rsid w:val="00A06E12"/>
    <w:rsid w:val="00A0703A"/>
    <w:rsid w:val="00A07A48"/>
    <w:rsid w:val="00A108EE"/>
    <w:rsid w:val="00A10BB8"/>
    <w:rsid w:val="00A11C08"/>
    <w:rsid w:val="00A11F8C"/>
    <w:rsid w:val="00A1200D"/>
    <w:rsid w:val="00A12AEA"/>
    <w:rsid w:val="00A13415"/>
    <w:rsid w:val="00A137E4"/>
    <w:rsid w:val="00A13DDD"/>
    <w:rsid w:val="00A14008"/>
    <w:rsid w:val="00A140AB"/>
    <w:rsid w:val="00A145A4"/>
    <w:rsid w:val="00A14813"/>
    <w:rsid w:val="00A150B2"/>
    <w:rsid w:val="00A1566A"/>
    <w:rsid w:val="00A165BF"/>
    <w:rsid w:val="00A16E83"/>
    <w:rsid w:val="00A172E8"/>
    <w:rsid w:val="00A179FF"/>
    <w:rsid w:val="00A21A36"/>
    <w:rsid w:val="00A21DF7"/>
    <w:rsid w:val="00A22401"/>
    <w:rsid w:val="00A2275C"/>
    <w:rsid w:val="00A22A44"/>
    <w:rsid w:val="00A23C0B"/>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611D"/>
    <w:rsid w:val="00A36339"/>
    <w:rsid w:val="00A363F3"/>
    <w:rsid w:val="00A366E4"/>
    <w:rsid w:val="00A40680"/>
    <w:rsid w:val="00A41278"/>
    <w:rsid w:val="00A428FB"/>
    <w:rsid w:val="00A4376F"/>
    <w:rsid w:val="00A43FD0"/>
    <w:rsid w:val="00A44919"/>
    <w:rsid w:val="00A4549F"/>
    <w:rsid w:val="00A45B9B"/>
    <w:rsid w:val="00A45C93"/>
    <w:rsid w:val="00A460BF"/>
    <w:rsid w:val="00A462FE"/>
    <w:rsid w:val="00A46EFA"/>
    <w:rsid w:val="00A4787E"/>
    <w:rsid w:val="00A501C9"/>
    <w:rsid w:val="00A50506"/>
    <w:rsid w:val="00A50F0F"/>
    <w:rsid w:val="00A51BC6"/>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9AE"/>
    <w:rsid w:val="00A60CF0"/>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6780C"/>
    <w:rsid w:val="00A7000A"/>
    <w:rsid w:val="00A7075B"/>
    <w:rsid w:val="00A71629"/>
    <w:rsid w:val="00A71CE6"/>
    <w:rsid w:val="00A71D23"/>
    <w:rsid w:val="00A7266A"/>
    <w:rsid w:val="00A7333A"/>
    <w:rsid w:val="00A736B2"/>
    <w:rsid w:val="00A73D0D"/>
    <w:rsid w:val="00A74A92"/>
    <w:rsid w:val="00A74E31"/>
    <w:rsid w:val="00A75399"/>
    <w:rsid w:val="00A75CC1"/>
    <w:rsid w:val="00A75E88"/>
    <w:rsid w:val="00A7611B"/>
    <w:rsid w:val="00A77FAC"/>
    <w:rsid w:val="00A8056E"/>
    <w:rsid w:val="00A814BC"/>
    <w:rsid w:val="00A81AFC"/>
    <w:rsid w:val="00A82D58"/>
    <w:rsid w:val="00A8399D"/>
    <w:rsid w:val="00A83E3D"/>
    <w:rsid w:val="00A8443A"/>
    <w:rsid w:val="00A8479C"/>
    <w:rsid w:val="00A8557B"/>
    <w:rsid w:val="00A855A6"/>
    <w:rsid w:val="00A85764"/>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2A"/>
    <w:rsid w:val="00A94335"/>
    <w:rsid w:val="00A95C8A"/>
    <w:rsid w:val="00A963C7"/>
    <w:rsid w:val="00A96C23"/>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872"/>
    <w:rsid w:val="00AC209E"/>
    <w:rsid w:val="00AC250E"/>
    <w:rsid w:val="00AC36ED"/>
    <w:rsid w:val="00AC4E94"/>
    <w:rsid w:val="00AC5636"/>
    <w:rsid w:val="00AC67A8"/>
    <w:rsid w:val="00AC74DA"/>
    <w:rsid w:val="00AC7A2B"/>
    <w:rsid w:val="00AC7C25"/>
    <w:rsid w:val="00AC7ECB"/>
    <w:rsid w:val="00AD0281"/>
    <w:rsid w:val="00AD0727"/>
    <w:rsid w:val="00AD0A51"/>
    <w:rsid w:val="00AD0A88"/>
    <w:rsid w:val="00AD0B37"/>
    <w:rsid w:val="00AD0EB6"/>
    <w:rsid w:val="00AD11F7"/>
    <w:rsid w:val="00AD1DB7"/>
    <w:rsid w:val="00AD1E29"/>
    <w:rsid w:val="00AD2852"/>
    <w:rsid w:val="00AD3976"/>
    <w:rsid w:val="00AD3D41"/>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2FE5"/>
    <w:rsid w:val="00AE3B4E"/>
    <w:rsid w:val="00AE466A"/>
    <w:rsid w:val="00AE4DDA"/>
    <w:rsid w:val="00AE59EC"/>
    <w:rsid w:val="00AE67B3"/>
    <w:rsid w:val="00AE758F"/>
    <w:rsid w:val="00AE7864"/>
    <w:rsid w:val="00AE7933"/>
    <w:rsid w:val="00AE7949"/>
    <w:rsid w:val="00AF07BD"/>
    <w:rsid w:val="00AF0B68"/>
    <w:rsid w:val="00AF25D5"/>
    <w:rsid w:val="00AF3543"/>
    <w:rsid w:val="00AF3DBB"/>
    <w:rsid w:val="00AF4B8D"/>
    <w:rsid w:val="00AF5021"/>
    <w:rsid w:val="00AF5194"/>
    <w:rsid w:val="00AF53EF"/>
    <w:rsid w:val="00AF55EA"/>
    <w:rsid w:val="00AF5955"/>
    <w:rsid w:val="00AF626D"/>
    <w:rsid w:val="00AF73C3"/>
    <w:rsid w:val="00AF795C"/>
    <w:rsid w:val="00B00752"/>
    <w:rsid w:val="00B0193D"/>
    <w:rsid w:val="00B026C1"/>
    <w:rsid w:val="00B02B9C"/>
    <w:rsid w:val="00B02C89"/>
    <w:rsid w:val="00B02D41"/>
    <w:rsid w:val="00B0353B"/>
    <w:rsid w:val="00B040B2"/>
    <w:rsid w:val="00B04184"/>
    <w:rsid w:val="00B04D88"/>
    <w:rsid w:val="00B07150"/>
    <w:rsid w:val="00B10558"/>
    <w:rsid w:val="00B11873"/>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2347"/>
    <w:rsid w:val="00B326FF"/>
    <w:rsid w:val="00B32864"/>
    <w:rsid w:val="00B32DEE"/>
    <w:rsid w:val="00B340AA"/>
    <w:rsid w:val="00B34A9F"/>
    <w:rsid w:val="00B34B80"/>
    <w:rsid w:val="00B3501B"/>
    <w:rsid w:val="00B35CDA"/>
    <w:rsid w:val="00B372F2"/>
    <w:rsid w:val="00B37D97"/>
    <w:rsid w:val="00B40BC3"/>
    <w:rsid w:val="00B411BD"/>
    <w:rsid w:val="00B41559"/>
    <w:rsid w:val="00B418E8"/>
    <w:rsid w:val="00B41A5C"/>
    <w:rsid w:val="00B42285"/>
    <w:rsid w:val="00B4229B"/>
    <w:rsid w:val="00B4274B"/>
    <w:rsid w:val="00B435B1"/>
    <w:rsid w:val="00B4367F"/>
    <w:rsid w:val="00B438BA"/>
    <w:rsid w:val="00B44493"/>
    <w:rsid w:val="00B4469B"/>
    <w:rsid w:val="00B44F99"/>
    <w:rsid w:val="00B45679"/>
    <w:rsid w:val="00B45876"/>
    <w:rsid w:val="00B46082"/>
    <w:rsid w:val="00B46976"/>
    <w:rsid w:val="00B4732E"/>
    <w:rsid w:val="00B47A15"/>
    <w:rsid w:val="00B505C1"/>
    <w:rsid w:val="00B508EC"/>
    <w:rsid w:val="00B51130"/>
    <w:rsid w:val="00B5115A"/>
    <w:rsid w:val="00B51542"/>
    <w:rsid w:val="00B51D1D"/>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6186B"/>
    <w:rsid w:val="00B61925"/>
    <w:rsid w:val="00B61BE2"/>
    <w:rsid w:val="00B6266F"/>
    <w:rsid w:val="00B626A1"/>
    <w:rsid w:val="00B62907"/>
    <w:rsid w:val="00B62E0B"/>
    <w:rsid w:val="00B63C32"/>
    <w:rsid w:val="00B64434"/>
    <w:rsid w:val="00B657E1"/>
    <w:rsid w:val="00B659C5"/>
    <w:rsid w:val="00B66559"/>
    <w:rsid w:val="00B67D00"/>
    <w:rsid w:val="00B70D58"/>
    <w:rsid w:val="00B711CE"/>
    <w:rsid w:val="00B71CA8"/>
    <w:rsid w:val="00B71DC8"/>
    <w:rsid w:val="00B72922"/>
    <w:rsid w:val="00B73A6A"/>
    <w:rsid w:val="00B746C6"/>
    <w:rsid w:val="00B74B5B"/>
    <w:rsid w:val="00B75F99"/>
    <w:rsid w:val="00B7604C"/>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8D8"/>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332F"/>
    <w:rsid w:val="00BA43C8"/>
    <w:rsid w:val="00BA5E62"/>
    <w:rsid w:val="00BA6425"/>
    <w:rsid w:val="00BA66A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2FB"/>
    <w:rsid w:val="00BC13BA"/>
    <w:rsid w:val="00BC160A"/>
    <w:rsid w:val="00BC1C3C"/>
    <w:rsid w:val="00BC244B"/>
    <w:rsid w:val="00BC28A5"/>
    <w:rsid w:val="00BC307F"/>
    <w:rsid w:val="00BC3159"/>
    <w:rsid w:val="00BC3257"/>
    <w:rsid w:val="00BC39DB"/>
    <w:rsid w:val="00BC3A32"/>
    <w:rsid w:val="00BC3B07"/>
    <w:rsid w:val="00BC4343"/>
    <w:rsid w:val="00BC46EF"/>
    <w:rsid w:val="00BC4A0D"/>
    <w:rsid w:val="00BC4A20"/>
    <w:rsid w:val="00BC6BC1"/>
    <w:rsid w:val="00BC6FD6"/>
    <w:rsid w:val="00BC74EF"/>
    <w:rsid w:val="00BC793D"/>
    <w:rsid w:val="00BD008E"/>
    <w:rsid w:val="00BD0444"/>
    <w:rsid w:val="00BD051B"/>
    <w:rsid w:val="00BD0F02"/>
    <w:rsid w:val="00BD12EB"/>
    <w:rsid w:val="00BD1B69"/>
    <w:rsid w:val="00BD2F3B"/>
    <w:rsid w:val="00BD3038"/>
    <w:rsid w:val="00BD3372"/>
    <w:rsid w:val="00BD4708"/>
    <w:rsid w:val="00BD50AA"/>
    <w:rsid w:val="00BD5135"/>
    <w:rsid w:val="00BD558F"/>
    <w:rsid w:val="00BD596B"/>
    <w:rsid w:val="00BD7291"/>
    <w:rsid w:val="00BD7E7D"/>
    <w:rsid w:val="00BD7EA3"/>
    <w:rsid w:val="00BD7FE2"/>
    <w:rsid w:val="00BE0B19"/>
    <w:rsid w:val="00BE0DD8"/>
    <w:rsid w:val="00BE13F0"/>
    <w:rsid w:val="00BE1D82"/>
    <w:rsid w:val="00BE1EE4"/>
    <w:rsid w:val="00BE1F8B"/>
    <w:rsid w:val="00BE27E4"/>
    <w:rsid w:val="00BE2B4F"/>
    <w:rsid w:val="00BE2F39"/>
    <w:rsid w:val="00BE332D"/>
    <w:rsid w:val="00BE3808"/>
    <w:rsid w:val="00BE3CF1"/>
    <w:rsid w:val="00BE3DC2"/>
    <w:rsid w:val="00BE4211"/>
    <w:rsid w:val="00BE4B20"/>
    <w:rsid w:val="00BE4BA9"/>
    <w:rsid w:val="00BE4E50"/>
    <w:rsid w:val="00BE5786"/>
    <w:rsid w:val="00BE5FC4"/>
    <w:rsid w:val="00BE65AF"/>
    <w:rsid w:val="00BE6C02"/>
    <w:rsid w:val="00BE6EA1"/>
    <w:rsid w:val="00BE7529"/>
    <w:rsid w:val="00BE7C4D"/>
    <w:rsid w:val="00BE7D1F"/>
    <w:rsid w:val="00BE7F6A"/>
    <w:rsid w:val="00BF00E9"/>
    <w:rsid w:val="00BF0262"/>
    <w:rsid w:val="00BF0274"/>
    <w:rsid w:val="00BF0296"/>
    <w:rsid w:val="00BF056E"/>
    <w:rsid w:val="00BF08C4"/>
    <w:rsid w:val="00BF0BAF"/>
    <w:rsid w:val="00BF19CE"/>
    <w:rsid w:val="00BF2074"/>
    <w:rsid w:val="00BF2B6F"/>
    <w:rsid w:val="00BF351A"/>
    <w:rsid w:val="00BF3914"/>
    <w:rsid w:val="00BF49B1"/>
    <w:rsid w:val="00BF507C"/>
    <w:rsid w:val="00BF5552"/>
    <w:rsid w:val="00BF5ABE"/>
    <w:rsid w:val="00BF5CC9"/>
    <w:rsid w:val="00BF6CBF"/>
    <w:rsid w:val="00BF73F2"/>
    <w:rsid w:val="00C01671"/>
    <w:rsid w:val="00C02221"/>
    <w:rsid w:val="00C02419"/>
    <w:rsid w:val="00C02766"/>
    <w:rsid w:val="00C02C02"/>
    <w:rsid w:val="00C02F76"/>
    <w:rsid w:val="00C03231"/>
    <w:rsid w:val="00C03EE8"/>
    <w:rsid w:val="00C049A2"/>
    <w:rsid w:val="00C04AAF"/>
    <w:rsid w:val="00C05356"/>
    <w:rsid w:val="00C053EA"/>
    <w:rsid w:val="00C05434"/>
    <w:rsid w:val="00C05AD9"/>
    <w:rsid w:val="00C05BEC"/>
    <w:rsid w:val="00C06E7D"/>
    <w:rsid w:val="00C07738"/>
    <w:rsid w:val="00C102A2"/>
    <w:rsid w:val="00C10BA1"/>
    <w:rsid w:val="00C1112B"/>
    <w:rsid w:val="00C11A88"/>
    <w:rsid w:val="00C11BED"/>
    <w:rsid w:val="00C12012"/>
    <w:rsid w:val="00C120D8"/>
    <w:rsid w:val="00C12874"/>
    <w:rsid w:val="00C12990"/>
    <w:rsid w:val="00C12A90"/>
    <w:rsid w:val="00C12BC1"/>
    <w:rsid w:val="00C13BDA"/>
    <w:rsid w:val="00C13FFD"/>
    <w:rsid w:val="00C14632"/>
    <w:rsid w:val="00C167DB"/>
    <w:rsid w:val="00C16C30"/>
    <w:rsid w:val="00C20A00"/>
    <w:rsid w:val="00C21673"/>
    <w:rsid w:val="00C21C7A"/>
    <w:rsid w:val="00C23130"/>
    <w:rsid w:val="00C24631"/>
    <w:rsid w:val="00C255A5"/>
    <w:rsid w:val="00C25758"/>
    <w:rsid w:val="00C2584B"/>
    <w:rsid w:val="00C25942"/>
    <w:rsid w:val="00C25D34"/>
    <w:rsid w:val="00C25DD9"/>
    <w:rsid w:val="00C2663F"/>
    <w:rsid w:val="00C26DB8"/>
    <w:rsid w:val="00C27125"/>
    <w:rsid w:val="00C272EF"/>
    <w:rsid w:val="00C30E58"/>
    <w:rsid w:val="00C312BD"/>
    <w:rsid w:val="00C32217"/>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86F"/>
    <w:rsid w:val="00C43F62"/>
    <w:rsid w:val="00C44777"/>
    <w:rsid w:val="00C452F5"/>
    <w:rsid w:val="00C45FE2"/>
    <w:rsid w:val="00C463C6"/>
    <w:rsid w:val="00C46555"/>
    <w:rsid w:val="00C46B15"/>
    <w:rsid w:val="00C46F7D"/>
    <w:rsid w:val="00C4728C"/>
    <w:rsid w:val="00C479B5"/>
    <w:rsid w:val="00C50242"/>
    <w:rsid w:val="00C5034D"/>
    <w:rsid w:val="00C5050E"/>
    <w:rsid w:val="00C50A8A"/>
    <w:rsid w:val="00C50E99"/>
    <w:rsid w:val="00C516E0"/>
    <w:rsid w:val="00C519DA"/>
    <w:rsid w:val="00C51E83"/>
    <w:rsid w:val="00C52654"/>
    <w:rsid w:val="00C52744"/>
    <w:rsid w:val="00C52D00"/>
    <w:rsid w:val="00C53EB3"/>
    <w:rsid w:val="00C542D4"/>
    <w:rsid w:val="00C54D71"/>
    <w:rsid w:val="00C563F5"/>
    <w:rsid w:val="00C56726"/>
    <w:rsid w:val="00C570F7"/>
    <w:rsid w:val="00C574BB"/>
    <w:rsid w:val="00C61E91"/>
    <w:rsid w:val="00C62254"/>
    <w:rsid w:val="00C62CD5"/>
    <w:rsid w:val="00C636E6"/>
    <w:rsid w:val="00C639D6"/>
    <w:rsid w:val="00C63F8E"/>
    <w:rsid w:val="00C647FB"/>
    <w:rsid w:val="00C65262"/>
    <w:rsid w:val="00C654E0"/>
    <w:rsid w:val="00C67719"/>
    <w:rsid w:val="00C67E46"/>
    <w:rsid w:val="00C67EAB"/>
    <w:rsid w:val="00C70DFF"/>
    <w:rsid w:val="00C74013"/>
    <w:rsid w:val="00C74FEE"/>
    <w:rsid w:val="00C75A6B"/>
    <w:rsid w:val="00C763B6"/>
    <w:rsid w:val="00C7644F"/>
    <w:rsid w:val="00C768F6"/>
    <w:rsid w:val="00C80073"/>
    <w:rsid w:val="00C805E7"/>
    <w:rsid w:val="00C80DEA"/>
    <w:rsid w:val="00C80ED7"/>
    <w:rsid w:val="00C832DC"/>
    <w:rsid w:val="00C8365A"/>
    <w:rsid w:val="00C8377F"/>
    <w:rsid w:val="00C83D54"/>
    <w:rsid w:val="00C852A9"/>
    <w:rsid w:val="00C8628F"/>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B7B"/>
    <w:rsid w:val="00CA3CDD"/>
    <w:rsid w:val="00CA403B"/>
    <w:rsid w:val="00CA40B7"/>
    <w:rsid w:val="00CA434C"/>
    <w:rsid w:val="00CA46C8"/>
    <w:rsid w:val="00CA505A"/>
    <w:rsid w:val="00CA59DD"/>
    <w:rsid w:val="00CB008E"/>
    <w:rsid w:val="00CB01FA"/>
    <w:rsid w:val="00CB0737"/>
    <w:rsid w:val="00CB097A"/>
    <w:rsid w:val="00CB0BAD"/>
    <w:rsid w:val="00CB0E3E"/>
    <w:rsid w:val="00CB24A2"/>
    <w:rsid w:val="00CB26EC"/>
    <w:rsid w:val="00CB2881"/>
    <w:rsid w:val="00CB2D2A"/>
    <w:rsid w:val="00CB3480"/>
    <w:rsid w:val="00CB4793"/>
    <w:rsid w:val="00CB5B1E"/>
    <w:rsid w:val="00CB6ADC"/>
    <w:rsid w:val="00CB787A"/>
    <w:rsid w:val="00CC088B"/>
    <w:rsid w:val="00CC0C4A"/>
    <w:rsid w:val="00CC12E2"/>
    <w:rsid w:val="00CC17F0"/>
    <w:rsid w:val="00CC1853"/>
    <w:rsid w:val="00CC1D13"/>
    <w:rsid w:val="00CC1FAE"/>
    <w:rsid w:val="00CC3A23"/>
    <w:rsid w:val="00CC3BD5"/>
    <w:rsid w:val="00CC3CD6"/>
    <w:rsid w:val="00CC426A"/>
    <w:rsid w:val="00CC4770"/>
    <w:rsid w:val="00CC50D9"/>
    <w:rsid w:val="00CC6335"/>
    <w:rsid w:val="00CC70D9"/>
    <w:rsid w:val="00CC737C"/>
    <w:rsid w:val="00CC737E"/>
    <w:rsid w:val="00CD087D"/>
    <w:rsid w:val="00CD0F5D"/>
    <w:rsid w:val="00CD1C0B"/>
    <w:rsid w:val="00CD239A"/>
    <w:rsid w:val="00CD469A"/>
    <w:rsid w:val="00CD5098"/>
    <w:rsid w:val="00CD5512"/>
    <w:rsid w:val="00CD5BCB"/>
    <w:rsid w:val="00CD661A"/>
    <w:rsid w:val="00CD6B7C"/>
    <w:rsid w:val="00CD6B97"/>
    <w:rsid w:val="00CD6E3D"/>
    <w:rsid w:val="00CD71AB"/>
    <w:rsid w:val="00CD7958"/>
    <w:rsid w:val="00CE0109"/>
    <w:rsid w:val="00CE1437"/>
    <w:rsid w:val="00CE1FC5"/>
    <w:rsid w:val="00CE46E5"/>
    <w:rsid w:val="00CE485A"/>
    <w:rsid w:val="00CE5279"/>
    <w:rsid w:val="00CE5528"/>
    <w:rsid w:val="00CE593D"/>
    <w:rsid w:val="00CE5A78"/>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6B66"/>
    <w:rsid w:val="00D071F8"/>
    <w:rsid w:val="00D07252"/>
    <w:rsid w:val="00D074F4"/>
    <w:rsid w:val="00D07CE1"/>
    <w:rsid w:val="00D1026A"/>
    <w:rsid w:val="00D107CF"/>
    <w:rsid w:val="00D10E56"/>
    <w:rsid w:val="00D11B0B"/>
    <w:rsid w:val="00D12075"/>
    <w:rsid w:val="00D12293"/>
    <w:rsid w:val="00D13A98"/>
    <w:rsid w:val="00D1415C"/>
    <w:rsid w:val="00D14236"/>
    <w:rsid w:val="00D14553"/>
    <w:rsid w:val="00D14DB1"/>
    <w:rsid w:val="00D15327"/>
    <w:rsid w:val="00D15F43"/>
    <w:rsid w:val="00D16326"/>
    <w:rsid w:val="00D169D0"/>
    <w:rsid w:val="00D16E87"/>
    <w:rsid w:val="00D17C6A"/>
    <w:rsid w:val="00D20B8B"/>
    <w:rsid w:val="00D2162C"/>
    <w:rsid w:val="00D217DB"/>
    <w:rsid w:val="00D21A3C"/>
    <w:rsid w:val="00D22805"/>
    <w:rsid w:val="00D233F1"/>
    <w:rsid w:val="00D24765"/>
    <w:rsid w:val="00D25397"/>
    <w:rsid w:val="00D255AE"/>
    <w:rsid w:val="00D256F8"/>
    <w:rsid w:val="00D259EB"/>
    <w:rsid w:val="00D25AA0"/>
    <w:rsid w:val="00D2685C"/>
    <w:rsid w:val="00D26A3B"/>
    <w:rsid w:val="00D302FD"/>
    <w:rsid w:val="00D3038A"/>
    <w:rsid w:val="00D3098D"/>
    <w:rsid w:val="00D31A02"/>
    <w:rsid w:val="00D323E9"/>
    <w:rsid w:val="00D32786"/>
    <w:rsid w:val="00D32A09"/>
    <w:rsid w:val="00D3323C"/>
    <w:rsid w:val="00D33456"/>
    <w:rsid w:val="00D3396F"/>
    <w:rsid w:val="00D33D4D"/>
    <w:rsid w:val="00D34A0B"/>
    <w:rsid w:val="00D36234"/>
    <w:rsid w:val="00D36371"/>
    <w:rsid w:val="00D36D09"/>
    <w:rsid w:val="00D41005"/>
    <w:rsid w:val="00D41CC4"/>
    <w:rsid w:val="00D437D8"/>
    <w:rsid w:val="00D44994"/>
    <w:rsid w:val="00D45C8D"/>
    <w:rsid w:val="00D45DF3"/>
    <w:rsid w:val="00D46174"/>
    <w:rsid w:val="00D47DD0"/>
    <w:rsid w:val="00D50183"/>
    <w:rsid w:val="00D51D12"/>
    <w:rsid w:val="00D52C57"/>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361"/>
    <w:rsid w:val="00D74B92"/>
    <w:rsid w:val="00D751FB"/>
    <w:rsid w:val="00D754D6"/>
    <w:rsid w:val="00D75B44"/>
    <w:rsid w:val="00D761AA"/>
    <w:rsid w:val="00D76CC6"/>
    <w:rsid w:val="00D76FAE"/>
    <w:rsid w:val="00D77040"/>
    <w:rsid w:val="00D777D7"/>
    <w:rsid w:val="00D77948"/>
    <w:rsid w:val="00D807ED"/>
    <w:rsid w:val="00D80AB8"/>
    <w:rsid w:val="00D80FEC"/>
    <w:rsid w:val="00D811B2"/>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19E6"/>
    <w:rsid w:val="00D91BE1"/>
    <w:rsid w:val="00D92B24"/>
    <w:rsid w:val="00D92C29"/>
    <w:rsid w:val="00D936E2"/>
    <w:rsid w:val="00D9503C"/>
    <w:rsid w:val="00D95104"/>
    <w:rsid w:val="00D95280"/>
    <w:rsid w:val="00D95600"/>
    <w:rsid w:val="00D95900"/>
    <w:rsid w:val="00D9683C"/>
    <w:rsid w:val="00D977A0"/>
    <w:rsid w:val="00D97884"/>
    <w:rsid w:val="00D97C79"/>
    <w:rsid w:val="00D97F43"/>
    <w:rsid w:val="00D97F7F"/>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97F"/>
    <w:rsid w:val="00DB2C83"/>
    <w:rsid w:val="00DB3153"/>
    <w:rsid w:val="00DB317A"/>
    <w:rsid w:val="00DB3B82"/>
    <w:rsid w:val="00DB485D"/>
    <w:rsid w:val="00DB4C6E"/>
    <w:rsid w:val="00DB5293"/>
    <w:rsid w:val="00DB6ED8"/>
    <w:rsid w:val="00DC1301"/>
    <w:rsid w:val="00DC1327"/>
    <w:rsid w:val="00DC1350"/>
    <w:rsid w:val="00DC3237"/>
    <w:rsid w:val="00DC367A"/>
    <w:rsid w:val="00DC36F3"/>
    <w:rsid w:val="00DC41A4"/>
    <w:rsid w:val="00DC4C33"/>
    <w:rsid w:val="00DC52CD"/>
    <w:rsid w:val="00DC5672"/>
    <w:rsid w:val="00DC5726"/>
    <w:rsid w:val="00DC5839"/>
    <w:rsid w:val="00DC5B76"/>
    <w:rsid w:val="00DC60A2"/>
    <w:rsid w:val="00DC6600"/>
    <w:rsid w:val="00DC67BD"/>
    <w:rsid w:val="00DC6924"/>
    <w:rsid w:val="00DC71F2"/>
    <w:rsid w:val="00DC7770"/>
    <w:rsid w:val="00DC7E52"/>
    <w:rsid w:val="00DD12C5"/>
    <w:rsid w:val="00DD2025"/>
    <w:rsid w:val="00DD20D2"/>
    <w:rsid w:val="00DD219C"/>
    <w:rsid w:val="00DD22EA"/>
    <w:rsid w:val="00DD23A0"/>
    <w:rsid w:val="00DD3EF5"/>
    <w:rsid w:val="00DD53FA"/>
    <w:rsid w:val="00DD58C2"/>
    <w:rsid w:val="00DD5F42"/>
    <w:rsid w:val="00DD617B"/>
    <w:rsid w:val="00DD6D4E"/>
    <w:rsid w:val="00DD7503"/>
    <w:rsid w:val="00DD79A6"/>
    <w:rsid w:val="00DE0443"/>
    <w:rsid w:val="00DE068C"/>
    <w:rsid w:val="00DE0E59"/>
    <w:rsid w:val="00DE0F6C"/>
    <w:rsid w:val="00DE12F0"/>
    <w:rsid w:val="00DE219B"/>
    <w:rsid w:val="00DE3407"/>
    <w:rsid w:val="00DE3979"/>
    <w:rsid w:val="00DE52E3"/>
    <w:rsid w:val="00DE70CB"/>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D27"/>
    <w:rsid w:val="00DF6F17"/>
    <w:rsid w:val="00DF6F28"/>
    <w:rsid w:val="00DF78FA"/>
    <w:rsid w:val="00DF7AE1"/>
    <w:rsid w:val="00E002F1"/>
    <w:rsid w:val="00E0082C"/>
    <w:rsid w:val="00E01DAA"/>
    <w:rsid w:val="00E023E5"/>
    <w:rsid w:val="00E02432"/>
    <w:rsid w:val="00E04022"/>
    <w:rsid w:val="00E04DC9"/>
    <w:rsid w:val="00E06528"/>
    <w:rsid w:val="00E066DB"/>
    <w:rsid w:val="00E07117"/>
    <w:rsid w:val="00E0728F"/>
    <w:rsid w:val="00E0749C"/>
    <w:rsid w:val="00E0755C"/>
    <w:rsid w:val="00E07679"/>
    <w:rsid w:val="00E112CA"/>
    <w:rsid w:val="00E13760"/>
    <w:rsid w:val="00E13806"/>
    <w:rsid w:val="00E13ADD"/>
    <w:rsid w:val="00E14A7E"/>
    <w:rsid w:val="00E151E1"/>
    <w:rsid w:val="00E15AB0"/>
    <w:rsid w:val="00E16766"/>
    <w:rsid w:val="00E17619"/>
    <w:rsid w:val="00E17805"/>
    <w:rsid w:val="00E17CAC"/>
    <w:rsid w:val="00E20AD3"/>
    <w:rsid w:val="00E20F79"/>
    <w:rsid w:val="00E21278"/>
    <w:rsid w:val="00E2142E"/>
    <w:rsid w:val="00E2150A"/>
    <w:rsid w:val="00E229A6"/>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4F1E"/>
    <w:rsid w:val="00E353A4"/>
    <w:rsid w:val="00E361B8"/>
    <w:rsid w:val="00E36A1B"/>
    <w:rsid w:val="00E377C4"/>
    <w:rsid w:val="00E37DDE"/>
    <w:rsid w:val="00E40949"/>
    <w:rsid w:val="00E40C38"/>
    <w:rsid w:val="00E423D4"/>
    <w:rsid w:val="00E42428"/>
    <w:rsid w:val="00E429ED"/>
    <w:rsid w:val="00E43F37"/>
    <w:rsid w:val="00E441E6"/>
    <w:rsid w:val="00E447CB"/>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4BA3"/>
    <w:rsid w:val="00E57050"/>
    <w:rsid w:val="00E5733D"/>
    <w:rsid w:val="00E57613"/>
    <w:rsid w:val="00E57EAC"/>
    <w:rsid w:val="00E604EF"/>
    <w:rsid w:val="00E61CC0"/>
    <w:rsid w:val="00E6277B"/>
    <w:rsid w:val="00E64424"/>
    <w:rsid w:val="00E64C99"/>
    <w:rsid w:val="00E64CD3"/>
    <w:rsid w:val="00E64E8F"/>
    <w:rsid w:val="00E66248"/>
    <w:rsid w:val="00E66945"/>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023"/>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6EB"/>
    <w:rsid w:val="00E909A1"/>
    <w:rsid w:val="00E90BFF"/>
    <w:rsid w:val="00E91F04"/>
    <w:rsid w:val="00E91F35"/>
    <w:rsid w:val="00E9259E"/>
    <w:rsid w:val="00E95BA6"/>
    <w:rsid w:val="00E97648"/>
    <w:rsid w:val="00EA07E9"/>
    <w:rsid w:val="00EA0E4A"/>
    <w:rsid w:val="00EA1A54"/>
    <w:rsid w:val="00EA2226"/>
    <w:rsid w:val="00EA2483"/>
    <w:rsid w:val="00EA26FC"/>
    <w:rsid w:val="00EA3B5A"/>
    <w:rsid w:val="00EA410E"/>
    <w:rsid w:val="00EA4FD1"/>
    <w:rsid w:val="00EA53C2"/>
    <w:rsid w:val="00EA5695"/>
    <w:rsid w:val="00EA5B0A"/>
    <w:rsid w:val="00EA5B4B"/>
    <w:rsid w:val="00EA65AD"/>
    <w:rsid w:val="00EA7FCF"/>
    <w:rsid w:val="00EB0CA3"/>
    <w:rsid w:val="00EB104F"/>
    <w:rsid w:val="00EB1B27"/>
    <w:rsid w:val="00EB1DA8"/>
    <w:rsid w:val="00EB28C3"/>
    <w:rsid w:val="00EB2D2E"/>
    <w:rsid w:val="00EB3573"/>
    <w:rsid w:val="00EB41ED"/>
    <w:rsid w:val="00EB4B75"/>
    <w:rsid w:val="00EB4CFF"/>
    <w:rsid w:val="00EB53A6"/>
    <w:rsid w:val="00EB5476"/>
    <w:rsid w:val="00EB5FB6"/>
    <w:rsid w:val="00EB5FF6"/>
    <w:rsid w:val="00EB6ED9"/>
    <w:rsid w:val="00EB70B0"/>
    <w:rsid w:val="00EB74F4"/>
    <w:rsid w:val="00EB7633"/>
    <w:rsid w:val="00EB7736"/>
    <w:rsid w:val="00EB7808"/>
    <w:rsid w:val="00EC0646"/>
    <w:rsid w:val="00EC1DCD"/>
    <w:rsid w:val="00EC2BF5"/>
    <w:rsid w:val="00EC2E2D"/>
    <w:rsid w:val="00EC363A"/>
    <w:rsid w:val="00EC462B"/>
    <w:rsid w:val="00EC4723"/>
    <w:rsid w:val="00EC56E0"/>
    <w:rsid w:val="00EC6057"/>
    <w:rsid w:val="00EC6847"/>
    <w:rsid w:val="00EC6EB4"/>
    <w:rsid w:val="00EC7DB6"/>
    <w:rsid w:val="00ED162F"/>
    <w:rsid w:val="00ED2AE0"/>
    <w:rsid w:val="00ED2E52"/>
    <w:rsid w:val="00ED3024"/>
    <w:rsid w:val="00ED31DB"/>
    <w:rsid w:val="00ED3472"/>
    <w:rsid w:val="00ED3C23"/>
    <w:rsid w:val="00ED49B0"/>
    <w:rsid w:val="00ED4C1D"/>
    <w:rsid w:val="00ED5FE4"/>
    <w:rsid w:val="00ED65E6"/>
    <w:rsid w:val="00ED6FAD"/>
    <w:rsid w:val="00ED71C5"/>
    <w:rsid w:val="00EE16FA"/>
    <w:rsid w:val="00EE18B9"/>
    <w:rsid w:val="00EE32CE"/>
    <w:rsid w:val="00EE349C"/>
    <w:rsid w:val="00EE3C42"/>
    <w:rsid w:val="00EE3D4F"/>
    <w:rsid w:val="00EE534D"/>
    <w:rsid w:val="00EE53F6"/>
    <w:rsid w:val="00EE5560"/>
    <w:rsid w:val="00EE596F"/>
    <w:rsid w:val="00EE5AD0"/>
    <w:rsid w:val="00EE60A8"/>
    <w:rsid w:val="00EE6ABC"/>
    <w:rsid w:val="00EE6F1E"/>
    <w:rsid w:val="00EE7D82"/>
    <w:rsid w:val="00EF0348"/>
    <w:rsid w:val="00EF1BFD"/>
    <w:rsid w:val="00EF1F9C"/>
    <w:rsid w:val="00EF21E0"/>
    <w:rsid w:val="00EF2304"/>
    <w:rsid w:val="00EF25C1"/>
    <w:rsid w:val="00EF4366"/>
    <w:rsid w:val="00EF4447"/>
    <w:rsid w:val="00EF4CD6"/>
    <w:rsid w:val="00EF55A0"/>
    <w:rsid w:val="00EF63D1"/>
    <w:rsid w:val="00EF6513"/>
    <w:rsid w:val="00EF6683"/>
    <w:rsid w:val="00EF6CAC"/>
    <w:rsid w:val="00EF7002"/>
    <w:rsid w:val="00EF712D"/>
    <w:rsid w:val="00EF769B"/>
    <w:rsid w:val="00F005DB"/>
    <w:rsid w:val="00F02651"/>
    <w:rsid w:val="00F027BA"/>
    <w:rsid w:val="00F03E79"/>
    <w:rsid w:val="00F0628D"/>
    <w:rsid w:val="00F0661B"/>
    <w:rsid w:val="00F06651"/>
    <w:rsid w:val="00F07027"/>
    <w:rsid w:val="00F07A4D"/>
    <w:rsid w:val="00F07DE6"/>
    <w:rsid w:val="00F104D7"/>
    <w:rsid w:val="00F1056C"/>
    <w:rsid w:val="00F107F1"/>
    <w:rsid w:val="00F10FC1"/>
    <w:rsid w:val="00F10FDC"/>
    <w:rsid w:val="00F112FD"/>
    <w:rsid w:val="00F122A7"/>
    <w:rsid w:val="00F133A1"/>
    <w:rsid w:val="00F13ECD"/>
    <w:rsid w:val="00F14D13"/>
    <w:rsid w:val="00F155CE"/>
    <w:rsid w:val="00F16750"/>
    <w:rsid w:val="00F16BF2"/>
    <w:rsid w:val="00F17EAE"/>
    <w:rsid w:val="00F20D27"/>
    <w:rsid w:val="00F2117B"/>
    <w:rsid w:val="00F2135D"/>
    <w:rsid w:val="00F218D4"/>
    <w:rsid w:val="00F21E9A"/>
    <w:rsid w:val="00F2250A"/>
    <w:rsid w:val="00F22738"/>
    <w:rsid w:val="00F22840"/>
    <w:rsid w:val="00F230EC"/>
    <w:rsid w:val="00F245A3"/>
    <w:rsid w:val="00F24788"/>
    <w:rsid w:val="00F24DA7"/>
    <w:rsid w:val="00F2557E"/>
    <w:rsid w:val="00F25A20"/>
    <w:rsid w:val="00F26252"/>
    <w:rsid w:val="00F2640F"/>
    <w:rsid w:val="00F27C34"/>
    <w:rsid w:val="00F27E46"/>
    <w:rsid w:val="00F301C2"/>
    <w:rsid w:val="00F302E1"/>
    <w:rsid w:val="00F3125E"/>
    <w:rsid w:val="00F31831"/>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575F"/>
    <w:rsid w:val="00F470D6"/>
    <w:rsid w:val="00F47498"/>
    <w:rsid w:val="00F512B2"/>
    <w:rsid w:val="00F51D0F"/>
    <w:rsid w:val="00F5283D"/>
    <w:rsid w:val="00F52ABA"/>
    <w:rsid w:val="00F52BC7"/>
    <w:rsid w:val="00F5375B"/>
    <w:rsid w:val="00F53BF4"/>
    <w:rsid w:val="00F54266"/>
    <w:rsid w:val="00F54724"/>
    <w:rsid w:val="00F54E90"/>
    <w:rsid w:val="00F55043"/>
    <w:rsid w:val="00F5626D"/>
    <w:rsid w:val="00F56681"/>
    <w:rsid w:val="00F56DCF"/>
    <w:rsid w:val="00F57034"/>
    <w:rsid w:val="00F57B1F"/>
    <w:rsid w:val="00F60BE9"/>
    <w:rsid w:val="00F61FD8"/>
    <w:rsid w:val="00F62478"/>
    <w:rsid w:val="00F62DBF"/>
    <w:rsid w:val="00F641FC"/>
    <w:rsid w:val="00F64543"/>
    <w:rsid w:val="00F647F7"/>
    <w:rsid w:val="00F6563B"/>
    <w:rsid w:val="00F6583C"/>
    <w:rsid w:val="00F6589A"/>
    <w:rsid w:val="00F6665C"/>
    <w:rsid w:val="00F66761"/>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D08"/>
    <w:rsid w:val="00F749CD"/>
    <w:rsid w:val="00F7586B"/>
    <w:rsid w:val="00F75D45"/>
    <w:rsid w:val="00F75F2F"/>
    <w:rsid w:val="00F76445"/>
    <w:rsid w:val="00F76D0C"/>
    <w:rsid w:val="00F76ECC"/>
    <w:rsid w:val="00F779FD"/>
    <w:rsid w:val="00F80399"/>
    <w:rsid w:val="00F80549"/>
    <w:rsid w:val="00F80ABF"/>
    <w:rsid w:val="00F812C8"/>
    <w:rsid w:val="00F8132D"/>
    <w:rsid w:val="00F818AE"/>
    <w:rsid w:val="00F81B40"/>
    <w:rsid w:val="00F820C4"/>
    <w:rsid w:val="00F834F1"/>
    <w:rsid w:val="00F83829"/>
    <w:rsid w:val="00F84069"/>
    <w:rsid w:val="00F843D7"/>
    <w:rsid w:val="00F84997"/>
    <w:rsid w:val="00F85536"/>
    <w:rsid w:val="00F8631D"/>
    <w:rsid w:val="00F8639B"/>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4C09"/>
    <w:rsid w:val="00F950B5"/>
    <w:rsid w:val="00F9513F"/>
    <w:rsid w:val="00F956A6"/>
    <w:rsid w:val="00F9632B"/>
    <w:rsid w:val="00F96CDF"/>
    <w:rsid w:val="00F97120"/>
    <w:rsid w:val="00F97908"/>
    <w:rsid w:val="00F97B43"/>
    <w:rsid w:val="00FA07F8"/>
    <w:rsid w:val="00FA105C"/>
    <w:rsid w:val="00FA1475"/>
    <w:rsid w:val="00FA148A"/>
    <w:rsid w:val="00FA26BA"/>
    <w:rsid w:val="00FA27C8"/>
    <w:rsid w:val="00FA2D22"/>
    <w:rsid w:val="00FA35E3"/>
    <w:rsid w:val="00FA3B76"/>
    <w:rsid w:val="00FA42A1"/>
    <w:rsid w:val="00FA45EE"/>
    <w:rsid w:val="00FA4D66"/>
    <w:rsid w:val="00FA53A3"/>
    <w:rsid w:val="00FA56AE"/>
    <w:rsid w:val="00FA5A4E"/>
    <w:rsid w:val="00FA6157"/>
    <w:rsid w:val="00FA71F2"/>
    <w:rsid w:val="00FB0082"/>
    <w:rsid w:val="00FB0243"/>
    <w:rsid w:val="00FB0AC3"/>
    <w:rsid w:val="00FB0CA4"/>
    <w:rsid w:val="00FB0FD0"/>
    <w:rsid w:val="00FB1527"/>
    <w:rsid w:val="00FB1E67"/>
    <w:rsid w:val="00FB23A7"/>
    <w:rsid w:val="00FB2537"/>
    <w:rsid w:val="00FB31BD"/>
    <w:rsid w:val="00FB338E"/>
    <w:rsid w:val="00FB33DC"/>
    <w:rsid w:val="00FB4338"/>
    <w:rsid w:val="00FB477E"/>
    <w:rsid w:val="00FB494F"/>
    <w:rsid w:val="00FB4BC0"/>
    <w:rsid w:val="00FB4C2A"/>
    <w:rsid w:val="00FB4C9C"/>
    <w:rsid w:val="00FB5148"/>
    <w:rsid w:val="00FB570B"/>
    <w:rsid w:val="00FB6165"/>
    <w:rsid w:val="00FB6E83"/>
    <w:rsid w:val="00FB78E7"/>
    <w:rsid w:val="00FC0150"/>
    <w:rsid w:val="00FC03AB"/>
    <w:rsid w:val="00FC06B3"/>
    <w:rsid w:val="00FC0C6D"/>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1DC"/>
    <w:rsid w:val="00FE3465"/>
    <w:rsid w:val="00FE35A6"/>
    <w:rsid w:val="00FE3CC4"/>
    <w:rsid w:val="00FE67CF"/>
    <w:rsid w:val="00FE6D20"/>
    <w:rsid w:val="00FE6FB9"/>
    <w:rsid w:val="00FE7549"/>
    <w:rsid w:val="00FE7BCC"/>
    <w:rsid w:val="00FE7CA0"/>
    <w:rsid w:val="00FF0832"/>
    <w:rsid w:val="00FF126D"/>
    <w:rsid w:val="00FF13C6"/>
    <w:rsid w:val="00FF2310"/>
    <w:rsid w:val="00FF2319"/>
    <w:rsid w:val="00FF2E73"/>
    <w:rsid w:val="00FF34D1"/>
    <w:rsid w:val="00FF3FE2"/>
    <w:rsid w:val="00FF47E1"/>
    <w:rsid w:val="00FF4AE2"/>
    <w:rsid w:val="00FF50A8"/>
    <w:rsid w:val="00FF571E"/>
    <w:rsid w:val="00FF5A83"/>
    <w:rsid w:val="00FF5BC1"/>
    <w:rsid w:val="00FF6B4A"/>
    <w:rsid w:val="00FF6BD1"/>
    <w:rsid w:val="00FF6CC0"/>
    <w:rsid w:val="00FF7512"/>
    <w:rsid w:val="00FF7563"/>
    <w:rsid w:val="00FF79A6"/>
    <w:rsid w:val="051C3C3C"/>
    <w:rsid w:val="06AD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D5F000"/>
  <w15:docId w15:val="{8A007C72-FFA7-4F74-8EC9-52722D37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qFormat/>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Calibri" w:eastAsiaTheme="minorHAnsi" w:hAnsi="Calibri" w:cs="Calibri"/>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35"/>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Pr>
      <w:lang w:eastAsia="zh-CN"/>
    </w:rPr>
  </w:style>
  <w:style w:type="paragraph" w:customStyle="1" w:styleId="1">
    <w:name w:val="修订1"/>
    <w:hidden/>
    <w:uiPriority w:val="99"/>
    <w:semiHidden/>
    <w:qFormat/>
    <w:rPr>
      <w:rFonts w:eastAsia="SimSun"/>
      <w:sz w:val="22"/>
      <w:szCs w:val="22"/>
      <w:lang w:eastAsia="en-US"/>
    </w:rPr>
  </w:style>
  <w:style w:type="character" w:customStyle="1" w:styleId="00MainTextChar">
    <w:name w:val="00 Main Text Char"/>
    <w:basedOn w:val="DefaultParagraphFont"/>
    <w:link w:val="00MainText"/>
    <w:qFormat/>
    <w:locked/>
    <w:rPr>
      <w:rFonts w:ascii="Malgun Gothic" w:eastAsia="Malgun Gothic" w:hAnsi="Malgun Gothic" w:cs="Batang"/>
      <w:sz w:val="22"/>
      <w:lang w:val="en-GB"/>
    </w:rPr>
  </w:style>
  <w:style w:type="paragraph" w:customStyle="1" w:styleId="00MainText">
    <w:name w:val="00 Main Text"/>
    <w:basedOn w:val="Normal"/>
    <w:link w:val="00MainTextChar"/>
    <w:qFormat/>
    <w:pPr>
      <w:autoSpaceDE/>
      <w:autoSpaceDN/>
      <w:adjustRightInd/>
      <w:snapToGrid/>
      <w:spacing w:after="100" w:afterAutospacing="1" w:line="288" w:lineRule="auto"/>
      <w:ind w:firstLine="360"/>
    </w:pPr>
    <w:rPr>
      <w:rFonts w:ascii="Malgun Gothic" w:eastAsia="Malgun Gothic" w:hAnsi="Malgun Gothic" w:cs="Batang"/>
      <w:szCs w:val="20"/>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rPr>
      <w:sz w:val="22"/>
    </w:rPr>
  </w:style>
  <w:style w:type="paragraph" w:customStyle="1" w:styleId="YJ-Proposal">
    <w:name w:val="YJ-Proposal"/>
    <w:basedOn w:val="Normal"/>
    <w:qFormat/>
    <w:pPr>
      <w:numPr>
        <w:numId w:val="5"/>
      </w:numPr>
      <w:autoSpaceDE/>
      <w:autoSpaceDN/>
      <w:adjustRightInd/>
      <w:snapToGrid/>
      <w:spacing w:after="160" w:line="256" w:lineRule="auto"/>
    </w:pPr>
    <w:rPr>
      <w:rFonts w:eastAsiaTheme="minorEastAsia"/>
      <w:b/>
      <w:bCs/>
      <w:i/>
      <w:iCs/>
      <w:kern w:val="2"/>
      <w:sz w:val="20"/>
      <w:szCs w:val="20"/>
      <w:lang w:val="en-GB"/>
    </w:rPr>
  </w:style>
  <w:style w:type="paragraph" w:customStyle="1" w:styleId="Observation">
    <w:name w:val="Observation"/>
    <w:basedOn w:val="Normal"/>
    <w:qFormat/>
    <w:pPr>
      <w:numPr>
        <w:numId w:val="6"/>
      </w:numPr>
      <w:tabs>
        <w:tab w:val="left" w:pos="1701"/>
      </w:tabs>
      <w:autoSpaceDE/>
      <w:autoSpaceDN/>
      <w:adjustRightInd/>
      <w:snapToGrid/>
      <w:spacing w:after="160" w:line="256" w:lineRule="auto"/>
      <w:jc w:val="left"/>
    </w:pPr>
    <w:rPr>
      <w:rFonts w:asciiTheme="minorHAnsi" w:eastAsiaTheme="minorHAnsi" w:hAnsiTheme="minorHAnsi" w:cstheme="minorBidi"/>
      <w:b/>
      <w:bCs/>
    </w:rPr>
  </w:style>
  <w:style w:type="character" w:customStyle="1" w:styleId="LGTdocChar">
    <w:name w:val="LGTdoc_본문 Char"/>
    <w:link w:val="LGTdoc"/>
    <w:locked/>
    <w:rPr>
      <w:kern w:val="2"/>
      <w:sz w:val="22"/>
      <w:szCs w:val="24"/>
      <w:lang w:val="en-GB" w:eastAsia="ko-KR"/>
    </w:rPr>
  </w:style>
  <w:style w:type="paragraph" w:customStyle="1" w:styleId="LGTdoc">
    <w:name w:val="LGTdoc_본문"/>
    <w:basedOn w:val="Normal"/>
    <w:link w:val="LGTdocChar"/>
    <w:pPr>
      <w:widowControl w:val="0"/>
      <w:spacing w:afterLines="50" w:after="0" w:line="264" w:lineRule="auto"/>
    </w:pPr>
    <w:rPr>
      <w:kern w:val="2"/>
      <w:szCs w:val="24"/>
      <w:lang w:val="en-GB" w:eastAsia="ko-KR"/>
    </w:rPr>
  </w:style>
  <w:style w:type="character" w:customStyle="1" w:styleId="apple-tab-span">
    <w:name w:val="apple-tab-span"/>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png@01D5F0AD.82E398E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B9FC0-D321-4D84-A40B-7B72CCD2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2577</Words>
  <Characters>14692</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Philippe Sartori</cp:lastModifiedBy>
  <cp:revision>7</cp:revision>
  <cp:lastPrinted>2007-06-18T22:08:00Z</cp:lastPrinted>
  <dcterms:created xsi:type="dcterms:W3CDTF">2020-05-21T15:40:00Z</dcterms:created>
  <dcterms:modified xsi:type="dcterms:W3CDTF">2020-05-21T17:26:00Z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(3)e9hy2H3YPFm2ZL5ZacRYD2KpRghfpVn6/yeI+6vAGIxY4sZ+qKaUo2pkJtkcj/rocU8x/pRw
CoQteZTnIZxNyhxGKwLA1/HG8VGV6QHCLHv81YsOgNLm32EZLUzBHC76qFhObpAJMMe2Ba1b
9kw/0VJBU99SC1Wq2AVCbggX54RDf7DgkxCdPWc+eT1H9Mv0yNh+E0cgh6Hj+AwxPdKnhY4P
dOvNopcQ1jpmG+trdO</vt:lpwstr>
  </property>
  <property fmtid="{D5CDD505-2E9C-101B-9397-08002B2CF9AE}" pid="13" name="_2015_ms_pID_725343_00">
    <vt:lpwstr>_2015_ms_pID_725343</vt:lpwstr>
  </property>
  <property fmtid="{D5CDD505-2E9C-101B-9397-08002B2CF9AE}" pid="14" name="_2015_ms_pID_7253431">
    <vt:lpwstr>gzjY4hTgISfXxFyFSePK9u1BheRNlIhgcqiv1fkySDUxDdagEUa+Ku
RrziMrHgo68cdYdF+OkWXh+KVHCu4OLRS0Kl9CF65nuwNYM5cnhUHGDtxhcriydZhEM2xa72
pPsrk1C3NVRY839764Q1QmKZ+GqFatQi9Ts3+AUHyJ4qwS9geZ227KZpnxMQRvXHPCS6ESFk
9wHf09yfAFec3/SNq0LDkV8druWR8lXrrs2Z</vt:lpwstr>
  </property>
  <property fmtid="{D5CDD505-2E9C-101B-9397-08002B2CF9AE}" pid="15" name="_2015_ms_pID_7253431_00">
    <vt:lpwstr>_2015_ms_pID_7253431</vt:lpwstr>
  </property>
  <property fmtid="{D5CDD505-2E9C-101B-9397-08002B2CF9AE}" pid="16" name="_2015_ms_pID_7253432">
    <vt:lpwstr>BjIT0B5FYd6lym6GzBuf5hXe59EFnSa02P4a
m1rS6WeVQjAHDO9ETjrRtwSWKXDFu3koPTLt9dmKgyi1Xj+bGyw=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KSOProductBuildVer">
    <vt:lpwstr>2052-11.8.2.8411</vt:lpwstr>
  </property>
</Properties>
</file>