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86" w:rsidRPr="00A13DD7" w:rsidRDefault="00E21D86" w:rsidP="004E22B4">
      <w:pPr>
        <w:outlineLvl w:val="0"/>
        <w:rPr>
          <w:rFonts w:ascii="Times New Roman" w:hAnsi="Times New Roman" w:cs="Times New Roman"/>
          <w:b/>
          <w:sz w:val="20"/>
          <w:szCs w:val="20"/>
        </w:rPr>
      </w:pPr>
      <w:r w:rsidRPr="00A13DD7">
        <w:rPr>
          <w:rFonts w:ascii="Times New Roman" w:hAnsi="Times New Roman" w:cs="Times New Roman"/>
          <w:b/>
          <w:sz w:val="20"/>
          <w:szCs w:val="20"/>
        </w:rPr>
        <w:t>[</w:t>
      </w:r>
      <w:r w:rsidR="00A13DD7" w:rsidRPr="00A13DD7">
        <w:rPr>
          <w:rFonts w:ascii="Times New Roman" w:hAnsi="Times New Roman" w:cs="Times New Roman"/>
          <w:b/>
          <w:sz w:val="20"/>
          <w:szCs w:val="20"/>
        </w:rPr>
        <w:t>101-e--NR-5G_V2X_NRSL-SYNC-01</w:t>
      </w:r>
      <w:r w:rsidRPr="00A13DD7">
        <w:rPr>
          <w:rFonts w:ascii="Times New Roman" w:hAnsi="Times New Roman" w:cs="Times New Roman"/>
          <w:b/>
          <w:sz w:val="20"/>
          <w:szCs w:val="20"/>
        </w:rPr>
        <w:t>]</w:t>
      </w:r>
    </w:p>
    <w:p w:rsidR="00A02520" w:rsidRPr="00A13DD7" w:rsidRDefault="006233F4" w:rsidP="004E22B4">
      <w:pPr>
        <w:outlineLvl w:val="0"/>
        <w:rPr>
          <w:rFonts w:ascii="Times New Roman" w:hAnsi="Times New Roman" w:cs="Times New Roman"/>
          <w:b/>
          <w:sz w:val="20"/>
          <w:szCs w:val="20"/>
        </w:rPr>
      </w:pPr>
      <w:r w:rsidRPr="00A13DD7">
        <w:rPr>
          <w:rFonts w:ascii="Times New Roman" w:hAnsi="Times New Roman" w:cs="Times New Roman"/>
          <w:b/>
          <w:sz w:val="20"/>
          <w:szCs w:val="20"/>
        </w:rPr>
        <w:t xml:space="preserve">Email discussion/approval </w:t>
      </w:r>
      <w:r w:rsidR="00A13DD7" w:rsidRPr="00A13DD7">
        <w:rPr>
          <w:rFonts w:ascii="Times New Roman" w:hAnsi="Times New Roman" w:cs="Times New Roman"/>
          <w:b/>
          <w:sz w:val="20"/>
          <w:szCs w:val="20"/>
        </w:rPr>
        <w:t>regarding PSBCH content/TDD configuration indication</w:t>
      </w:r>
    </w:p>
    <w:p w:rsidR="00A13DD7" w:rsidRPr="00A13DD7" w:rsidRDefault="00A13DD7" w:rsidP="00A13DD7">
      <w:pPr>
        <w:pStyle w:val="a5"/>
        <w:numPr>
          <w:ilvl w:val="0"/>
          <w:numId w:val="4"/>
        </w:numPr>
        <w:ind w:firstLineChars="0"/>
        <w:rPr>
          <w:rFonts w:cs="Times New Roman"/>
          <w:b/>
          <w:sz w:val="20"/>
          <w:szCs w:val="20"/>
        </w:rPr>
      </w:pPr>
      <w:r w:rsidRPr="00A13DD7">
        <w:rPr>
          <w:rFonts w:cs="Times New Roman"/>
          <w:b/>
          <w:sz w:val="20"/>
          <w:szCs w:val="20"/>
        </w:rPr>
        <w:t>Issue 1: Indication of TDD configuration</w:t>
      </w:r>
    </w:p>
    <w:p w:rsidR="00A13DD7" w:rsidRPr="00A13DD7" w:rsidRDefault="00A13DD7" w:rsidP="00A13DD7">
      <w:pPr>
        <w:pStyle w:val="a5"/>
        <w:numPr>
          <w:ilvl w:val="0"/>
          <w:numId w:val="4"/>
        </w:numPr>
        <w:ind w:firstLineChars="0"/>
        <w:rPr>
          <w:rFonts w:cs="Times New Roman"/>
          <w:b/>
          <w:sz w:val="20"/>
          <w:szCs w:val="20"/>
        </w:rPr>
      </w:pPr>
      <w:r w:rsidRPr="00A13DD7">
        <w:rPr>
          <w:rFonts w:cs="Times New Roman"/>
          <w:b/>
          <w:sz w:val="20"/>
          <w:szCs w:val="20"/>
        </w:rPr>
        <w:t>Issue 2: SL-TDD-Config determination</w:t>
      </w:r>
    </w:p>
    <w:p w:rsidR="00A13DD7" w:rsidRPr="00A13DD7" w:rsidRDefault="00A13DD7" w:rsidP="00A13DD7">
      <w:pPr>
        <w:pStyle w:val="a5"/>
        <w:numPr>
          <w:ilvl w:val="0"/>
          <w:numId w:val="4"/>
        </w:numPr>
        <w:ind w:firstLineChars="0"/>
        <w:rPr>
          <w:rFonts w:cs="Times New Roman"/>
          <w:b/>
          <w:sz w:val="20"/>
          <w:szCs w:val="20"/>
        </w:rPr>
      </w:pPr>
      <w:r w:rsidRPr="00A13DD7">
        <w:rPr>
          <w:rFonts w:cs="Times New Roman"/>
          <w:b/>
          <w:sz w:val="20"/>
          <w:szCs w:val="20"/>
        </w:rPr>
        <w:t>Issue 4: PSBCH contents and payload size (WAs confirmation)</w:t>
      </w:r>
    </w:p>
    <w:p w:rsidR="00A13DD7" w:rsidRPr="00A13DD7" w:rsidRDefault="00A13DD7" w:rsidP="00A13DD7">
      <w:pPr>
        <w:rPr>
          <w:rFonts w:ascii="Times New Roman" w:hAnsi="Times New Roman" w:cs="Times New Roman"/>
          <w:b/>
          <w:sz w:val="20"/>
          <w:szCs w:val="20"/>
        </w:rPr>
      </w:pPr>
      <w:r w:rsidRPr="00A13DD7">
        <w:rPr>
          <w:rFonts w:ascii="Times New Roman" w:hAnsi="Times New Roman" w:cs="Times New Roman"/>
          <w:b/>
          <w:sz w:val="20"/>
          <w:szCs w:val="20"/>
        </w:rPr>
        <w:t>By 5/29, with potential TP till 6/4 – Teng (CATT)</w:t>
      </w:r>
    </w:p>
    <w:p w:rsidR="00D1329A" w:rsidRPr="00A13DD7" w:rsidRDefault="00D1329A"/>
    <w:p w:rsidR="00D1329A" w:rsidRDefault="00D1329A"/>
    <w:p w:rsidR="0030663E" w:rsidRPr="0099216D" w:rsidRDefault="0030663E"/>
    <w:p w:rsidR="00D1329A" w:rsidRPr="005956BB" w:rsidRDefault="00237EEE" w:rsidP="005956BB">
      <w:pPr>
        <w:spacing w:beforeLines="50" w:before="156" w:afterLines="50" w:after="156"/>
        <w:outlineLvl w:val="1"/>
        <w:rPr>
          <w:b/>
          <w:sz w:val="24"/>
          <w:szCs w:val="24"/>
        </w:rPr>
      </w:pPr>
      <w:r w:rsidRPr="00237EEE">
        <w:rPr>
          <w:rFonts w:hint="eastAsia"/>
          <w:b/>
          <w:sz w:val="24"/>
          <w:szCs w:val="24"/>
        </w:rPr>
        <w:t>Issue 1 Indication of TDD configuration</w:t>
      </w:r>
    </w:p>
    <w:p w:rsidR="00794E28" w:rsidRPr="00794E28" w:rsidRDefault="00345AEC" w:rsidP="001F0DA0">
      <w:pPr>
        <w:spacing w:beforeLines="50" w:before="156"/>
        <w:rPr>
          <w:rFonts w:cs="Times New Roman"/>
          <w:b/>
          <w:i/>
          <w:sz w:val="20"/>
          <w:szCs w:val="20"/>
        </w:rPr>
      </w:pPr>
      <w:r>
        <w:rPr>
          <w:rFonts w:ascii="Times New Roman" w:hAnsi="Times New Roman" w:cs="Times New Roman" w:hint="eastAsia"/>
          <w:b/>
          <w:i/>
          <w:sz w:val="20"/>
          <w:szCs w:val="20"/>
        </w:rPr>
        <w:t xml:space="preserve">FL </w:t>
      </w:r>
      <w:r w:rsidR="00794E28" w:rsidRPr="00794E28">
        <w:rPr>
          <w:rFonts w:ascii="Times New Roman" w:hAnsi="Times New Roman" w:cs="Times New Roman"/>
          <w:b/>
          <w:i/>
          <w:sz w:val="20"/>
          <w:szCs w:val="20"/>
        </w:rPr>
        <w:t xml:space="preserve">Proposal: </w:t>
      </w:r>
    </w:p>
    <w:p w:rsidR="004F5BFF" w:rsidRDefault="004F5BFF" w:rsidP="004F5BFF">
      <w:pPr>
        <w:pStyle w:val="a7"/>
        <w:spacing w:beforeLines="50" w:before="156"/>
        <w:rPr>
          <w:rFonts w:eastAsiaTheme="minorEastAsia"/>
          <w:b/>
          <w:i/>
          <w:lang w:eastAsia="zh-CN"/>
        </w:rPr>
      </w:pPr>
      <w:r>
        <w:rPr>
          <w:rFonts w:eastAsiaTheme="minorEastAsia" w:hint="eastAsia"/>
          <w:b/>
          <w:i/>
          <w:lang w:eastAsia="zh-CN"/>
        </w:rPr>
        <w:t>Proposal 1: For indication of TDD configuration, the pattern(s) indication (X) and periodicity indication (Y) follows the two tables below:</w:t>
      </w:r>
    </w:p>
    <w:p w:rsidR="004F5BFF" w:rsidRPr="00A3223E" w:rsidRDefault="004F5BFF" w:rsidP="004F5BFF">
      <w:pPr>
        <w:pStyle w:val="a8"/>
        <w:ind w:firstLine="360"/>
        <w:jc w:val="center"/>
        <w:rPr>
          <w:rFonts w:eastAsia="等线"/>
          <w:b/>
          <w:bCs/>
          <w:lang w:eastAsia="zh-CN"/>
        </w:rPr>
      </w:pPr>
      <w:r w:rsidRPr="00A3223E">
        <w:rPr>
          <w:rFonts w:eastAsia="等线"/>
          <w:b/>
          <w:bCs/>
          <w:lang w:eastAsia="zh-CN"/>
        </w:rPr>
        <w:t xml:space="preserve">Table </w:t>
      </w:r>
      <w:r w:rsidRPr="00A3223E">
        <w:rPr>
          <w:rFonts w:eastAsia="等线"/>
          <w:b/>
          <w:bCs/>
          <w:lang w:eastAsia="zh-CN"/>
        </w:rPr>
        <w:fldChar w:fldCharType="begin"/>
      </w:r>
      <w:r w:rsidRPr="00A3223E">
        <w:rPr>
          <w:rFonts w:eastAsia="等线"/>
          <w:b/>
          <w:bCs/>
          <w:lang w:eastAsia="zh-CN"/>
        </w:rPr>
        <w:instrText xml:space="preserve"> SEQ Table \* ARABIC </w:instrText>
      </w:r>
      <w:r w:rsidRPr="00A3223E">
        <w:rPr>
          <w:rFonts w:eastAsia="等线"/>
          <w:b/>
          <w:bCs/>
          <w:lang w:eastAsia="zh-CN"/>
        </w:rPr>
        <w:fldChar w:fldCharType="separate"/>
      </w:r>
      <w:r w:rsidRPr="00A3223E">
        <w:rPr>
          <w:rFonts w:eastAsia="等线"/>
          <w:b/>
          <w:bCs/>
          <w:noProof/>
          <w:lang w:eastAsia="zh-CN"/>
        </w:rPr>
        <w:t>1</w:t>
      </w:r>
      <w:r w:rsidRPr="00A3223E">
        <w:rPr>
          <w:rFonts w:eastAsia="等线"/>
          <w:b/>
          <w:bCs/>
          <w:lang w:eastAsia="zh-CN"/>
        </w:rPr>
        <w:fldChar w:fldCharType="end"/>
      </w:r>
      <w:r w:rsidRPr="00A3223E">
        <w:rPr>
          <w:rFonts w:eastAsia="等线"/>
          <w:b/>
          <w:bCs/>
          <w:lang w:eastAsia="zh-CN"/>
        </w:rPr>
        <w:t>. Periodicity</w:t>
      </w:r>
      <w:r w:rsidR="00A3223E" w:rsidRPr="00A3223E">
        <w:rPr>
          <w:rFonts w:eastAsia="等线"/>
          <w:b/>
          <w:bCs/>
          <w:lang w:eastAsia="zh-CN"/>
        </w:rPr>
        <w:t xml:space="preserve"> indication Y</w:t>
      </w:r>
      <w:r w:rsidRPr="00A3223E">
        <w:rPr>
          <w:rFonts w:eastAsia="等线"/>
          <w:b/>
          <w:bCs/>
          <w:lang w:eastAsia="zh-CN"/>
        </w:rPr>
        <w:t xml:space="preserve"> with single TDD pattern (X=0)</w:t>
      </w:r>
    </w:p>
    <w:tbl>
      <w:tblPr>
        <w:tblStyle w:val="a6"/>
        <w:tblW w:w="2977" w:type="pct"/>
        <w:jc w:val="center"/>
        <w:tblLook w:val="04A0" w:firstRow="1" w:lastRow="0" w:firstColumn="1" w:lastColumn="0" w:noHBand="0" w:noVBand="1"/>
      </w:tblPr>
      <w:tblGrid>
        <w:gridCol w:w="1572"/>
        <w:gridCol w:w="1663"/>
        <w:gridCol w:w="1704"/>
      </w:tblGrid>
      <w:tr w:rsidR="004F5BFF" w:rsidRPr="00A3223E" w:rsidTr="00340B0A">
        <w:trPr>
          <w:trHeight w:val="312"/>
          <w:jc w:val="center"/>
        </w:trPr>
        <w:tc>
          <w:tcPr>
            <w:tcW w:w="1591" w:type="pct"/>
            <w:vMerge w:val="restart"/>
            <w:shd w:val="clear" w:color="auto" w:fill="BFBFBF" w:themeFill="background1" w:themeFillShade="BF"/>
            <w:vAlign w:val="center"/>
          </w:tcPr>
          <w:p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684" w:type="pct"/>
            <w:vMerge w:val="restart"/>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 (ms)</w:t>
            </w:r>
          </w:p>
        </w:tc>
        <w:tc>
          <w:tcPr>
            <w:tcW w:w="1725" w:type="pct"/>
            <w:vMerge w:val="restart"/>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Single pattern</w:t>
            </w:r>
          </w:p>
        </w:tc>
      </w:tr>
      <w:tr w:rsidR="004F5BFF" w:rsidRPr="00A3223E" w:rsidTr="00340B0A">
        <w:trPr>
          <w:trHeight w:val="312"/>
          <w:jc w:val="center"/>
        </w:trPr>
        <w:tc>
          <w:tcPr>
            <w:tcW w:w="1591"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p>
        </w:tc>
        <w:tc>
          <w:tcPr>
            <w:tcW w:w="1684"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color w:val="000000"/>
                <w:sz w:val="20"/>
                <w:szCs w:val="20"/>
                <w:lang w:val="en-GB"/>
              </w:rPr>
            </w:pPr>
          </w:p>
        </w:tc>
        <w:tc>
          <w:tcPr>
            <w:tcW w:w="1725"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0.625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3</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6</w:t>
            </w:r>
          </w:p>
        </w:tc>
        <w:tc>
          <w:tcPr>
            <w:tcW w:w="1684"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1725" w:type="pct"/>
            <w:vAlign w:val="center"/>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4</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7</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5</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8</w:t>
            </w:r>
          </w:p>
        </w:tc>
        <w:tc>
          <w:tcPr>
            <w:tcW w:w="1684"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1725"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10</w:t>
            </w:r>
          </w:p>
        </w:tc>
      </w:tr>
      <w:tr w:rsidR="004F5BFF" w:rsidRPr="00A3223E" w:rsidTr="00340B0A">
        <w:trPr>
          <w:jc w:val="center"/>
        </w:trPr>
        <w:tc>
          <w:tcPr>
            <w:tcW w:w="1591"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9-15</w:t>
            </w:r>
          </w:p>
        </w:tc>
        <w:tc>
          <w:tcPr>
            <w:tcW w:w="3409" w:type="pct"/>
            <w:gridSpan w:val="2"/>
            <w:vAlign w:val="center"/>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Reserved</w:t>
            </w:r>
          </w:p>
        </w:tc>
      </w:tr>
    </w:tbl>
    <w:p w:rsidR="004F5BFF" w:rsidRPr="00A3223E" w:rsidRDefault="004F5BFF" w:rsidP="004F5BFF">
      <w:pPr>
        <w:pStyle w:val="a8"/>
        <w:ind w:firstLine="361"/>
        <w:jc w:val="center"/>
        <w:rPr>
          <w:rFonts w:eastAsia="等线"/>
          <w:b/>
          <w:bCs/>
          <w:lang w:eastAsia="zh-CN"/>
        </w:rPr>
      </w:pPr>
      <w:r w:rsidRPr="00A3223E">
        <w:rPr>
          <w:b/>
          <w:bCs/>
        </w:rPr>
        <w:t xml:space="preserve">Table </w:t>
      </w:r>
      <w:r w:rsidRPr="00A3223E">
        <w:rPr>
          <w:b/>
          <w:bCs/>
        </w:rPr>
        <w:fldChar w:fldCharType="begin"/>
      </w:r>
      <w:r w:rsidRPr="00A3223E">
        <w:rPr>
          <w:b/>
          <w:bCs/>
        </w:rPr>
        <w:instrText xml:space="preserve"> SEQ Table \* ARABIC </w:instrText>
      </w:r>
      <w:r w:rsidRPr="00A3223E">
        <w:rPr>
          <w:b/>
          <w:bCs/>
        </w:rPr>
        <w:fldChar w:fldCharType="separate"/>
      </w:r>
      <w:r w:rsidRPr="00A3223E">
        <w:rPr>
          <w:b/>
          <w:bCs/>
          <w:noProof/>
        </w:rPr>
        <w:t>2</w:t>
      </w:r>
      <w:r w:rsidRPr="00A3223E">
        <w:rPr>
          <w:b/>
          <w:bCs/>
        </w:rPr>
        <w:fldChar w:fldCharType="end"/>
      </w:r>
      <w:r w:rsidRPr="00A3223E">
        <w:rPr>
          <w:b/>
          <w:bCs/>
        </w:rPr>
        <w:t xml:space="preserve">. </w:t>
      </w:r>
      <w:r w:rsidRPr="00A3223E">
        <w:rPr>
          <w:rFonts w:eastAsia="等线"/>
          <w:b/>
          <w:bCs/>
          <w:lang w:eastAsia="zh-CN"/>
        </w:rPr>
        <w:t>Periodicity</w:t>
      </w:r>
      <w:r w:rsidR="00A3223E" w:rsidRPr="00A3223E">
        <w:rPr>
          <w:rFonts w:eastAsia="等线"/>
          <w:b/>
          <w:bCs/>
          <w:lang w:eastAsia="zh-CN"/>
        </w:rPr>
        <w:t xml:space="preserve"> indication Y</w:t>
      </w:r>
      <w:r w:rsidRPr="00A3223E">
        <w:rPr>
          <w:rFonts w:eastAsia="等线"/>
          <w:b/>
          <w:bCs/>
          <w:lang w:eastAsia="zh-CN"/>
        </w:rPr>
        <w:t xml:space="preserve"> with two TDD patterns (X=1)</w:t>
      </w:r>
    </w:p>
    <w:tbl>
      <w:tblPr>
        <w:tblStyle w:val="a6"/>
        <w:tblW w:w="2526" w:type="pct"/>
        <w:jc w:val="center"/>
        <w:tblLook w:val="04A0" w:firstRow="1" w:lastRow="0" w:firstColumn="1" w:lastColumn="0" w:noHBand="0" w:noVBand="1"/>
      </w:tblPr>
      <w:tblGrid>
        <w:gridCol w:w="1473"/>
        <w:gridCol w:w="1309"/>
        <w:gridCol w:w="704"/>
        <w:gridCol w:w="705"/>
      </w:tblGrid>
      <w:tr w:rsidR="004F5BFF" w:rsidRPr="00A3223E" w:rsidTr="00340B0A">
        <w:trPr>
          <w:trHeight w:val="117"/>
          <w:jc w:val="center"/>
        </w:trPr>
        <w:tc>
          <w:tcPr>
            <w:tcW w:w="1757" w:type="pct"/>
            <w:vMerge w:val="restart"/>
            <w:shd w:val="clear" w:color="auto" w:fill="BFBFBF" w:themeFill="background1" w:themeFillShade="BF"/>
            <w:vAlign w:val="center"/>
          </w:tcPr>
          <w:p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562" w:type="pct"/>
            <w:vMerge w:val="restart"/>
            <w:shd w:val="clear" w:color="auto" w:fill="BFBFBF" w:themeFill="background1" w:themeFillShade="BF"/>
            <w:vAlign w:val="center"/>
          </w:tcPr>
          <w:p w:rsidR="004F5BFF" w:rsidRPr="00A3223E" w:rsidRDefault="004F5BFF" w:rsidP="009827BD">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P+P2 (ms)</w:t>
            </w:r>
          </w:p>
        </w:tc>
        <w:tc>
          <w:tcPr>
            <w:tcW w:w="1681" w:type="pct"/>
            <w:gridSpan w:val="2"/>
            <w:shd w:val="clear" w:color="auto" w:fill="BFBFBF" w:themeFill="background1" w:themeFillShade="BF"/>
            <w:vAlign w:val="center"/>
          </w:tcPr>
          <w:p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Two patterns</w:t>
            </w:r>
          </w:p>
        </w:tc>
      </w:tr>
      <w:tr w:rsidR="004F5BFF" w:rsidRPr="00A3223E" w:rsidTr="00340B0A">
        <w:trPr>
          <w:trHeight w:val="116"/>
          <w:jc w:val="center"/>
        </w:trPr>
        <w:tc>
          <w:tcPr>
            <w:tcW w:w="1757"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sz w:val="20"/>
                <w:szCs w:val="20"/>
                <w:lang w:val="en-GB"/>
              </w:rPr>
            </w:pPr>
          </w:p>
        </w:tc>
        <w:tc>
          <w:tcPr>
            <w:tcW w:w="1562" w:type="pct"/>
            <w:vMerge/>
            <w:shd w:val="clear" w:color="auto" w:fill="BFBFBF" w:themeFill="background1" w:themeFillShade="BF"/>
            <w:vAlign w:val="center"/>
          </w:tcPr>
          <w:p w:rsidR="004F5BFF" w:rsidRPr="00A3223E" w:rsidRDefault="004F5BFF" w:rsidP="00340B0A">
            <w:pPr>
              <w:jc w:val="center"/>
              <w:rPr>
                <w:rFonts w:ascii="Times New Roman" w:hAnsi="Times New Roman" w:cs="Times New Roman"/>
                <w:color w:val="000000"/>
                <w:sz w:val="20"/>
                <w:szCs w:val="20"/>
                <w:lang w:val="en-GB"/>
              </w:rPr>
            </w:pPr>
          </w:p>
        </w:tc>
        <w:tc>
          <w:tcPr>
            <w:tcW w:w="840" w:type="pct"/>
            <w:shd w:val="clear" w:color="auto" w:fill="BFBFBF" w:themeFill="background1" w:themeFillShade="BF"/>
            <w:vAlign w:val="center"/>
          </w:tcPr>
          <w:p w:rsidR="004F5BFF" w:rsidRPr="00A3223E" w:rsidRDefault="004F5BFF" w:rsidP="009827BD">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w:t>
            </w:r>
          </w:p>
        </w:tc>
        <w:tc>
          <w:tcPr>
            <w:tcW w:w="840" w:type="pct"/>
            <w:shd w:val="clear" w:color="auto" w:fill="BFBFBF" w:themeFill="background1" w:themeFillShade="BF"/>
            <w:vAlign w:val="center"/>
          </w:tcPr>
          <w:p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P2</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0.625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0.5</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1.25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c>
          <w:tcPr>
            <w:tcW w:w="840" w:type="pct"/>
          </w:tcPr>
          <w:p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6</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7</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8</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10</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11</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12</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13</w:t>
            </w:r>
          </w:p>
        </w:tc>
        <w:tc>
          <w:tcPr>
            <w:tcW w:w="1562" w:type="pct"/>
            <w:vAlign w:val="center"/>
          </w:tcPr>
          <w:p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14</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r>
      <w:tr w:rsidR="004F5BFF" w:rsidRPr="00A3223E" w:rsidTr="00340B0A">
        <w:trPr>
          <w:jc w:val="center"/>
        </w:trPr>
        <w:tc>
          <w:tcPr>
            <w:tcW w:w="1757"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15</w:t>
            </w:r>
          </w:p>
        </w:tc>
        <w:tc>
          <w:tcPr>
            <w:tcW w:w="1562"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20</w:t>
            </w:r>
          </w:p>
        </w:tc>
        <w:tc>
          <w:tcPr>
            <w:tcW w:w="840" w:type="pct"/>
            <w:vAlign w:val="center"/>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c>
          <w:tcPr>
            <w:tcW w:w="840" w:type="pct"/>
          </w:tcPr>
          <w:p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r>
    </w:tbl>
    <w:p w:rsidR="004F5BFF" w:rsidRDefault="004F5BFF" w:rsidP="004F5BFF">
      <w:pPr>
        <w:pStyle w:val="a7"/>
        <w:spacing w:beforeLines="50" w:before="156"/>
        <w:rPr>
          <w:rFonts w:eastAsiaTheme="minorEastAsia"/>
          <w:b/>
          <w:i/>
          <w:lang w:eastAsia="zh-CN"/>
        </w:rPr>
      </w:pPr>
    </w:p>
    <w:p w:rsidR="004F5BFF" w:rsidRDefault="004F5BFF" w:rsidP="004F5BFF">
      <w:pPr>
        <w:pStyle w:val="a7"/>
        <w:spacing w:beforeLines="50" w:before="156"/>
        <w:rPr>
          <w:rFonts w:eastAsiaTheme="minorEastAsia"/>
          <w:b/>
          <w:i/>
          <w:lang w:eastAsia="zh-CN"/>
        </w:rPr>
      </w:pPr>
      <w:r>
        <w:rPr>
          <w:rFonts w:eastAsiaTheme="minorEastAsia" w:hint="eastAsia"/>
          <w:b/>
          <w:i/>
          <w:lang w:eastAsia="zh-CN"/>
        </w:rPr>
        <w:lastRenderedPageBreak/>
        <w:t>Proposal 2: For indication of the granularity of UL resources,</w:t>
      </w:r>
    </w:p>
    <w:p w:rsidR="004F5BFF" w:rsidRPr="00F6102A" w:rsidRDefault="004F5BFF" w:rsidP="004F5BFF">
      <w:pPr>
        <w:pStyle w:val="a7"/>
        <w:numPr>
          <w:ilvl w:val="0"/>
          <w:numId w:val="5"/>
        </w:numPr>
        <w:spacing w:beforeLines="50" w:before="156"/>
        <w:rPr>
          <w:rFonts w:eastAsiaTheme="minorEastAsia"/>
          <w:b/>
          <w:i/>
          <w:lang w:eastAsia="zh-CN"/>
        </w:rPr>
      </w:pPr>
      <w:r w:rsidRPr="00F6102A">
        <w:rPr>
          <w:rFonts w:eastAsiaTheme="minorEastAsia" w:hint="eastAsia"/>
          <w:b/>
          <w:i/>
          <w:lang w:eastAsia="zh-CN"/>
        </w:rPr>
        <w:t xml:space="preserve">If single pattern is configured, </w:t>
      </w:r>
      <w:r w:rsidRPr="00F6102A">
        <w:rPr>
          <w:rFonts w:eastAsia="宋体"/>
          <w:b/>
          <w:i/>
          <w:lang w:eastAsia="zh-CN"/>
        </w:rPr>
        <w:t>the granularity of the number of UL resources indicated by SL-TDD-Config is 1 slot</w:t>
      </w:r>
      <w:r w:rsidRPr="00F6102A">
        <w:rPr>
          <w:rFonts w:eastAsia="宋体" w:hint="eastAsia"/>
          <w:b/>
          <w:i/>
          <w:lang w:eastAsia="zh-CN"/>
        </w:rPr>
        <w:t>.</w:t>
      </w:r>
    </w:p>
    <w:p w:rsidR="004F5BFF" w:rsidRPr="00F6102A" w:rsidRDefault="004F5BFF" w:rsidP="004F5BFF">
      <w:pPr>
        <w:pStyle w:val="a7"/>
        <w:numPr>
          <w:ilvl w:val="0"/>
          <w:numId w:val="5"/>
        </w:numPr>
        <w:spacing w:beforeLines="50" w:before="156"/>
        <w:rPr>
          <w:rFonts w:eastAsiaTheme="minorEastAsia"/>
          <w:b/>
          <w:i/>
          <w:lang w:eastAsia="zh-CN"/>
        </w:rPr>
      </w:pPr>
      <w:r>
        <w:rPr>
          <w:rFonts w:eastAsiaTheme="minorEastAsia" w:hint="eastAsia"/>
          <w:b/>
          <w:i/>
          <w:lang w:eastAsia="zh-CN"/>
        </w:rPr>
        <w:t xml:space="preserve">If two patterns are configured, the granularity of the number of UL resources indicated by </w:t>
      </w:r>
      <w:r>
        <w:rPr>
          <w:rFonts w:eastAsia="宋体"/>
          <w:b/>
          <w:i/>
          <w:lang w:eastAsia="zh-CN"/>
        </w:rPr>
        <w:t xml:space="preserve">SL-TDD-Config </w:t>
      </w:r>
      <w:r>
        <w:rPr>
          <w:rFonts w:eastAsia="宋体" w:hint="eastAsia"/>
          <w:b/>
          <w:i/>
          <w:lang w:eastAsia="zh-CN"/>
        </w:rPr>
        <w:t>follows the table below.</w:t>
      </w:r>
    </w:p>
    <w:tbl>
      <w:tblPr>
        <w:tblStyle w:val="a6"/>
        <w:tblW w:w="4573" w:type="pct"/>
        <w:jc w:val="center"/>
        <w:tblLook w:val="04A0" w:firstRow="1" w:lastRow="0" w:firstColumn="1" w:lastColumn="0" w:noHBand="0" w:noVBand="1"/>
      </w:tblPr>
      <w:tblGrid>
        <w:gridCol w:w="1270"/>
        <w:gridCol w:w="1103"/>
        <w:gridCol w:w="677"/>
        <w:gridCol w:w="677"/>
        <w:gridCol w:w="883"/>
        <w:gridCol w:w="911"/>
        <w:gridCol w:w="1035"/>
        <w:gridCol w:w="1032"/>
      </w:tblGrid>
      <w:tr w:rsidR="004F5BFF" w:rsidRPr="00B64038" w:rsidTr="00A3223E">
        <w:trPr>
          <w:trHeight w:val="117"/>
          <w:jc w:val="center"/>
        </w:trPr>
        <w:tc>
          <w:tcPr>
            <w:tcW w:w="837" w:type="pct"/>
            <w:vMerge w:val="restart"/>
            <w:shd w:val="clear" w:color="auto" w:fill="BFBFBF" w:themeFill="background1" w:themeFillShade="BF"/>
            <w:vAlign w:val="center"/>
          </w:tcPr>
          <w:p w:rsidR="004F5BFF" w:rsidRPr="00B64038" w:rsidRDefault="004F5BFF" w:rsidP="00323746">
            <w:pPr>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Periodicity ind</w:t>
            </w:r>
            <w:r w:rsidR="00323746" w:rsidRPr="00B64038">
              <w:rPr>
                <w:rFonts w:ascii="Times New Roman" w:hAnsi="Times New Roman" w:cs="Times New Roman"/>
                <w:sz w:val="20"/>
                <w:szCs w:val="20"/>
                <w:lang w:val="en-GB"/>
              </w:rPr>
              <w:t>ication Y</w:t>
            </w:r>
          </w:p>
        </w:tc>
        <w:tc>
          <w:tcPr>
            <w:tcW w:w="727" w:type="pct"/>
            <w:vMerge w:val="restart"/>
            <w:shd w:val="clear" w:color="auto" w:fill="BFBFBF" w:themeFill="background1" w:themeFillShade="BF"/>
            <w:vAlign w:val="center"/>
          </w:tcPr>
          <w:p w:rsidR="004F5BFF" w:rsidRPr="00B64038" w:rsidRDefault="004F5BFF" w:rsidP="009827BD">
            <w:pPr>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P+P2 (ms)</w:t>
            </w:r>
          </w:p>
        </w:tc>
        <w:tc>
          <w:tcPr>
            <w:tcW w:w="892" w:type="pct"/>
            <w:gridSpan w:val="2"/>
            <w:shd w:val="clear" w:color="auto" w:fill="BFBFBF" w:themeFill="background1" w:themeFillShade="BF"/>
            <w:vAlign w:val="center"/>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Two patterns</w:t>
            </w:r>
          </w:p>
        </w:tc>
        <w:tc>
          <w:tcPr>
            <w:tcW w:w="2545" w:type="pct"/>
            <w:gridSpan w:val="4"/>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b/>
                <w:sz w:val="20"/>
                <w:szCs w:val="20"/>
              </w:rPr>
              <w:t>Granularity in slots with different SCS</w:t>
            </w:r>
          </w:p>
        </w:tc>
      </w:tr>
      <w:tr w:rsidR="004F5BFF" w:rsidRPr="00B64038" w:rsidTr="00A3223E">
        <w:trPr>
          <w:trHeight w:val="116"/>
          <w:jc w:val="center"/>
        </w:trPr>
        <w:tc>
          <w:tcPr>
            <w:tcW w:w="837" w:type="pct"/>
            <w:vMerge/>
            <w:shd w:val="clear" w:color="auto" w:fill="BFBFBF" w:themeFill="background1" w:themeFillShade="BF"/>
            <w:vAlign w:val="center"/>
          </w:tcPr>
          <w:p w:rsidR="004F5BFF" w:rsidRPr="00B64038" w:rsidRDefault="004F5BFF" w:rsidP="00340B0A">
            <w:pPr>
              <w:jc w:val="center"/>
              <w:rPr>
                <w:rFonts w:ascii="Times New Roman" w:hAnsi="Times New Roman" w:cs="Times New Roman"/>
                <w:sz w:val="20"/>
                <w:szCs w:val="20"/>
                <w:lang w:val="en-GB"/>
              </w:rPr>
            </w:pPr>
          </w:p>
        </w:tc>
        <w:tc>
          <w:tcPr>
            <w:tcW w:w="727" w:type="pct"/>
            <w:vMerge/>
            <w:shd w:val="clear" w:color="auto" w:fill="BFBFBF" w:themeFill="background1" w:themeFillShade="BF"/>
            <w:vAlign w:val="center"/>
          </w:tcPr>
          <w:p w:rsidR="004F5BFF" w:rsidRPr="00B64038" w:rsidRDefault="004F5BFF" w:rsidP="00340B0A">
            <w:pPr>
              <w:jc w:val="center"/>
              <w:rPr>
                <w:rFonts w:ascii="Times New Roman" w:hAnsi="Times New Roman" w:cs="Times New Roman"/>
                <w:color w:val="000000"/>
                <w:sz w:val="20"/>
                <w:szCs w:val="20"/>
                <w:lang w:val="en-GB"/>
              </w:rPr>
            </w:pPr>
          </w:p>
        </w:tc>
        <w:tc>
          <w:tcPr>
            <w:tcW w:w="446" w:type="pct"/>
            <w:shd w:val="clear" w:color="auto" w:fill="BFBFBF" w:themeFill="background1" w:themeFillShade="BF"/>
            <w:vAlign w:val="center"/>
          </w:tcPr>
          <w:p w:rsidR="004F5BFF" w:rsidRPr="00B64038" w:rsidRDefault="004F5BFF" w:rsidP="009827BD">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w:t>
            </w:r>
          </w:p>
        </w:tc>
        <w:tc>
          <w:tcPr>
            <w:tcW w:w="446" w:type="pct"/>
            <w:shd w:val="clear" w:color="auto" w:fill="BFBFBF" w:themeFill="background1" w:themeFillShade="BF"/>
            <w:vAlign w:val="center"/>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P2</w:t>
            </w:r>
          </w:p>
        </w:tc>
        <w:tc>
          <w:tcPr>
            <w:tcW w:w="582" w:type="pct"/>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15kHz</w:t>
            </w:r>
          </w:p>
        </w:tc>
        <w:tc>
          <w:tcPr>
            <w:tcW w:w="600" w:type="pct"/>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30 kHz</w:t>
            </w:r>
          </w:p>
        </w:tc>
        <w:tc>
          <w:tcPr>
            <w:tcW w:w="681" w:type="pct"/>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60 kHz</w:t>
            </w:r>
          </w:p>
        </w:tc>
        <w:tc>
          <w:tcPr>
            <w:tcW w:w="681" w:type="pct"/>
            <w:shd w:val="clear" w:color="auto" w:fill="BFBFBF" w:themeFill="background1" w:themeFillShade="BF"/>
          </w:tcPr>
          <w:p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120 kHz</w:t>
            </w: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0.5</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val="restart"/>
            <w:vAlign w:val="center"/>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1.25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0.625</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0.625</w:t>
            </w:r>
          </w:p>
        </w:tc>
        <w:tc>
          <w:tcPr>
            <w:tcW w:w="2545" w:type="pct"/>
            <w:gridSpan w:val="4"/>
            <w:vMerge/>
          </w:tcPr>
          <w:p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c>
          <w:tcPr>
            <w:tcW w:w="2545" w:type="pct"/>
            <w:gridSpan w:val="4"/>
            <w:vMerge/>
          </w:tcPr>
          <w:p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0.5</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2545" w:type="pct"/>
            <w:gridSpan w:val="4"/>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1.25</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1.25</w:t>
            </w:r>
          </w:p>
        </w:tc>
        <w:tc>
          <w:tcPr>
            <w:tcW w:w="2545" w:type="pct"/>
            <w:gridSpan w:val="4"/>
            <w:vMerge/>
          </w:tcPr>
          <w:p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2</w:t>
            </w:r>
          </w:p>
        </w:tc>
        <w:tc>
          <w:tcPr>
            <w:tcW w:w="446" w:type="pct"/>
          </w:tcPr>
          <w:p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tcPr>
          <w:p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6</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4</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val="restar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vMerge w:val="restar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7</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8</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9</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10</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11</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12</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13</w:t>
            </w:r>
          </w:p>
        </w:tc>
        <w:tc>
          <w:tcPr>
            <w:tcW w:w="727" w:type="pct"/>
            <w:vAlign w:val="center"/>
          </w:tcPr>
          <w:p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14</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10</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1182" w:type="pct"/>
            <w:gridSpan w:val="2"/>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r>
      <w:tr w:rsidR="004F5BFF" w:rsidRPr="00B64038" w:rsidTr="00A3223E">
        <w:trPr>
          <w:jc w:val="center"/>
        </w:trPr>
        <w:tc>
          <w:tcPr>
            <w:tcW w:w="83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15</w:t>
            </w:r>
          </w:p>
        </w:tc>
        <w:tc>
          <w:tcPr>
            <w:tcW w:w="727"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20</w:t>
            </w:r>
          </w:p>
        </w:tc>
        <w:tc>
          <w:tcPr>
            <w:tcW w:w="446" w:type="pct"/>
            <w:vAlign w:val="center"/>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446"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582"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00"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81" w:type="pct"/>
          </w:tcPr>
          <w:p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8</w:t>
            </w:r>
          </w:p>
        </w:tc>
      </w:tr>
    </w:tbl>
    <w:p w:rsidR="004F5BFF" w:rsidRDefault="004F5BFF" w:rsidP="004F5BFF">
      <w:pPr>
        <w:pStyle w:val="a7"/>
        <w:spacing w:beforeLines="50" w:before="156"/>
        <w:rPr>
          <w:rFonts w:eastAsiaTheme="minorEastAsia"/>
          <w:b/>
          <w:i/>
          <w:lang w:eastAsia="zh-CN"/>
        </w:rPr>
      </w:pPr>
    </w:p>
    <w:p w:rsidR="004F5BFF" w:rsidRDefault="004F5BFF" w:rsidP="004F5BFF">
      <w:pPr>
        <w:pStyle w:val="a7"/>
        <w:spacing w:beforeLines="50" w:before="156"/>
        <w:rPr>
          <w:rFonts w:eastAsiaTheme="minorEastAsia"/>
          <w:b/>
          <w:i/>
          <w:lang w:eastAsia="zh-CN"/>
        </w:rPr>
      </w:pPr>
      <w:r>
        <w:rPr>
          <w:rFonts w:eastAsiaTheme="minorEastAsia" w:hint="eastAsia"/>
          <w:b/>
          <w:i/>
          <w:lang w:eastAsia="zh-CN"/>
        </w:rPr>
        <w:t>Proposal 3: For indication of the UL slots by Z,</w:t>
      </w:r>
    </w:p>
    <w:p w:rsidR="004F5BFF" w:rsidRDefault="004F5BFF" w:rsidP="004F5BFF">
      <w:pPr>
        <w:pStyle w:val="a7"/>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single patter is configured, Z bits indicate the UL slots;</w:t>
      </w:r>
    </w:p>
    <w:p w:rsidR="004F5BFF" w:rsidRDefault="004F5BFF" w:rsidP="004F5BFF">
      <w:pPr>
        <w:pStyle w:val="a7"/>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two patterns are configured, Z bits indicate the state index derived by the UL slots.</w:t>
      </w:r>
    </w:p>
    <w:p w:rsidR="00D1329A" w:rsidRPr="004F5BFF" w:rsidRDefault="00D1329A"/>
    <w:p w:rsidR="004F5BFF" w:rsidRPr="00780D50" w:rsidRDefault="004F5BFF"/>
    <w:p w:rsidR="004F5BFF" w:rsidRPr="004F5BFF" w:rsidRDefault="004F5BFF"/>
    <w:tbl>
      <w:tblPr>
        <w:tblStyle w:val="a6"/>
        <w:tblW w:w="0" w:type="auto"/>
        <w:tblInd w:w="-176" w:type="dxa"/>
        <w:tblLook w:val="04A0" w:firstRow="1" w:lastRow="0" w:firstColumn="1" w:lastColumn="0" w:noHBand="0" w:noVBand="1"/>
      </w:tblPr>
      <w:tblGrid>
        <w:gridCol w:w="1192"/>
        <w:gridCol w:w="7280"/>
      </w:tblGrid>
      <w:tr w:rsidR="00684E49" w:rsidRPr="00C06C2B" w:rsidTr="00780D50">
        <w:tc>
          <w:tcPr>
            <w:tcW w:w="1203"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Company</w:t>
            </w:r>
          </w:p>
        </w:tc>
        <w:tc>
          <w:tcPr>
            <w:tcW w:w="7495" w:type="dxa"/>
            <w:shd w:val="clear" w:color="auto" w:fill="BFBFBF" w:themeFill="background1" w:themeFillShade="BF"/>
            <w:vAlign w:val="center"/>
          </w:tcPr>
          <w:p w:rsidR="000222E0" w:rsidRPr="00C06C2B" w:rsidRDefault="000222E0" w:rsidP="00C06C2B">
            <w:pPr>
              <w:jc w:val="center"/>
              <w:rPr>
                <w:b/>
              </w:rPr>
            </w:pPr>
            <w:r w:rsidRPr="00C06C2B">
              <w:rPr>
                <w:rFonts w:hint="eastAsia"/>
                <w:b/>
              </w:rPr>
              <w:t>Views</w:t>
            </w:r>
          </w:p>
        </w:tc>
      </w:tr>
      <w:tr w:rsidR="00684E49" w:rsidRPr="004F60D6" w:rsidTr="00780D50">
        <w:tc>
          <w:tcPr>
            <w:tcW w:w="1203" w:type="dxa"/>
          </w:tcPr>
          <w:p w:rsidR="00CC193D" w:rsidRDefault="00683387">
            <w:r>
              <w:rPr>
                <w:rFonts w:hint="eastAsia"/>
              </w:rPr>
              <w:t>H</w:t>
            </w:r>
            <w:r>
              <w:t>uawei, HiSilicon</w:t>
            </w:r>
          </w:p>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CC193D" w:rsidRPr="00CC193D" w:rsidRDefault="00CC193D" w:rsidP="00CC193D"/>
          <w:p w:rsidR="000222E0" w:rsidRPr="00CC193D" w:rsidRDefault="000222E0" w:rsidP="00CC193D"/>
        </w:tc>
        <w:tc>
          <w:tcPr>
            <w:tcW w:w="7495" w:type="dxa"/>
          </w:tcPr>
          <w:p w:rsidR="00683387" w:rsidRDefault="00683387">
            <w:pPr>
              <w:rPr>
                <w:sz w:val="20"/>
                <w:szCs w:val="20"/>
              </w:rPr>
            </w:pPr>
            <w:r w:rsidRPr="00684E49">
              <w:rPr>
                <w:rFonts w:hint="eastAsia"/>
                <w:sz w:val="20"/>
                <w:szCs w:val="20"/>
              </w:rPr>
              <w:lastRenderedPageBreak/>
              <w:t>W</w:t>
            </w:r>
            <w:r w:rsidRPr="00684E49">
              <w:rPr>
                <w:sz w:val="20"/>
                <w:szCs w:val="20"/>
              </w:rPr>
              <w:t>e agree with P</w:t>
            </w:r>
            <w:r w:rsidR="00E60019">
              <w:rPr>
                <w:sz w:val="20"/>
                <w:szCs w:val="20"/>
              </w:rPr>
              <w:t xml:space="preserve">roposal </w:t>
            </w:r>
            <w:r w:rsidRPr="00684E49">
              <w:rPr>
                <w:sz w:val="20"/>
                <w:szCs w:val="20"/>
              </w:rPr>
              <w:t>1 and 3, but have concern on P</w:t>
            </w:r>
            <w:r w:rsidR="00E60019">
              <w:rPr>
                <w:sz w:val="20"/>
                <w:szCs w:val="20"/>
              </w:rPr>
              <w:t xml:space="preserve">roposal </w:t>
            </w:r>
            <w:r w:rsidRPr="00684E49">
              <w:rPr>
                <w:sz w:val="20"/>
                <w:szCs w:val="20"/>
              </w:rPr>
              <w:t>2</w:t>
            </w:r>
            <w:r w:rsidR="00036E14" w:rsidRPr="00684E49">
              <w:rPr>
                <w:sz w:val="20"/>
                <w:szCs w:val="20"/>
              </w:rPr>
              <w:t xml:space="preserve"> towards the scaled granularity</w:t>
            </w:r>
            <w:r w:rsidRPr="00684E49">
              <w:rPr>
                <w:sz w:val="20"/>
                <w:szCs w:val="20"/>
              </w:rPr>
              <w:t>.</w:t>
            </w:r>
            <w:r w:rsidR="007E18D4" w:rsidRPr="00684E49">
              <w:rPr>
                <w:sz w:val="20"/>
                <w:szCs w:val="20"/>
              </w:rPr>
              <w:t xml:space="preserve"> </w:t>
            </w:r>
            <w:r w:rsidR="00006950">
              <w:rPr>
                <w:sz w:val="20"/>
                <w:szCs w:val="20"/>
              </w:rPr>
              <w:t>O</w:t>
            </w:r>
            <w:r w:rsidR="001E7513">
              <w:rPr>
                <w:sz w:val="20"/>
                <w:szCs w:val="20"/>
              </w:rPr>
              <w:t xml:space="preserve">ur suggestions for </w:t>
            </w:r>
            <w:r w:rsidR="009F0D56">
              <w:rPr>
                <w:sz w:val="20"/>
                <w:szCs w:val="20"/>
              </w:rPr>
              <w:t>P</w:t>
            </w:r>
            <w:r w:rsidR="001E7513">
              <w:rPr>
                <w:sz w:val="20"/>
                <w:szCs w:val="20"/>
              </w:rPr>
              <w:t>roposal 2</w:t>
            </w:r>
            <w:r w:rsidR="009F0D56">
              <w:rPr>
                <w:sz w:val="20"/>
                <w:szCs w:val="20"/>
              </w:rPr>
              <w:t xml:space="preserve"> are</w:t>
            </w:r>
            <w:r w:rsidR="001E7513">
              <w:rPr>
                <w:sz w:val="20"/>
                <w:szCs w:val="20"/>
              </w:rPr>
              <w:t xml:space="preserve"> </w:t>
            </w:r>
            <w:r w:rsidR="009F0D56">
              <w:rPr>
                <w:sz w:val="20"/>
                <w:szCs w:val="20"/>
              </w:rPr>
              <w:t>below</w:t>
            </w:r>
            <w:r w:rsidR="001E7513">
              <w:rPr>
                <w:sz w:val="20"/>
                <w:szCs w:val="20"/>
              </w:rPr>
              <w:t xml:space="preserve">: </w:t>
            </w:r>
          </w:p>
          <w:p w:rsidR="00E60019" w:rsidRDefault="00E60019" w:rsidP="009F0D56">
            <w:pPr>
              <w:pStyle w:val="a7"/>
              <w:spacing w:beforeLines="50" w:before="156" w:after="0"/>
              <w:rPr>
                <w:rFonts w:eastAsiaTheme="minorEastAsia"/>
                <w:b/>
                <w:i/>
                <w:lang w:eastAsia="zh-CN"/>
              </w:rPr>
            </w:pPr>
            <w:r>
              <w:rPr>
                <w:rFonts w:eastAsiaTheme="minorEastAsia" w:hint="eastAsia"/>
                <w:b/>
                <w:i/>
                <w:lang w:eastAsia="zh-CN"/>
              </w:rPr>
              <w:t>Proposal 2: For indication of UL resources,</w:t>
            </w:r>
          </w:p>
          <w:p w:rsidR="00DE6E02" w:rsidRDefault="00DE6E02" w:rsidP="009F0D56">
            <w:pPr>
              <w:pStyle w:val="a7"/>
              <w:numPr>
                <w:ilvl w:val="0"/>
                <w:numId w:val="5"/>
              </w:numPr>
              <w:spacing w:beforeLines="50" w:before="156" w:after="0"/>
              <w:rPr>
                <w:rFonts w:eastAsiaTheme="minorEastAsia"/>
                <w:b/>
                <w:i/>
                <w:lang w:eastAsia="zh-CN"/>
              </w:rPr>
            </w:pPr>
            <w:r>
              <w:rPr>
                <w:rFonts w:eastAsiaTheme="minorEastAsia" w:hint="eastAsia"/>
                <w:b/>
                <w:i/>
                <w:lang w:eastAsia="zh-CN"/>
              </w:rPr>
              <w:t>B</w:t>
            </w:r>
            <w:r>
              <w:rPr>
                <w:rFonts w:eastAsiaTheme="minorEastAsia"/>
                <w:b/>
                <w:i/>
                <w:lang w:eastAsia="zh-CN"/>
              </w:rPr>
              <w:t>oth the slot and number of symbols within a slot should be indicated by the sidelink reference SCS.</w:t>
            </w:r>
          </w:p>
          <w:p w:rsidR="00E60019" w:rsidRPr="00F6102A" w:rsidRDefault="00E60019" w:rsidP="009F0D56">
            <w:pPr>
              <w:pStyle w:val="a7"/>
              <w:numPr>
                <w:ilvl w:val="0"/>
                <w:numId w:val="5"/>
              </w:numPr>
              <w:spacing w:beforeLines="50" w:before="156" w:after="0"/>
              <w:rPr>
                <w:rFonts w:eastAsiaTheme="minorEastAsia"/>
                <w:b/>
                <w:i/>
                <w:lang w:eastAsia="zh-CN"/>
              </w:rPr>
            </w:pPr>
            <w:r w:rsidRPr="00F6102A">
              <w:rPr>
                <w:rFonts w:eastAsiaTheme="minorEastAsia" w:hint="eastAsia"/>
                <w:b/>
                <w:i/>
                <w:lang w:eastAsia="zh-CN"/>
              </w:rPr>
              <w:t xml:space="preserve">If single pattern is configured, </w:t>
            </w:r>
            <w:r w:rsidR="009F0D56">
              <w:rPr>
                <w:rFonts w:eastAsiaTheme="minorEastAsia"/>
                <w:b/>
                <w:i/>
                <w:lang w:eastAsia="zh-CN"/>
              </w:rPr>
              <w:t>the</w:t>
            </w:r>
            <w:r w:rsidR="009E60F9">
              <w:rPr>
                <w:rFonts w:eastAsiaTheme="minorEastAsia"/>
                <w:b/>
                <w:i/>
                <w:lang w:eastAsia="zh-CN"/>
              </w:rPr>
              <w:t xml:space="preserve"> sidelink reference SCS </w:t>
            </w:r>
            <w:r w:rsidR="009F0D56">
              <w:rPr>
                <w:rFonts w:eastAsiaTheme="minorEastAsia"/>
                <w:b/>
                <w:i/>
                <w:lang w:eastAsia="zh-CN"/>
              </w:rPr>
              <w:t>is 120 kHz</w:t>
            </w:r>
            <w:r w:rsidRPr="00F6102A">
              <w:rPr>
                <w:rFonts w:eastAsia="宋体" w:hint="eastAsia"/>
                <w:b/>
                <w:i/>
                <w:lang w:eastAsia="zh-CN"/>
              </w:rPr>
              <w:t>.</w:t>
            </w:r>
          </w:p>
          <w:p w:rsidR="00E60019" w:rsidRPr="00360713" w:rsidRDefault="00E60019" w:rsidP="009F0D56">
            <w:pPr>
              <w:pStyle w:val="a7"/>
              <w:numPr>
                <w:ilvl w:val="0"/>
                <w:numId w:val="5"/>
              </w:numPr>
              <w:spacing w:beforeLines="50" w:before="156" w:after="0"/>
            </w:pPr>
            <w:r w:rsidRPr="009F0D56">
              <w:rPr>
                <w:rFonts w:eastAsiaTheme="minorEastAsia"/>
                <w:b/>
                <w:i/>
                <w:lang w:eastAsia="zh-CN"/>
              </w:rPr>
              <w:t xml:space="preserve">If two patterns are configured, the </w:t>
            </w:r>
            <w:r w:rsidR="00F61FD8">
              <w:rPr>
                <w:rFonts w:eastAsiaTheme="minorEastAsia"/>
                <w:b/>
                <w:i/>
                <w:lang w:eastAsia="zh-CN"/>
              </w:rPr>
              <w:t xml:space="preserve">sidelink reference SCS </w:t>
            </w:r>
            <w:r w:rsidR="004F60D6">
              <w:rPr>
                <w:rFonts w:eastAsiaTheme="minorEastAsia"/>
                <w:b/>
                <w:i/>
                <w:lang w:eastAsia="zh-CN"/>
              </w:rPr>
              <w:t>is</w:t>
            </w:r>
            <w:r w:rsidR="00F61FD8">
              <w:rPr>
                <w:rFonts w:eastAsiaTheme="minorEastAsia"/>
                <w:b/>
                <w:i/>
                <w:lang w:eastAsia="zh-CN"/>
              </w:rPr>
              <w:t xml:space="preserve"> derived according to </w:t>
            </w:r>
            <w:r w:rsidRPr="009F0D56">
              <w:rPr>
                <w:rFonts w:eastAsia="宋体"/>
                <w:b/>
                <w:i/>
                <w:lang w:eastAsia="zh-CN"/>
              </w:rPr>
              <w:t>the table below</w:t>
            </w:r>
            <w:r w:rsidR="00F61FD8">
              <w:rPr>
                <w:rFonts w:eastAsia="宋体"/>
                <w:b/>
                <w:i/>
                <w:lang w:eastAsia="zh-CN"/>
              </w:rPr>
              <w:t>:</w:t>
            </w:r>
          </w:p>
          <w:p w:rsidR="007E18D4" w:rsidRDefault="007E18D4">
            <w:pPr>
              <w:rPr>
                <w:sz w:val="20"/>
                <w:szCs w:val="20"/>
              </w:rPr>
            </w:pPr>
          </w:p>
          <w:tbl>
            <w:tblPr>
              <w:tblStyle w:val="a6"/>
              <w:tblW w:w="3356" w:type="pct"/>
              <w:jc w:val="center"/>
              <w:tblLook w:val="04A0" w:firstRow="1" w:lastRow="0" w:firstColumn="1" w:lastColumn="0" w:noHBand="0" w:noVBand="1"/>
            </w:tblPr>
            <w:tblGrid>
              <w:gridCol w:w="1094"/>
              <w:gridCol w:w="652"/>
              <w:gridCol w:w="666"/>
              <w:gridCol w:w="666"/>
              <w:gridCol w:w="1657"/>
            </w:tblGrid>
            <w:tr w:rsidR="009F0D56" w:rsidRPr="00B64038" w:rsidTr="008F1299">
              <w:trPr>
                <w:trHeight w:val="227"/>
                <w:jc w:val="center"/>
              </w:trPr>
              <w:tc>
                <w:tcPr>
                  <w:tcW w:w="1128" w:type="pct"/>
                  <w:vMerge w:val="restart"/>
                  <w:shd w:val="clear" w:color="auto" w:fill="BFBFBF" w:themeFill="background1" w:themeFillShade="BF"/>
                  <w:vAlign w:val="center"/>
                </w:tcPr>
                <w:p w:rsidR="009F0D56" w:rsidRPr="00B64038" w:rsidRDefault="009F0D56" w:rsidP="009F0D56">
                  <w:pPr>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 xml:space="preserve">Periodicity indication </w:t>
                  </w:r>
                  <w:r w:rsidRPr="00B64038">
                    <w:rPr>
                      <w:rFonts w:ascii="Times New Roman" w:hAnsi="Times New Roman" w:cs="Times New Roman"/>
                      <w:sz w:val="20"/>
                      <w:szCs w:val="20"/>
                      <w:lang w:val="en-GB"/>
                    </w:rPr>
                    <w:lastRenderedPageBreak/>
                    <w:t>Y</w:t>
                  </w:r>
                </w:p>
              </w:tc>
              <w:tc>
                <w:tcPr>
                  <w:tcW w:w="672" w:type="pct"/>
                  <w:vMerge w:val="restart"/>
                  <w:shd w:val="clear" w:color="auto" w:fill="BFBFBF" w:themeFill="background1" w:themeFillShade="BF"/>
                  <w:vAlign w:val="center"/>
                </w:tcPr>
                <w:p w:rsidR="009F0D56" w:rsidRPr="00B64038" w:rsidRDefault="009F0D56" w:rsidP="009F0D56">
                  <w:pPr>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lastRenderedPageBreak/>
                    <w:t>P+P2 (ms)</w:t>
                  </w:r>
                </w:p>
              </w:tc>
              <w:tc>
                <w:tcPr>
                  <w:tcW w:w="1373" w:type="pct"/>
                  <w:gridSpan w:val="2"/>
                  <w:shd w:val="clear" w:color="auto" w:fill="BFBFBF" w:themeFill="background1" w:themeFillShade="BF"/>
                  <w:vAlign w:val="center"/>
                </w:tcPr>
                <w:p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Two patterns</w:t>
                  </w:r>
                </w:p>
              </w:tc>
              <w:tc>
                <w:tcPr>
                  <w:tcW w:w="1826" w:type="pct"/>
                  <w:vMerge w:val="restart"/>
                  <w:shd w:val="clear" w:color="auto" w:fill="BFBFBF" w:themeFill="background1" w:themeFillShade="BF"/>
                </w:tcPr>
                <w:p w:rsidR="009F0D56" w:rsidRPr="008F0A62" w:rsidRDefault="009F0D56" w:rsidP="009F0D56">
                  <w:pPr>
                    <w:jc w:val="center"/>
                    <w:rPr>
                      <w:rFonts w:ascii="Times New Roman" w:hAnsi="Times New Roman" w:cs="Times New Roman"/>
                      <w:color w:val="FF0000"/>
                      <w:sz w:val="20"/>
                      <w:szCs w:val="20"/>
                    </w:rPr>
                  </w:pPr>
                  <w:r w:rsidRPr="008F0A62">
                    <w:rPr>
                      <w:rFonts w:ascii="Times New Roman" w:hAnsi="Times New Roman" w:cs="Times New Roman"/>
                      <w:color w:val="FF0000"/>
                      <w:sz w:val="20"/>
                      <w:szCs w:val="20"/>
                    </w:rPr>
                    <w:t>SL reference SCS</w:t>
                  </w:r>
                </w:p>
                <w:p w:rsidR="009F0D56" w:rsidRPr="008F0A62" w:rsidRDefault="009F0D56" w:rsidP="009F0D56">
                  <w:pPr>
                    <w:jc w:val="center"/>
                    <w:rPr>
                      <w:rFonts w:ascii="Times New Roman" w:hAnsi="Times New Roman" w:cs="Times New Roman"/>
                      <w:b/>
                      <w:color w:val="FF0000"/>
                      <w:sz w:val="20"/>
                      <w:szCs w:val="20"/>
                    </w:rPr>
                  </w:pPr>
                  <w:r w:rsidRPr="008F0A62">
                    <w:rPr>
                      <w:rFonts w:ascii="Times New Roman" w:hAnsi="Times New Roman" w:cs="Times New Roman"/>
                      <w:color w:val="FF0000"/>
                      <w:sz w:val="20"/>
                      <w:szCs w:val="20"/>
                    </w:rPr>
                    <w:t>(kHz)</w:t>
                  </w:r>
                </w:p>
              </w:tc>
            </w:tr>
            <w:tr w:rsidR="009F0D56" w:rsidRPr="00B64038" w:rsidTr="008F1299">
              <w:trPr>
                <w:trHeight w:val="227"/>
                <w:jc w:val="center"/>
              </w:trPr>
              <w:tc>
                <w:tcPr>
                  <w:tcW w:w="1128" w:type="pct"/>
                  <w:vMerge/>
                  <w:shd w:val="clear" w:color="auto" w:fill="BFBFBF" w:themeFill="background1" w:themeFillShade="BF"/>
                  <w:vAlign w:val="center"/>
                </w:tcPr>
                <w:p w:rsidR="009F0D56" w:rsidRPr="00B64038" w:rsidRDefault="009F0D56" w:rsidP="009F0D56">
                  <w:pPr>
                    <w:jc w:val="center"/>
                    <w:rPr>
                      <w:rFonts w:ascii="Times New Roman" w:hAnsi="Times New Roman" w:cs="Times New Roman"/>
                      <w:sz w:val="20"/>
                      <w:szCs w:val="20"/>
                      <w:lang w:val="en-GB"/>
                    </w:rPr>
                  </w:pPr>
                </w:p>
              </w:tc>
              <w:tc>
                <w:tcPr>
                  <w:tcW w:w="672" w:type="pct"/>
                  <w:vMerge/>
                  <w:shd w:val="clear" w:color="auto" w:fill="BFBFBF" w:themeFill="background1" w:themeFillShade="BF"/>
                  <w:vAlign w:val="center"/>
                </w:tcPr>
                <w:p w:rsidR="009F0D56" w:rsidRPr="00B64038" w:rsidRDefault="009F0D56" w:rsidP="009F0D56">
                  <w:pPr>
                    <w:jc w:val="center"/>
                    <w:rPr>
                      <w:rFonts w:ascii="Times New Roman" w:hAnsi="Times New Roman" w:cs="Times New Roman"/>
                      <w:color w:val="000000"/>
                      <w:sz w:val="20"/>
                      <w:szCs w:val="20"/>
                      <w:lang w:val="en-GB"/>
                    </w:rPr>
                  </w:pPr>
                </w:p>
              </w:tc>
              <w:tc>
                <w:tcPr>
                  <w:tcW w:w="687" w:type="pct"/>
                  <w:shd w:val="clear" w:color="auto" w:fill="BFBFBF" w:themeFill="background1" w:themeFillShade="BF"/>
                  <w:vAlign w:val="center"/>
                </w:tcPr>
                <w:p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w:t>
                  </w:r>
                </w:p>
              </w:tc>
              <w:tc>
                <w:tcPr>
                  <w:tcW w:w="687" w:type="pct"/>
                  <w:shd w:val="clear" w:color="auto" w:fill="BFBFBF" w:themeFill="background1" w:themeFillShade="BF"/>
                  <w:vAlign w:val="center"/>
                </w:tcPr>
                <w:p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P2</w:t>
                  </w:r>
                </w:p>
              </w:tc>
              <w:tc>
                <w:tcPr>
                  <w:tcW w:w="1826" w:type="pct"/>
                  <w:vMerge/>
                  <w:shd w:val="clear" w:color="auto" w:fill="BFBFBF" w:themeFill="background1" w:themeFillShade="BF"/>
                </w:tcPr>
                <w:p w:rsidR="009F0D56" w:rsidRPr="008F0A62" w:rsidRDefault="009F0D56" w:rsidP="009F0D56">
                  <w:pPr>
                    <w:jc w:val="center"/>
                    <w:rPr>
                      <w:rFonts w:ascii="Times New Roman" w:hAnsi="Times New Roman" w:cs="Times New Roman"/>
                      <w:color w:val="FF0000"/>
                      <w:sz w:val="20"/>
                      <w:szCs w:val="20"/>
                      <w:lang w:val="en-GB"/>
                    </w:rPr>
                  </w:pP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0.5</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1.25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0.625</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0.625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0.5</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1.25</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2</w:t>
                  </w:r>
                </w:p>
              </w:tc>
              <w:tc>
                <w:tcPr>
                  <w:tcW w:w="687" w:type="pct"/>
                </w:tcPr>
                <w:p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6</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4</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7</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8</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9</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10</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11</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12</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13</w:t>
                  </w:r>
                </w:p>
              </w:tc>
              <w:tc>
                <w:tcPr>
                  <w:tcW w:w="672" w:type="pct"/>
                  <w:vAlign w:val="center"/>
                </w:tcPr>
                <w:p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14</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10</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30</w:t>
                  </w:r>
                </w:p>
              </w:tc>
            </w:tr>
            <w:tr w:rsidR="009F0D56" w:rsidRPr="00B64038" w:rsidTr="008F1299">
              <w:trPr>
                <w:trHeight w:val="227"/>
                <w:jc w:val="center"/>
              </w:trPr>
              <w:tc>
                <w:tcPr>
                  <w:tcW w:w="1128"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15</w:t>
                  </w:r>
                </w:p>
              </w:tc>
              <w:tc>
                <w:tcPr>
                  <w:tcW w:w="672"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20</w:t>
                  </w:r>
                </w:p>
              </w:tc>
              <w:tc>
                <w:tcPr>
                  <w:tcW w:w="687" w:type="pct"/>
                  <w:vAlign w:val="center"/>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687" w:type="pct"/>
                </w:tcPr>
                <w:p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1826" w:type="pct"/>
                </w:tcPr>
                <w:p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15</w:t>
                  </w:r>
                </w:p>
              </w:tc>
            </w:tr>
          </w:tbl>
          <w:p w:rsidR="009F0D56" w:rsidRDefault="009F0D56">
            <w:pPr>
              <w:rPr>
                <w:sz w:val="20"/>
                <w:szCs w:val="20"/>
              </w:rPr>
            </w:pPr>
          </w:p>
          <w:p w:rsidR="008032F9" w:rsidRPr="00072F4E" w:rsidRDefault="00072F4E">
            <w:pPr>
              <w:rPr>
                <w:sz w:val="20"/>
                <w:szCs w:val="20"/>
              </w:rPr>
            </w:pPr>
            <w:r>
              <w:rPr>
                <w:sz w:val="20"/>
                <w:szCs w:val="20"/>
              </w:rPr>
              <w:t>From our understanding, w</w:t>
            </w:r>
            <w:r w:rsidR="008032F9">
              <w:rPr>
                <w:sz w:val="20"/>
                <w:szCs w:val="20"/>
              </w:rPr>
              <w:t>e think both the slot</w:t>
            </w:r>
            <w:r w:rsidR="00772E9F" w:rsidRPr="00772E9F">
              <w:rPr>
                <w:sz w:val="20"/>
                <w:szCs w:val="20"/>
              </w:rPr>
              <w:t xml:space="preserve"> and number of symbols should be indicated by the sidelink reference SCS.</w:t>
            </w:r>
            <w:r>
              <w:rPr>
                <w:sz w:val="20"/>
                <w:szCs w:val="20"/>
              </w:rPr>
              <w:t xml:space="preserve"> </w:t>
            </w:r>
            <w:r w:rsidRPr="00072F4E">
              <w:rPr>
                <w:sz w:val="20"/>
                <w:szCs w:val="20"/>
              </w:rPr>
              <w:t xml:space="preserve">According to 38.213 specification, an UL slot is defined as a slot that includes only uplink symbols. </w:t>
            </w:r>
            <w:r w:rsidR="004572D5">
              <w:rPr>
                <w:sz w:val="20"/>
                <w:szCs w:val="20"/>
              </w:rPr>
              <w:t>T</w:t>
            </w:r>
            <w:r w:rsidRPr="00072F4E">
              <w:rPr>
                <w:sz w:val="20"/>
                <w:szCs w:val="20"/>
              </w:rPr>
              <w:t xml:space="preserve">hese partial UL slots as UL slots </w:t>
            </w:r>
            <w:r w:rsidR="00787250">
              <w:rPr>
                <w:sz w:val="20"/>
                <w:szCs w:val="20"/>
              </w:rPr>
              <w:t xml:space="preserve">also will be used </w:t>
            </w:r>
            <w:r w:rsidR="004572D5">
              <w:rPr>
                <w:sz w:val="20"/>
                <w:szCs w:val="20"/>
              </w:rPr>
              <w:t>for</w:t>
            </w:r>
            <w:r w:rsidR="00787250">
              <w:rPr>
                <w:sz w:val="20"/>
                <w:szCs w:val="20"/>
              </w:rPr>
              <w:t xml:space="preserve"> sidelink</w:t>
            </w:r>
            <w:r w:rsidRPr="00072F4E">
              <w:rPr>
                <w:sz w:val="20"/>
                <w:szCs w:val="20"/>
              </w:rPr>
              <w:t xml:space="preserve">. </w:t>
            </w:r>
            <w:r w:rsidRPr="00A2040E">
              <w:rPr>
                <w:sz w:val="20"/>
                <w:szCs w:val="20"/>
              </w:rPr>
              <w:t>For the rows indexed by Y=0 and Y=2~8 in single-pattern case and the rows indexed by Y=0~14 in two-pattern case, our proposal can give better indication granularity than the FL proposal.</w:t>
            </w:r>
            <w:r>
              <w:rPr>
                <w:sz w:val="20"/>
                <w:szCs w:val="20"/>
              </w:rPr>
              <w:t xml:space="preserve"> </w:t>
            </w:r>
            <w:r w:rsidRPr="00072F4E">
              <w:rPr>
                <w:sz w:val="20"/>
                <w:szCs w:val="20"/>
              </w:rPr>
              <w:t>Indication of UL symbols potentially gives more accurate TDD configuration and provides more potential SL slots</w:t>
            </w:r>
            <w:r w:rsidR="004E04E8">
              <w:rPr>
                <w:sz w:val="20"/>
                <w:szCs w:val="20"/>
              </w:rPr>
              <w:t xml:space="preserve"> and symbols</w:t>
            </w:r>
            <w:r w:rsidRPr="00072F4E">
              <w:rPr>
                <w:sz w:val="20"/>
                <w:szCs w:val="20"/>
              </w:rPr>
              <w:t>.</w:t>
            </w:r>
            <w:r w:rsidR="001D6096">
              <w:rPr>
                <w:sz w:val="20"/>
                <w:szCs w:val="20"/>
              </w:rPr>
              <w:t xml:space="preserve"> </w:t>
            </w:r>
            <w:r w:rsidR="007725CB">
              <w:rPr>
                <w:sz w:val="20"/>
                <w:szCs w:val="20"/>
              </w:rPr>
              <w:t>One example</w:t>
            </w:r>
            <w:r w:rsidR="001D6096">
              <w:rPr>
                <w:sz w:val="20"/>
                <w:szCs w:val="20"/>
              </w:rPr>
              <w:t xml:space="preserve"> is shown in below. </w:t>
            </w:r>
          </w:p>
          <w:p w:rsidR="00604B34" w:rsidRPr="004F60D6" w:rsidRDefault="00604B34" w:rsidP="00604B34">
            <w:pPr>
              <w:jc w:val="center"/>
              <w:rPr>
                <w:sz w:val="20"/>
                <w:szCs w:val="20"/>
              </w:rPr>
            </w:pPr>
            <w:r w:rsidRPr="004F60D6">
              <w:rPr>
                <w:noProof/>
                <w:sz w:val="20"/>
                <w:szCs w:val="20"/>
              </w:rPr>
              <w:drawing>
                <wp:inline distT="0" distB="0" distL="0" distR="0" wp14:anchorId="5258019A" wp14:editId="1F1D798C">
                  <wp:extent cx="2192867" cy="15336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8173" cy="1579308"/>
                          </a:xfrm>
                          <a:prstGeom prst="rect">
                            <a:avLst/>
                          </a:prstGeom>
                        </pic:spPr>
                      </pic:pic>
                    </a:graphicData>
                  </a:graphic>
                </wp:inline>
              </w:drawing>
            </w:r>
          </w:p>
          <w:p w:rsidR="007A32B9" w:rsidRPr="00684E49" w:rsidRDefault="007A32B9" w:rsidP="004F60D6">
            <w:pPr>
              <w:rPr>
                <w:sz w:val="20"/>
              </w:rPr>
            </w:pPr>
          </w:p>
        </w:tc>
      </w:tr>
      <w:tr w:rsidR="00684E49" w:rsidTr="00780D50">
        <w:tc>
          <w:tcPr>
            <w:tcW w:w="1203" w:type="dxa"/>
          </w:tcPr>
          <w:p w:rsidR="000222E0" w:rsidRDefault="000222E0"/>
        </w:tc>
        <w:tc>
          <w:tcPr>
            <w:tcW w:w="7495" w:type="dxa"/>
          </w:tcPr>
          <w:p w:rsidR="000222E0" w:rsidRDefault="000222E0"/>
        </w:tc>
      </w:tr>
      <w:tr w:rsidR="00684E49" w:rsidTr="00780D50">
        <w:tc>
          <w:tcPr>
            <w:tcW w:w="1203" w:type="dxa"/>
          </w:tcPr>
          <w:p w:rsidR="000222E0" w:rsidRDefault="000222E0"/>
        </w:tc>
        <w:tc>
          <w:tcPr>
            <w:tcW w:w="7495" w:type="dxa"/>
          </w:tcPr>
          <w:p w:rsidR="000222E0" w:rsidRDefault="000222E0"/>
        </w:tc>
      </w:tr>
      <w:tr w:rsidR="00684E49" w:rsidTr="00780D50">
        <w:tc>
          <w:tcPr>
            <w:tcW w:w="1203" w:type="dxa"/>
          </w:tcPr>
          <w:p w:rsidR="000222E0" w:rsidRDefault="000222E0"/>
        </w:tc>
        <w:tc>
          <w:tcPr>
            <w:tcW w:w="7495" w:type="dxa"/>
          </w:tcPr>
          <w:p w:rsidR="000222E0" w:rsidRDefault="000222E0"/>
        </w:tc>
      </w:tr>
      <w:tr w:rsidR="00684E49" w:rsidTr="00780D50">
        <w:tc>
          <w:tcPr>
            <w:tcW w:w="1203" w:type="dxa"/>
          </w:tcPr>
          <w:p w:rsidR="000222E0" w:rsidRDefault="000222E0"/>
        </w:tc>
        <w:tc>
          <w:tcPr>
            <w:tcW w:w="7495" w:type="dxa"/>
          </w:tcPr>
          <w:p w:rsidR="000222E0" w:rsidRDefault="000222E0"/>
        </w:tc>
      </w:tr>
      <w:tr w:rsidR="00684E49" w:rsidTr="00780D50">
        <w:tc>
          <w:tcPr>
            <w:tcW w:w="1203" w:type="dxa"/>
          </w:tcPr>
          <w:p w:rsidR="000222E0" w:rsidRDefault="000222E0"/>
        </w:tc>
        <w:tc>
          <w:tcPr>
            <w:tcW w:w="7495" w:type="dxa"/>
          </w:tcPr>
          <w:p w:rsidR="000222E0" w:rsidRDefault="000222E0"/>
        </w:tc>
      </w:tr>
    </w:tbl>
    <w:p w:rsidR="00D1329A" w:rsidRDefault="00D1329A"/>
    <w:p w:rsidR="00D1329A" w:rsidRDefault="00D1329A"/>
    <w:p w:rsidR="00BF5121" w:rsidRDefault="00BF5121"/>
    <w:p w:rsidR="00BF5121" w:rsidRPr="005956BB" w:rsidRDefault="00BF5121" w:rsidP="00BF5121">
      <w:pPr>
        <w:spacing w:beforeLines="50" w:before="156" w:afterLines="50" w:after="156"/>
        <w:outlineLvl w:val="1"/>
        <w:rPr>
          <w:b/>
          <w:sz w:val="24"/>
          <w:szCs w:val="24"/>
        </w:rPr>
      </w:pPr>
      <w:r>
        <w:rPr>
          <w:rFonts w:hint="eastAsia"/>
          <w:b/>
          <w:sz w:val="24"/>
          <w:szCs w:val="24"/>
        </w:rPr>
        <w:t>Issue 2</w:t>
      </w:r>
      <w:r w:rsidRPr="00237EEE">
        <w:rPr>
          <w:rFonts w:hint="eastAsia"/>
          <w:b/>
          <w:sz w:val="24"/>
          <w:szCs w:val="24"/>
        </w:rPr>
        <w:t xml:space="preserve"> </w:t>
      </w:r>
      <w:r>
        <w:rPr>
          <w:rFonts w:hint="eastAsia"/>
          <w:b/>
          <w:sz w:val="24"/>
          <w:szCs w:val="24"/>
        </w:rPr>
        <w:t>SL-TDD-Config determination</w:t>
      </w:r>
    </w:p>
    <w:p w:rsidR="00BF5121" w:rsidRPr="00E336A9" w:rsidRDefault="00345AEC">
      <w:pPr>
        <w:rPr>
          <w:rFonts w:ascii="Times New Roman" w:hAnsi="Times New Roman" w:cs="Times New Roman"/>
          <w:b/>
          <w:i/>
          <w:sz w:val="20"/>
        </w:rPr>
      </w:pPr>
      <w:r>
        <w:rPr>
          <w:rFonts w:ascii="Times New Roman" w:hAnsi="Times New Roman" w:cs="Times New Roman" w:hint="eastAsia"/>
          <w:b/>
          <w:i/>
          <w:sz w:val="20"/>
        </w:rPr>
        <w:t xml:space="preserve">FL </w:t>
      </w:r>
      <w:r w:rsidR="00115BC9" w:rsidRPr="00E336A9">
        <w:rPr>
          <w:rFonts w:ascii="Times New Roman" w:hAnsi="Times New Roman" w:cs="Times New Roman"/>
          <w:b/>
          <w:i/>
          <w:sz w:val="20"/>
        </w:rPr>
        <w:t>Proposal: SL-TDD-Config in PSBCH is set to the same values in SIB provided by gNB</w:t>
      </w:r>
    </w:p>
    <w:p w:rsidR="00BF5121" w:rsidRDefault="00BF5121"/>
    <w:tbl>
      <w:tblPr>
        <w:tblStyle w:val="a6"/>
        <w:tblW w:w="0" w:type="auto"/>
        <w:tblLook w:val="04A0" w:firstRow="1" w:lastRow="0" w:firstColumn="1" w:lastColumn="0" w:noHBand="0" w:noVBand="1"/>
      </w:tblPr>
      <w:tblGrid>
        <w:gridCol w:w="1194"/>
        <w:gridCol w:w="7102"/>
      </w:tblGrid>
      <w:tr w:rsidR="007476DF" w:rsidRPr="00C06C2B" w:rsidTr="00340B0A">
        <w:tc>
          <w:tcPr>
            <w:tcW w:w="1199" w:type="dxa"/>
            <w:shd w:val="clear" w:color="auto" w:fill="BFBFBF" w:themeFill="background1" w:themeFillShade="BF"/>
            <w:vAlign w:val="center"/>
          </w:tcPr>
          <w:p w:rsidR="007476DF" w:rsidRPr="00C06C2B" w:rsidRDefault="007476DF" w:rsidP="00340B0A">
            <w:pPr>
              <w:jc w:val="center"/>
              <w:rPr>
                <w:b/>
              </w:rPr>
            </w:pPr>
            <w:r w:rsidRPr="00C06C2B">
              <w:rPr>
                <w:rFonts w:hint="eastAsia"/>
                <w:b/>
              </w:rPr>
              <w:t>Company</w:t>
            </w:r>
          </w:p>
        </w:tc>
        <w:tc>
          <w:tcPr>
            <w:tcW w:w="7273" w:type="dxa"/>
            <w:shd w:val="clear" w:color="auto" w:fill="BFBFBF" w:themeFill="background1" w:themeFillShade="BF"/>
            <w:vAlign w:val="center"/>
          </w:tcPr>
          <w:p w:rsidR="007476DF" w:rsidRPr="00C06C2B" w:rsidRDefault="007476DF" w:rsidP="00340B0A">
            <w:pPr>
              <w:jc w:val="center"/>
              <w:rPr>
                <w:b/>
              </w:rPr>
            </w:pPr>
            <w:r w:rsidRPr="00C06C2B">
              <w:rPr>
                <w:rFonts w:hint="eastAsia"/>
                <w:b/>
              </w:rPr>
              <w:t>Views</w:t>
            </w:r>
          </w:p>
        </w:tc>
      </w:tr>
      <w:tr w:rsidR="007476DF" w:rsidTr="00340B0A">
        <w:tc>
          <w:tcPr>
            <w:tcW w:w="1199" w:type="dxa"/>
          </w:tcPr>
          <w:p w:rsidR="007476DF" w:rsidRDefault="009B3D45" w:rsidP="009B3D45">
            <w:r>
              <w:rPr>
                <w:rFonts w:hint="eastAsia"/>
              </w:rPr>
              <w:lastRenderedPageBreak/>
              <w:t>H</w:t>
            </w:r>
            <w:r>
              <w:t>uawei, HiSilicon</w:t>
            </w:r>
          </w:p>
        </w:tc>
        <w:tc>
          <w:tcPr>
            <w:tcW w:w="7273" w:type="dxa"/>
          </w:tcPr>
          <w:p w:rsidR="009B3D45" w:rsidRPr="009B3D45" w:rsidRDefault="00A2040E" w:rsidP="007B6B59">
            <w:pPr>
              <w:rPr>
                <w:sz w:val="20"/>
                <w:szCs w:val="20"/>
              </w:rPr>
            </w:pPr>
            <w:r>
              <w:rPr>
                <w:sz w:val="20"/>
                <w:szCs w:val="20"/>
              </w:rPr>
              <w:t>It is preferable at this stage not to define new signaling at this stage if we can rely on proper network configuration instead, due to the overhead of transmitting the signaling and the standardization effort of designing it. If the flexibility of NW configuration is considered too extremely restrictive by operators, we would be interested to discuss how we can achieve better flexibility.</w:t>
            </w:r>
            <w:bookmarkStart w:id="0" w:name="_GoBack"/>
            <w:bookmarkEnd w:id="0"/>
          </w:p>
        </w:tc>
      </w:tr>
      <w:tr w:rsidR="007476DF" w:rsidTr="00340B0A">
        <w:tc>
          <w:tcPr>
            <w:tcW w:w="1199" w:type="dxa"/>
          </w:tcPr>
          <w:p w:rsidR="007476DF" w:rsidRDefault="007476DF" w:rsidP="00340B0A"/>
        </w:tc>
        <w:tc>
          <w:tcPr>
            <w:tcW w:w="7273" w:type="dxa"/>
          </w:tcPr>
          <w:p w:rsidR="007476DF" w:rsidRDefault="007476DF" w:rsidP="00340B0A"/>
        </w:tc>
      </w:tr>
      <w:tr w:rsidR="007476DF" w:rsidTr="00340B0A">
        <w:tc>
          <w:tcPr>
            <w:tcW w:w="1199" w:type="dxa"/>
          </w:tcPr>
          <w:p w:rsidR="007476DF" w:rsidRDefault="007476DF" w:rsidP="00340B0A"/>
        </w:tc>
        <w:tc>
          <w:tcPr>
            <w:tcW w:w="7273" w:type="dxa"/>
          </w:tcPr>
          <w:p w:rsidR="007476DF" w:rsidRDefault="007476DF" w:rsidP="00340B0A"/>
        </w:tc>
      </w:tr>
      <w:tr w:rsidR="007476DF" w:rsidTr="00340B0A">
        <w:tc>
          <w:tcPr>
            <w:tcW w:w="1199" w:type="dxa"/>
          </w:tcPr>
          <w:p w:rsidR="007476DF" w:rsidRDefault="007476DF" w:rsidP="00340B0A"/>
        </w:tc>
        <w:tc>
          <w:tcPr>
            <w:tcW w:w="7273" w:type="dxa"/>
          </w:tcPr>
          <w:p w:rsidR="007476DF" w:rsidRDefault="007476DF" w:rsidP="00340B0A"/>
        </w:tc>
      </w:tr>
      <w:tr w:rsidR="007476DF" w:rsidTr="00340B0A">
        <w:tc>
          <w:tcPr>
            <w:tcW w:w="1199" w:type="dxa"/>
          </w:tcPr>
          <w:p w:rsidR="007476DF" w:rsidRDefault="007476DF" w:rsidP="00340B0A"/>
        </w:tc>
        <w:tc>
          <w:tcPr>
            <w:tcW w:w="7273" w:type="dxa"/>
          </w:tcPr>
          <w:p w:rsidR="007476DF" w:rsidRDefault="007476DF" w:rsidP="00340B0A"/>
        </w:tc>
      </w:tr>
      <w:tr w:rsidR="007476DF" w:rsidTr="00340B0A">
        <w:tc>
          <w:tcPr>
            <w:tcW w:w="1199" w:type="dxa"/>
          </w:tcPr>
          <w:p w:rsidR="007476DF" w:rsidRDefault="007476DF" w:rsidP="00340B0A"/>
        </w:tc>
        <w:tc>
          <w:tcPr>
            <w:tcW w:w="7273" w:type="dxa"/>
          </w:tcPr>
          <w:p w:rsidR="007476DF" w:rsidRDefault="007476DF" w:rsidP="00340B0A"/>
        </w:tc>
      </w:tr>
    </w:tbl>
    <w:p w:rsidR="00BF5121" w:rsidRDefault="00BF5121"/>
    <w:p w:rsidR="00210485" w:rsidRDefault="00210485"/>
    <w:p w:rsidR="00210485" w:rsidRPr="005956BB" w:rsidRDefault="00210485" w:rsidP="00210485">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4 PSBCH contents and payload size</w:t>
      </w:r>
    </w:p>
    <w:p w:rsidR="00700799" w:rsidRPr="00700799" w:rsidRDefault="00700799">
      <w:pPr>
        <w:rPr>
          <w:rFonts w:ascii="Times New Roman" w:hAnsi="Times New Roman" w:cs="Times New Roman"/>
          <w:sz w:val="20"/>
          <w:szCs w:val="20"/>
        </w:rPr>
      </w:pPr>
      <w:r w:rsidRPr="00700799">
        <w:rPr>
          <w:rFonts w:ascii="Times New Roman" w:hAnsi="Times New Roman" w:cs="Times New Roman"/>
          <w:sz w:val="20"/>
        </w:rPr>
        <w:t>RAN1#99 meeting</w:t>
      </w:r>
    </w:p>
    <w:tbl>
      <w:tblPr>
        <w:tblStyle w:val="a6"/>
        <w:tblW w:w="0" w:type="auto"/>
        <w:tblLook w:val="04A0" w:firstRow="1" w:lastRow="0" w:firstColumn="1" w:lastColumn="0" w:noHBand="0" w:noVBand="1"/>
      </w:tblPr>
      <w:tblGrid>
        <w:gridCol w:w="8296"/>
      </w:tblGrid>
      <w:tr w:rsidR="00700799" w:rsidTr="00700799">
        <w:tc>
          <w:tcPr>
            <w:tcW w:w="8522" w:type="dxa"/>
          </w:tcPr>
          <w:p w:rsidR="00700799" w:rsidRDefault="00700799" w:rsidP="00700799">
            <w:pPr>
              <w:rPr>
                <w:highlight w:val="darkYellow"/>
              </w:rPr>
            </w:pPr>
            <w:r>
              <w:rPr>
                <w:highlight w:val="darkYellow"/>
              </w:rPr>
              <w:t>Working assumption:</w:t>
            </w:r>
          </w:p>
          <w:p w:rsidR="00700799" w:rsidRPr="00D834FE" w:rsidRDefault="00700799" w:rsidP="00700799">
            <w:pPr>
              <w:pStyle w:val="a7"/>
              <w:numPr>
                <w:ilvl w:val="0"/>
                <w:numId w:val="2"/>
              </w:numPr>
              <w:rPr>
                <w:rFonts w:eastAsia="宋体"/>
                <w:bCs/>
                <w:iCs/>
                <w:lang w:eastAsia="zh-CN"/>
              </w:rPr>
            </w:pPr>
            <w:r>
              <w:rPr>
                <w:rFonts w:eastAsia="宋体"/>
                <w:bCs/>
                <w:iCs/>
                <w:lang w:eastAsia="zh-CN"/>
              </w:rPr>
              <w:t>PSBCH payload size is 56 bits including 24 bits of CRC.</w:t>
            </w:r>
          </w:p>
          <w:p w:rsidR="00700799" w:rsidRDefault="00700799" w:rsidP="00700799">
            <w:pPr>
              <w:pStyle w:val="a7"/>
              <w:rPr>
                <w:rFonts w:eastAsia="宋体"/>
                <w:bCs/>
                <w:iCs/>
                <w:lang w:eastAsia="zh-CN"/>
              </w:rPr>
            </w:pPr>
            <w:r>
              <w:rPr>
                <w:rFonts w:eastAsia="宋体"/>
                <w:bCs/>
                <w:iCs/>
                <w:highlight w:val="green"/>
                <w:lang w:eastAsia="zh-CN"/>
              </w:rPr>
              <w:t>Agreements</w:t>
            </w:r>
            <w:r>
              <w:rPr>
                <w:rFonts w:eastAsia="宋体"/>
                <w:bCs/>
                <w:iCs/>
                <w:lang w:eastAsia="zh-CN"/>
              </w:rPr>
              <w:t>:</w:t>
            </w:r>
          </w:p>
          <w:p w:rsidR="00700799" w:rsidRPr="00D834FE" w:rsidRDefault="00700799" w:rsidP="00700799">
            <w:pPr>
              <w:pStyle w:val="a7"/>
              <w:numPr>
                <w:ilvl w:val="0"/>
                <w:numId w:val="3"/>
              </w:numPr>
              <w:rPr>
                <w:rFonts w:eastAsia="宋体"/>
                <w:bCs/>
                <w:iCs/>
                <w:lang w:eastAsia="zh-CN"/>
              </w:rPr>
            </w:pPr>
            <w:r>
              <w:rPr>
                <w:rFonts w:eastAsia="宋体"/>
                <w:bCs/>
                <w:iCs/>
                <w:lang w:eastAsia="zh-CN"/>
              </w:rPr>
              <w:t>Note: “green” already earlier; “blue” new agreements, “brown” working assumption, “change marks” for updates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544"/>
              <w:gridCol w:w="3886"/>
            </w:tblGrid>
            <w:tr w:rsidR="00700799" w:rsidTr="00340B0A">
              <w:tc>
                <w:tcPr>
                  <w:tcW w:w="2835" w:type="dxa"/>
                  <w:tcBorders>
                    <w:top w:val="single" w:sz="4" w:space="0" w:color="auto"/>
                    <w:left w:val="single" w:sz="4" w:space="0" w:color="auto"/>
                    <w:bottom w:val="single" w:sz="4" w:space="0" w:color="auto"/>
                    <w:right w:val="single" w:sz="4" w:space="0" w:color="auto"/>
                  </w:tcBorders>
                  <w:shd w:val="clear" w:color="auto" w:fill="8EAADB"/>
                  <w:hideMark/>
                </w:tcPr>
                <w:p w:rsidR="00700799" w:rsidRDefault="00700799" w:rsidP="00340B0A">
                  <w:pPr>
                    <w:jc w:val="center"/>
                    <w:rPr>
                      <w:rFonts w:ascii="Times" w:eastAsia="等线" w:hAnsi="Times"/>
                      <w:b/>
                      <w:color w:val="FFFFFF"/>
                      <w:szCs w:val="24"/>
                      <w:lang w:val="en-GB"/>
                    </w:rPr>
                  </w:pPr>
                  <w:r>
                    <w:rPr>
                      <w:rFonts w:eastAsia="等线"/>
                      <w:b/>
                      <w:color w:val="FFFFFF"/>
                    </w:rPr>
                    <w:t>PSBCH contents</w:t>
                  </w:r>
                </w:p>
              </w:tc>
              <w:tc>
                <w:tcPr>
                  <w:tcW w:w="1701" w:type="dxa"/>
                  <w:tcBorders>
                    <w:top w:val="single" w:sz="4" w:space="0" w:color="auto"/>
                    <w:left w:val="single" w:sz="4" w:space="0" w:color="auto"/>
                    <w:bottom w:val="single" w:sz="4" w:space="0" w:color="auto"/>
                    <w:right w:val="single" w:sz="4" w:space="0" w:color="auto"/>
                  </w:tcBorders>
                  <w:shd w:val="clear" w:color="auto" w:fill="8EAADB"/>
                  <w:hideMark/>
                </w:tcPr>
                <w:p w:rsidR="00700799" w:rsidRDefault="00700799" w:rsidP="00340B0A">
                  <w:pPr>
                    <w:jc w:val="center"/>
                    <w:rPr>
                      <w:rFonts w:ascii="Times" w:hAnsi="Times"/>
                      <w:b/>
                      <w:color w:val="FFFFFF"/>
                      <w:szCs w:val="24"/>
                      <w:lang w:val="en-GB"/>
                    </w:rPr>
                  </w:pPr>
                  <w:r>
                    <w:rPr>
                      <w:b/>
                      <w:color w:val="FFFFFF"/>
                    </w:rPr>
                    <w:t>Number of bits</w:t>
                  </w:r>
                </w:p>
              </w:tc>
              <w:tc>
                <w:tcPr>
                  <w:tcW w:w="4536" w:type="dxa"/>
                  <w:tcBorders>
                    <w:top w:val="single" w:sz="4" w:space="0" w:color="auto"/>
                    <w:left w:val="single" w:sz="4" w:space="0" w:color="auto"/>
                    <w:bottom w:val="single" w:sz="4" w:space="0" w:color="auto"/>
                    <w:right w:val="single" w:sz="4" w:space="0" w:color="auto"/>
                  </w:tcBorders>
                  <w:shd w:val="clear" w:color="auto" w:fill="8EAADB"/>
                  <w:hideMark/>
                </w:tcPr>
                <w:p w:rsidR="00700799" w:rsidRDefault="00700799" w:rsidP="00340B0A">
                  <w:pPr>
                    <w:jc w:val="center"/>
                    <w:rPr>
                      <w:rFonts w:ascii="Times" w:eastAsia="等线" w:hAnsi="Times"/>
                      <w:b/>
                      <w:color w:val="FFFFFF"/>
                      <w:szCs w:val="24"/>
                      <w:lang w:val="en-GB"/>
                    </w:rPr>
                  </w:pPr>
                  <w:r>
                    <w:rPr>
                      <w:rFonts w:eastAsia="等线"/>
                      <w:b/>
                      <w:color w:val="FFFFFF"/>
                    </w:rPr>
                    <w:t>Notes</w:t>
                  </w: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lang w:val="en-GB"/>
                    </w:rPr>
                  </w:pPr>
                  <w:r>
                    <w:rPr>
                      <w:rFonts w:eastAsia="等线"/>
                      <w:highlight w:val="green"/>
                    </w:rPr>
                    <w:t>DFN</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lang w:val="en-GB"/>
                    </w:rPr>
                  </w:pPr>
                  <w:r>
                    <w:rPr>
                      <w:rFonts w:eastAsia="等线"/>
                      <w:highlight w:val="cyan"/>
                    </w:rPr>
                    <w:t>10</w:t>
                  </w: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eastAsia="等线" w:hAnsi="Times"/>
                      <w:szCs w:val="24"/>
                      <w:lang w:val="en-GB"/>
                    </w:rPr>
                  </w:pP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green"/>
                      <w:lang w:val="en-GB"/>
                    </w:rPr>
                  </w:pPr>
                  <w:r>
                    <w:rPr>
                      <w:rFonts w:eastAsia="等线"/>
                      <w:highlight w:val="green"/>
                    </w:rPr>
                    <w:t>Indication of TDD configuration</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green"/>
                      <w:lang w:val="en-GB"/>
                    </w:rPr>
                  </w:pPr>
                  <w:r>
                    <w:rPr>
                      <w:rFonts w:eastAsia="等线"/>
                      <w:highlight w:val="darkYellow"/>
                    </w:rPr>
                    <w:t xml:space="preserve">12 </w:t>
                  </w:r>
                </w:p>
              </w:tc>
              <w:tc>
                <w:tcPr>
                  <w:tcW w:w="4536" w:type="dxa"/>
                  <w:tcBorders>
                    <w:top w:val="single" w:sz="4" w:space="0" w:color="auto"/>
                    <w:left w:val="single" w:sz="4" w:space="0" w:color="auto"/>
                    <w:bottom w:val="single" w:sz="4" w:space="0" w:color="auto"/>
                    <w:right w:val="single" w:sz="4" w:space="0" w:color="auto"/>
                  </w:tcBorders>
                  <w:hideMark/>
                </w:tcPr>
                <w:p w:rsidR="00700799" w:rsidRDefault="00700799" w:rsidP="00340B0A">
                  <w:pPr>
                    <w:rPr>
                      <w:rFonts w:ascii="Times" w:eastAsia="等线" w:hAnsi="Times"/>
                      <w:szCs w:val="24"/>
                      <w:highlight w:val="green"/>
                      <w:lang w:val="en-GB"/>
                    </w:rPr>
                  </w:pPr>
                  <w:r>
                    <w:rPr>
                      <w:rFonts w:eastAsia="等线"/>
                      <w:highlight w:val="green"/>
                    </w:rPr>
                    <w:t>System-wide information, e.g. TDD-UL-DL common configuration and/or potential SL slots</w:t>
                  </w: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darkYellow"/>
                      <w:lang w:val="en-GB"/>
                    </w:rPr>
                  </w:pPr>
                  <w:r>
                    <w:rPr>
                      <w:rFonts w:eastAsia="等线"/>
                      <w:highlight w:val="darkYellow"/>
                    </w:rPr>
                    <w:t>Slot index</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darkYellow"/>
                      <w:lang w:val="en-GB"/>
                    </w:rPr>
                  </w:pPr>
                  <w:r>
                    <w:rPr>
                      <w:rFonts w:eastAsia="等线"/>
                      <w:highlight w:val="darkYellow"/>
                    </w:rPr>
                    <w:t>7</w:t>
                  </w:r>
                </w:p>
              </w:tc>
              <w:tc>
                <w:tcPr>
                  <w:tcW w:w="4536" w:type="dxa"/>
                  <w:tcBorders>
                    <w:top w:val="single" w:sz="4" w:space="0" w:color="auto"/>
                    <w:left w:val="single" w:sz="4" w:space="0" w:color="auto"/>
                    <w:bottom w:val="single" w:sz="4" w:space="0" w:color="auto"/>
                    <w:right w:val="single" w:sz="4" w:space="0" w:color="auto"/>
                  </w:tcBorders>
                  <w:hideMark/>
                </w:tcPr>
                <w:p w:rsidR="00700799" w:rsidRDefault="00700799" w:rsidP="00340B0A">
                  <w:pPr>
                    <w:rPr>
                      <w:rFonts w:ascii="Times" w:eastAsia="等线" w:hAnsi="Times"/>
                      <w:strike/>
                      <w:color w:val="FF0000"/>
                      <w:szCs w:val="24"/>
                      <w:lang w:val="en-GB"/>
                    </w:rPr>
                  </w:pPr>
                  <w:r>
                    <w:rPr>
                      <w:rFonts w:eastAsia="等线"/>
                      <w:strike/>
                      <w:color w:val="FF0000"/>
                    </w:rPr>
                    <w:t>Note: Up to 3 bits can be carried in DM-RS or in PBCH payload.</w:t>
                  </w: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green"/>
                      <w:lang w:val="en-GB"/>
                    </w:rPr>
                  </w:pPr>
                  <w:r>
                    <w:rPr>
                      <w:rFonts w:eastAsia="等线"/>
                      <w:highlight w:val="green"/>
                    </w:rPr>
                    <w:t>In-coverage indicator</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green"/>
                      <w:lang w:val="en-GB"/>
                    </w:rPr>
                  </w:pPr>
                  <w:r>
                    <w:rPr>
                      <w:rFonts w:eastAsia="等线"/>
                      <w:highlight w:val="green"/>
                    </w:rPr>
                    <w:t>1</w:t>
                  </w: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eastAsia="等线" w:hAnsi="Times"/>
                      <w:szCs w:val="24"/>
                      <w:highlight w:val="green"/>
                      <w:lang w:val="en-GB"/>
                    </w:rPr>
                  </w:pP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highlight w:val="yellow"/>
                      <w:lang w:val="en-GB"/>
                    </w:rPr>
                  </w:pPr>
                  <w:r>
                    <w:rPr>
                      <w:rFonts w:eastAsia="等线"/>
                      <w:highlight w:val="cyan"/>
                    </w:rPr>
                    <w:t>Reserve bits</w:t>
                  </w:r>
                </w:p>
              </w:tc>
              <w:tc>
                <w:tcPr>
                  <w:tcW w:w="1701" w:type="dxa"/>
                  <w:tcBorders>
                    <w:top w:val="single" w:sz="4" w:space="0" w:color="auto"/>
                    <w:left w:val="single" w:sz="4" w:space="0" w:color="auto"/>
                    <w:bottom w:val="single" w:sz="4" w:space="0" w:color="auto"/>
                    <w:right w:val="single" w:sz="4" w:space="0" w:color="auto"/>
                  </w:tcBorders>
                </w:tcPr>
                <w:p w:rsidR="00700799" w:rsidRDefault="00700799" w:rsidP="00340B0A">
                  <w:pPr>
                    <w:jc w:val="center"/>
                    <w:rPr>
                      <w:rFonts w:ascii="Times" w:eastAsia="等线" w:hAnsi="Times"/>
                      <w:szCs w:val="24"/>
                      <w:highlight w:val="yellow"/>
                      <w:lang w:val="en-GB"/>
                    </w:rPr>
                  </w:pP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hAnsi="Times"/>
                      <w:szCs w:val="24"/>
                      <w:highlight w:val="yellow"/>
                      <w:lang w:val="en-GB"/>
                    </w:rPr>
                  </w:pP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hAnsi="Times"/>
                      <w:szCs w:val="24"/>
                      <w:highlight w:val="green"/>
                      <w:lang w:val="en-GB"/>
                    </w:rPr>
                  </w:pPr>
                  <w:r>
                    <w:rPr>
                      <w:highlight w:val="green"/>
                    </w:rPr>
                    <w:t>CRC</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hAnsi="Times"/>
                      <w:szCs w:val="24"/>
                      <w:highlight w:val="green"/>
                      <w:lang w:val="en-GB"/>
                    </w:rPr>
                  </w:pPr>
                  <w:r>
                    <w:rPr>
                      <w:highlight w:val="green"/>
                    </w:rPr>
                    <w:t>24</w:t>
                  </w: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hAnsi="Times"/>
                      <w:szCs w:val="24"/>
                      <w:lang w:val="en-GB"/>
                    </w:rPr>
                  </w:pPr>
                </w:p>
              </w:tc>
            </w:tr>
            <w:tr w:rsidR="00700799" w:rsidTr="00340B0A">
              <w:tc>
                <w:tcPr>
                  <w:tcW w:w="2835"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lang w:val="en-GB"/>
                    </w:rPr>
                  </w:pPr>
                  <w:r>
                    <w:t>Total bit</w:t>
                  </w:r>
                  <w:r>
                    <w:rPr>
                      <w:rFonts w:eastAsia="等线"/>
                    </w:rPr>
                    <w:t>s</w:t>
                  </w:r>
                </w:p>
              </w:tc>
              <w:tc>
                <w:tcPr>
                  <w:tcW w:w="1701" w:type="dxa"/>
                  <w:tcBorders>
                    <w:top w:val="single" w:sz="4" w:space="0" w:color="auto"/>
                    <w:left w:val="single" w:sz="4" w:space="0" w:color="auto"/>
                    <w:bottom w:val="single" w:sz="4" w:space="0" w:color="auto"/>
                    <w:right w:val="single" w:sz="4" w:space="0" w:color="auto"/>
                  </w:tcBorders>
                  <w:hideMark/>
                </w:tcPr>
                <w:p w:rsidR="00700799" w:rsidRDefault="00700799" w:rsidP="00340B0A">
                  <w:pPr>
                    <w:jc w:val="center"/>
                    <w:rPr>
                      <w:rFonts w:ascii="Times" w:eastAsia="等线" w:hAnsi="Times"/>
                      <w:szCs w:val="24"/>
                      <w:lang w:val="en-GB"/>
                    </w:rPr>
                  </w:pPr>
                  <w:r>
                    <w:rPr>
                      <w:rFonts w:eastAsia="等线"/>
                      <w:highlight w:val="darkYellow"/>
                    </w:rPr>
                    <w:t>56</w:t>
                  </w:r>
                </w:p>
              </w:tc>
              <w:tc>
                <w:tcPr>
                  <w:tcW w:w="4536" w:type="dxa"/>
                  <w:tcBorders>
                    <w:top w:val="single" w:sz="4" w:space="0" w:color="auto"/>
                    <w:left w:val="single" w:sz="4" w:space="0" w:color="auto"/>
                    <w:bottom w:val="single" w:sz="4" w:space="0" w:color="auto"/>
                    <w:right w:val="single" w:sz="4" w:space="0" w:color="auto"/>
                  </w:tcBorders>
                </w:tcPr>
                <w:p w:rsidR="00700799" w:rsidRDefault="00700799" w:rsidP="00340B0A">
                  <w:pPr>
                    <w:rPr>
                      <w:rFonts w:ascii="Times" w:eastAsia="等线" w:hAnsi="Times"/>
                      <w:szCs w:val="24"/>
                      <w:lang w:val="en-GB"/>
                    </w:rPr>
                  </w:pPr>
                </w:p>
              </w:tc>
            </w:tr>
          </w:tbl>
          <w:p w:rsidR="00700799" w:rsidRPr="00700799" w:rsidRDefault="00700799">
            <w:pPr>
              <w:rPr>
                <w:rFonts w:ascii="Times New Roman" w:hAnsi="Times New Roman" w:cs="Times New Roman"/>
                <w:sz w:val="20"/>
                <w:szCs w:val="20"/>
              </w:rPr>
            </w:pPr>
          </w:p>
        </w:tc>
      </w:tr>
    </w:tbl>
    <w:p w:rsidR="00700799" w:rsidRPr="00700799" w:rsidRDefault="00700799">
      <w:pPr>
        <w:rPr>
          <w:rFonts w:ascii="Times New Roman" w:hAnsi="Times New Roman" w:cs="Times New Roman"/>
          <w:sz w:val="20"/>
          <w:szCs w:val="20"/>
        </w:rPr>
      </w:pPr>
    </w:p>
    <w:p w:rsidR="00210485" w:rsidRPr="00E336A9" w:rsidRDefault="00345AEC">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E336A9">
        <w:rPr>
          <w:rFonts w:ascii="Times New Roman" w:hAnsi="Times New Roman" w:cs="Times New Roman"/>
          <w:b/>
          <w:i/>
          <w:sz w:val="20"/>
          <w:szCs w:val="20"/>
        </w:rPr>
        <w:t>Proposal: Confirm the working assumptions in RAN1#99 for the PSBCH contents for NR SL Rel-16, and reserve bits are 2</w:t>
      </w:r>
    </w:p>
    <w:p w:rsidR="00210485" w:rsidRDefault="00210485"/>
    <w:tbl>
      <w:tblPr>
        <w:tblStyle w:val="a6"/>
        <w:tblW w:w="0" w:type="auto"/>
        <w:tblLook w:val="04A0" w:firstRow="1" w:lastRow="0" w:firstColumn="1" w:lastColumn="0" w:noHBand="0" w:noVBand="1"/>
      </w:tblPr>
      <w:tblGrid>
        <w:gridCol w:w="1195"/>
        <w:gridCol w:w="7101"/>
      </w:tblGrid>
      <w:tr w:rsidR="007131E0" w:rsidRPr="00C06C2B" w:rsidTr="00340B0A">
        <w:tc>
          <w:tcPr>
            <w:tcW w:w="1199" w:type="dxa"/>
            <w:shd w:val="clear" w:color="auto" w:fill="BFBFBF" w:themeFill="background1" w:themeFillShade="BF"/>
            <w:vAlign w:val="center"/>
          </w:tcPr>
          <w:p w:rsidR="007131E0" w:rsidRPr="00C06C2B" w:rsidRDefault="007131E0" w:rsidP="00340B0A">
            <w:pPr>
              <w:jc w:val="center"/>
              <w:rPr>
                <w:b/>
              </w:rPr>
            </w:pPr>
            <w:r w:rsidRPr="00C06C2B">
              <w:rPr>
                <w:rFonts w:hint="eastAsia"/>
                <w:b/>
              </w:rPr>
              <w:t>Company</w:t>
            </w:r>
          </w:p>
        </w:tc>
        <w:tc>
          <w:tcPr>
            <w:tcW w:w="7273" w:type="dxa"/>
            <w:shd w:val="clear" w:color="auto" w:fill="BFBFBF" w:themeFill="background1" w:themeFillShade="BF"/>
            <w:vAlign w:val="center"/>
          </w:tcPr>
          <w:p w:rsidR="007131E0" w:rsidRPr="00C06C2B" w:rsidRDefault="007131E0" w:rsidP="00340B0A">
            <w:pPr>
              <w:jc w:val="center"/>
              <w:rPr>
                <w:b/>
              </w:rPr>
            </w:pPr>
            <w:r w:rsidRPr="00C06C2B">
              <w:rPr>
                <w:rFonts w:hint="eastAsia"/>
                <w:b/>
              </w:rPr>
              <w:t>Views</w:t>
            </w:r>
          </w:p>
        </w:tc>
      </w:tr>
      <w:tr w:rsidR="007131E0" w:rsidTr="00340B0A">
        <w:tc>
          <w:tcPr>
            <w:tcW w:w="1199" w:type="dxa"/>
          </w:tcPr>
          <w:p w:rsidR="007131E0" w:rsidRDefault="009B3D45" w:rsidP="009B3D45">
            <w:r>
              <w:rPr>
                <w:rFonts w:hint="eastAsia"/>
              </w:rPr>
              <w:t>H</w:t>
            </w:r>
            <w:r>
              <w:t>uawei, HiSilicon</w:t>
            </w:r>
          </w:p>
        </w:tc>
        <w:tc>
          <w:tcPr>
            <w:tcW w:w="7273" w:type="dxa"/>
          </w:tcPr>
          <w:p w:rsidR="007131E0" w:rsidRDefault="009B3D45" w:rsidP="00340B0A">
            <w:r>
              <w:rPr>
                <w:rFonts w:hint="eastAsia"/>
              </w:rPr>
              <w:t>A</w:t>
            </w:r>
            <w:r>
              <w:t>gree with the FL proposal.</w:t>
            </w:r>
          </w:p>
        </w:tc>
      </w:tr>
      <w:tr w:rsidR="007131E0" w:rsidTr="00340B0A">
        <w:tc>
          <w:tcPr>
            <w:tcW w:w="1199" w:type="dxa"/>
          </w:tcPr>
          <w:p w:rsidR="007131E0" w:rsidRDefault="007131E0" w:rsidP="00340B0A"/>
        </w:tc>
        <w:tc>
          <w:tcPr>
            <w:tcW w:w="7273" w:type="dxa"/>
          </w:tcPr>
          <w:p w:rsidR="007131E0" w:rsidRDefault="007131E0" w:rsidP="00340B0A"/>
        </w:tc>
      </w:tr>
      <w:tr w:rsidR="007131E0" w:rsidTr="00340B0A">
        <w:tc>
          <w:tcPr>
            <w:tcW w:w="1199" w:type="dxa"/>
          </w:tcPr>
          <w:p w:rsidR="007131E0" w:rsidRDefault="007131E0" w:rsidP="00340B0A"/>
        </w:tc>
        <w:tc>
          <w:tcPr>
            <w:tcW w:w="7273" w:type="dxa"/>
          </w:tcPr>
          <w:p w:rsidR="007131E0" w:rsidRDefault="007131E0" w:rsidP="00340B0A"/>
        </w:tc>
      </w:tr>
      <w:tr w:rsidR="007131E0" w:rsidTr="00340B0A">
        <w:tc>
          <w:tcPr>
            <w:tcW w:w="1199" w:type="dxa"/>
          </w:tcPr>
          <w:p w:rsidR="007131E0" w:rsidRDefault="007131E0" w:rsidP="00340B0A"/>
        </w:tc>
        <w:tc>
          <w:tcPr>
            <w:tcW w:w="7273" w:type="dxa"/>
          </w:tcPr>
          <w:p w:rsidR="007131E0" w:rsidRDefault="007131E0" w:rsidP="00340B0A"/>
        </w:tc>
      </w:tr>
      <w:tr w:rsidR="007131E0" w:rsidTr="00340B0A">
        <w:tc>
          <w:tcPr>
            <w:tcW w:w="1199" w:type="dxa"/>
          </w:tcPr>
          <w:p w:rsidR="007131E0" w:rsidRDefault="007131E0" w:rsidP="00340B0A"/>
        </w:tc>
        <w:tc>
          <w:tcPr>
            <w:tcW w:w="7273" w:type="dxa"/>
          </w:tcPr>
          <w:p w:rsidR="007131E0" w:rsidRDefault="007131E0" w:rsidP="00340B0A"/>
        </w:tc>
      </w:tr>
      <w:tr w:rsidR="007131E0" w:rsidTr="00340B0A">
        <w:tc>
          <w:tcPr>
            <w:tcW w:w="1199" w:type="dxa"/>
          </w:tcPr>
          <w:p w:rsidR="007131E0" w:rsidRDefault="007131E0" w:rsidP="00340B0A"/>
        </w:tc>
        <w:tc>
          <w:tcPr>
            <w:tcW w:w="7273" w:type="dxa"/>
          </w:tcPr>
          <w:p w:rsidR="007131E0" w:rsidRDefault="007131E0" w:rsidP="00340B0A"/>
        </w:tc>
      </w:tr>
    </w:tbl>
    <w:p w:rsidR="00210485" w:rsidRDefault="00210485"/>
    <w:p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80" w:rsidRDefault="00834D80" w:rsidP="00D1329A">
      <w:r>
        <w:separator/>
      </w:r>
    </w:p>
  </w:endnote>
  <w:endnote w:type="continuationSeparator" w:id="0">
    <w:p w:rsidR="00834D80" w:rsidRDefault="00834D80"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80" w:rsidRDefault="00834D80" w:rsidP="00D1329A">
      <w:r>
        <w:separator/>
      </w:r>
    </w:p>
  </w:footnote>
  <w:footnote w:type="continuationSeparator" w:id="0">
    <w:p w:rsidR="00834D80" w:rsidRDefault="00834D80"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5"/>
  </w:num>
  <w:num w:numId="4">
    <w:abstractNumId w:val="7"/>
  </w:num>
  <w:num w:numId="5">
    <w:abstractNumId w:val="0"/>
  </w:num>
  <w:num w:numId="6">
    <w:abstractNumId w:val="8"/>
  </w:num>
  <w:num w:numId="7">
    <w:abstractNumId w:val="6"/>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EA"/>
    <w:rsid w:val="00006950"/>
    <w:rsid w:val="00021565"/>
    <w:rsid w:val="000222E0"/>
    <w:rsid w:val="00026108"/>
    <w:rsid w:val="00036E14"/>
    <w:rsid w:val="00072F4E"/>
    <w:rsid w:val="000731A5"/>
    <w:rsid w:val="000963BD"/>
    <w:rsid w:val="000D2717"/>
    <w:rsid w:val="000E6718"/>
    <w:rsid w:val="00104B01"/>
    <w:rsid w:val="00111094"/>
    <w:rsid w:val="00115BC9"/>
    <w:rsid w:val="00140AEA"/>
    <w:rsid w:val="001668E3"/>
    <w:rsid w:val="00173EED"/>
    <w:rsid w:val="001909F9"/>
    <w:rsid w:val="001A1115"/>
    <w:rsid w:val="001D45D7"/>
    <w:rsid w:val="001D6096"/>
    <w:rsid w:val="001E6346"/>
    <w:rsid w:val="001E7513"/>
    <w:rsid w:val="001F0DA0"/>
    <w:rsid w:val="00210485"/>
    <w:rsid w:val="0023023B"/>
    <w:rsid w:val="00237EEE"/>
    <w:rsid w:val="002459BA"/>
    <w:rsid w:val="00271E67"/>
    <w:rsid w:val="00290656"/>
    <w:rsid w:val="002968AB"/>
    <w:rsid w:val="002A0761"/>
    <w:rsid w:val="002C39E9"/>
    <w:rsid w:val="002F04B0"/>
    <w:rsid w:val="002F5D9C"/>
    <w:rsid w:val="0030663E"/>
    <w:rsid w:val="00323746"/>
    <w:rsid w:val="00335E79"/>
    <w:rsid w:val="003374D3"/>
    <w:rsid w:val="00340B0A"/>
    <w:rsid w:val="00345AEC"/>
    <w:rsid w:val="00360713"/>
    <w:rsid w:val="00380363"/>
    <w:rsid w:val="0042310F"/>
    <w:rsid w:val="004572D5"/>
    <w:rsid w:val="004A28D1"/>
    <w:rsid w:val="004A5113"/>
    <w:rsid w:val="004C19B3"/>
    <w:rsid w:val="004D6E89"/>
    <w:rsid w:val="004E04E8"/>
    <w:rsid w:val="004E22B4"/>
    <w:rsid w:val="004F22FA"/>
    <w:rsid w:val="004F5BFF"/>
    <w:rsid w:val="004F60D6"/>
    <w:rsid w:val="0050594F"/>
    <w:rsid w:val="00511352"/>
    <w:rsid w:val="0053435B"/>
    <w:rsid w:val="00541618"/>
    <w:rsid w:val="00571F27"/>
    <w:rsid w:val="00583298"/>
    <w:rsid w:val="005956BB"/>
    <w:rsid w:val="005C1C60"/>
    <w:rsid w:val="005F6215"/>
    <w:rsid w:val="00604B34"/>
    <w:rsid w:val="00605304"/>
    <w:rsid w:val="006233F4"/>
    <w:rsid w:val="00634E4F"/>
    <w:rsid w:val="00656C18"/>
    <w:rsid w:val="00680B59"/>
    <w:rsid w:val="00682169"/>
    <w:rsid w:val="00683387"/>
    <w:rsid w:val="00684E49"/>
    <w:rsid w:val="006C2642"/>
    <w:rsid w:val="006E5DD0"/>
    <w:rsid w:val="006F3AFF"/>
    <w:rsid w:val="00700799"/>
    <w:rsid w:val="007131E0"/>
    <w:rsid w:val="007476DF"/>
    <w:rsid w:val="0076405D"/>
    <w:rsid w:val="007725CB"/>
    <w:rsid w:val="00772E9F"/>
    <w:rsid w:val="00780D50"/>
    <w:rsid w:val="00784373"/>
    <w:rsid w:val="00787250"/>
    <w:rsid w:val="00794E28"/>
    <w:rsid w:val="007A164A"/>
    <w:rsid w:val="007A32B9"/>
    <w:rsid w:val="007B6B59"/>
    <w:rsid w:val="007C66A4"/>
    <w:rsid w:val="007E18D4"/>
    <w:rsid w:val="007E7F79"/>
    <w:rsid w:val="008032F9"/>
    <w:rsid w:val="00811895"/>
    <w:rsid w:val="00834D80"/>
    <w:rsid w:val="00837E42"/>
    <w:rsid w:val="00844280"/>
    <w:rsid w:val="00851DAD"/>
    <w:rsid w:val="00860AD0"/>
    <w:rsid w:val="008A17D3"/>
    <w:rsid w:val="008A1CF9"/>
    <w:rsid w:val="008D1C00"/>
    <w:rsid w:val="008F0A62"/>
    <w:rsid w:val="008F1299"/>
    <w:rsid w:val="00912C7D"/>
    <w:rsid w:val="009132F1"/>
    <w:rsid w:val="009268F8"/>
    <w:rsid w:val="009824B7"/>
    <w:rsid w:val="009827BD"/>
    <w:rsid w:val="0099216D"/>
    <w:rsid w:val="009B3D45"/>
    <w:rsid w:val="009C2538"/>
    <w:rsid w:val="009C3C37"/>
    <w:rsid w:val="009C3E74"/>
    <w:rsid w:val="009C7A01"/>
    <w:rsid w:val="009D27E6"/>
    <w:rsid w:val="009D56DE"/>
    <w:rsid w:val="009E60F9"/>
    <w:rsid w:val="009F0D56"/>
    <w:rsid w:val="009F13E1"/>
    <w:rsid w:val="00A02520"/>
    <w:rsid w:val="00A13DD7"/>
    <w:rsid w:val="00A2040E"/>
    <w:rsid w:val="00A219AE"/>
    <w:rsid w:val="00A3223E"/>
    <w:rsid w:val="00A772BE"/>
    <w:rsid w:val="00A9456F"/>
    <w:rsid w:val="00AC6F9A"/>
    <w:rsid w:val="00AE5B3D"/>
    <w:rsid w:val="00AF4084"/>
    <w:rsid w:val="00B165A4"/>
    <w:rsid w:val="00B3223E"/>
    <w:rsid w:val="00B40414"/>
    <w:rsid w:val="00B64038"/>
    <w:rsid w:val="00B737AC"/>
    <w:rsid w:val="00B80042"/>
    <w:rsid w:val="00B8325F"/>
    <w:rsid w:val="00BC7CB7"/>
    <w:rsid w:val="00BF05A9"/>
    <w:rsid w:val="00BF3633"/>
    <w:rsid w:val="00BF4BFF"/>
    <w:rsid w:val="00BF5121"/>
    <w:rsid w:val="00C02937"/>
    <w:rsid w:val="00C06C2B"/>
    <w:rsid w:val="00C07D0F"/>
    <w:rsid w:val="00C105F1"/>
    <w:rsid w:val="00C30422"/>
    <w:rsid w:val="00C3467D"/>
    <w:rsid w:val="00C70974"/>
    <w:rsid w:val="00CA0110"/>
    <w:rsid w:val="00CC193D"/>
    <w:rsid w:val="00D1329A"/>
    <w:rsid w:val="00D23BFA"/>
    <w:rsid w:val="00D74FB3"/>
    <w:rsid w:val="00D8390E"/>
    <w:rsid w:val="00DE6E02"/>
    <w:rsid w:val="00E21D86"/>
    <w:rsid w:val="00E336A9"/>
    <w:rsid w:val="00E359A6"/>
    <w:rsid w:val="00E60019"/>
    <w:rsid w:val="00E879BD"/>
    <w:rsid w:val="00E96D57"/>
    <w:rsid w:val="00EA14FD"/>
    <w:rsid w:val="00EC6C13"/>
    <w:rsid w:val="00ED7B27"/>
    <w:rsid w:val="00EE5C2C"/>
    <w:rsid w:val="00F61FD8"/>
    <w:rsid w:val="00FD7EBE"/>
    <w:rsid w:val="00FE0355"/>
    <w:rsid w:val="00F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64308A-38EC-4FAA-88C8-A48C0BC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bt,본문"/>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본문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lichao</cp:lastModifiedBy>
  <cp:revision>16</cp:revision>
  <dcterms:created xsi:type="dcterms:W3CDTF">2020-05-25T13:37:00Z</dcterms:created>
  <dcterms:modified xsi:type="dcterms:W3CDTF">2020-05-25T14:08:00Z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(3)oQ19wBUVplyi1oWMjnnF3xPdETkstUHUiVqrXLIIYKODr1S7b+gLcF2zlp6DNTied6dtCw0J
yOhBZikufwMSUgB8KrsRNEUakOcoqqUqkQSlTc/PvHeldaNUp318dXoJ+DJ1YbhbDuGBQmb1
gbYhu+WRZczDP0A9x7ma3a9oFaNNKPb38nbIm7lYKgrWhi3ryWq8oHIaDGSJ8ORwAF7XySvo
KKYlK0qAIQ9O6ASofM</vt:lpwstr>
  </property>
  <property fmtid="{D5CDD505-2E9C-101B-9397-08002B2CF9AE}" pid="3" name="_2015_ms_pID_7253431">
    <vt:lpwstr>XMuoX1I4nsQ/L/EUO88DsC2bg5/9ts8akrhH7DxZcKsupbtL166V5S
STWByHxBOIFBDITjjaHHzf/nyS0pQrO5uT61sMuPUo2AHtynqkPhhAY67zMj+OqgafPexhNc
PSKJrm4u+RKEr4ud26KFPGUsr/3yGPcdmN4AkOFM+A/vS2mkLckdLAXOVeEwDhXQoxQASluY
lASbWdU3cSRgO82Loqwbwju6NaeCr56y3gGJ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FQ==</vt:lpwstr>
  </property>
</Properties>
</file>