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kern w:val="2"/>
          <w:lang w:eastAsia="zh-CN"/>
        </w:rPr>
      </w:pPr>
      <w:r>
        <w:rPr>
          <w:b/>
          <w:kern w:val="2"/>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r>
      <w:r>
        <w:rPr>
          <w:b/>
          <w:kern w:val="2"/>
          <w:lang w:eastAsia="zh-CN"/>
        </w:rPr>
        <w:t>R1-200330x</w:t>
      </w:r>
    </w:p>
    <w:p>
      <w:pPr>
        <w:rPr>
          <w:b/>
          <w:bCs/>
          <w:lang w:eastAsia="zh-CN"/>
        </w:rPr>
      </w:pPr>
      <w:r>
        <w:rPr>
          <w:b/>
          <w:bCs/>
          <w:lang w:eastAsia="zh-CN"/>
        </w:rPr>
        <w:t>e-Meeting, May 25 – June 5, 2020</w:t>
      </w:r>
    </w:p>
    <w:p>
      <w:pPr>
        <w:pBdr>
          <w:top w:val="single" w:color="auto" w:sz="4" w:space="1"/>
        </w:pBdr>
        <w:spacing w:after="0"/>
        <w:jc w:val="left"/>
        <w:rPr>
          <w:b/>
          <w:kern w:val="2"/>
          <w:sz w:val="16"/>
          <w:szCs w:val="16"/>
          <w:lang w:eastAsia="zh-CN"/>
        </w:rPr>
      </w:pPr>
    </w:p>
    <w:p>
      <w:pPr>
        <w:spacing w:after="0"/>
        <w:ind w:left="1555" w:hanging="1555"/>
        <w:jc w:val="left"/>
        <w:rPr>
          <w:b/>
          <w:kern w:val="2"/>
          <w:lang w:eastAsia="zh-CN"/>
        </w:rPr>
      </w:pPr>
      <w:r>
        <w:rPr>
          <w:b/>
          <w:kern w:val="2"/>
          <w:lang w:eastAsia="zh-CN"/>
        </w:rPr>
        <w:t>Agenda Item:</w:t>
      </w:r>
      <w:r>
        <w:rPr>
          <w:b/>
          <w:kern w:val="2"/>
          <w:lang w:eastAsia="zh-CN"/>
        </w:rPr>
        <w:tab/>
      </w:r>
      <w:r>
        <w:rPr>
          <w:b/>
          <w:kern w:val="2"/>
          <w:lang w:eastAsia="zh-CN"/>
        </w:rPr>
        <w:t>7.2.2.2.2</w:t>
      </w:r>
    </w:p>
    <w:p>
      <w:pPr>
        <w:spacing w:after="0"/>
        <w:ind w:left="1555" w:hanging="1555"/>
        <w:jc w:val="left"/>
        <w:rPr>
          <w:b/>
          <w:kern w:val="2"/>
          <w:lang w:eastAsia="zh-CN"/>
        </w:rPr>
      </w:pPr>
      <w:r>
        <w:rPr>
          <w:b/>
          <w:kern w:val="2"/>
          <w:lang w:eastAsia="zh-CN"/>
        </w:rPr>
        <w:t>Source:</w:t>
      </w:r>
      <w:r>
        <w:rPr>
          <w:b/>
          <w:kern w:val="2"/>
          <w:lang w:eastAsia="zh-CN"/>
        </w:rPr>
        <w:tab/>
      </w:r>
      <w:r>
        <w:rPr>
          <w:b/>
          <w:kern w:val="2"/>
          <w:lang w:eastAsia="zh-CN"/>
        </w:rPr>
        <w:t>Moderator (Charter Communications)</w:t>
      </w:r>
    </w:p>
    <w:p>
      <w:pPr>
        <w:spacing w:after="0"/>
        <w:ind w:left="1555" w:hanging="1555"/>
        <w:jc w:val="left"/>
        <w:rPr>
          <w:b/>
          <w:kern w:val="2"/>
          <w:lang w:eastAsia="zh-CN"/>
        </w:rPr>
      </w:pPr>
      <w:r>
        <w:rPr>
          <w:b/>
          <w:kern w:val="2"/>
          <w:lang w:eastAsia="zh-CN"/>
        </w:rPr>
        <w:t>Title:</w:t>
      </w:r>
      <w:r>
        <w:rPr>
          <w:b/>
          <w:kern w:val="2"/>
          <w:lang w:eastAsia="zh-CN"/>
        </w:rPr>
        <w:tab/>
      </w:r>
      <w:r>
        <w:rPr>
          <w:b/>
          <w:kern w:val="2"/>
          <w:lang w:eastAsia="zh-CN"/>
        </w:rPr>
        <w:t>Feature lead summary on for initial access procedures enhancements</w:t>
      </w:r>
    </w:p>
    <w:p>
      <w:pPr>
        <w:spacing w:after="0"/>
        <w:ind w:left="1555" w:hanging="1555"/>
        <w:jc w:val="left"/>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jc w:val="left"/>
        <w:rPr>
          <w:b/>
          <w:kern w:val="2"/>
          <w:sz w:val="16"/>
          <w:szCs w:val="16"/>
          <w:lang w:eastAsia="zh-CN"/>
        </w:rPr>
      </w:pPr>
    </w:p>
    <w:p>
      <w:pPr>
        <w:pStyle w:val="2"/>
        <w:spacing w:before="0" w:after="0"/>
      </w:pPr>
      <w:bookmarkStart w:id="0" w:name="_Ref129681862"/>
      <w:bookmarkStart w:id="1" w:name="_Ref124589705"/>
      <w:r>
        <w:t>Introduction</w:t>
      </w:r>
      <w:bookmarkEnd w:id="0"/>
      <w:bookmarkEnd w:id="1"/>
    </w:p>
    <w:p>
      <w:pPr>
        <w:spacing w:after="0"/>
        <w:rPr>
          <w:rFonts w:eastAsiaTheme="minorEastAsia"/>
          <w:lang w:eastAsia="zh-CN"/>
        </w:rPr>
      </w:pPr>
      <w:r>
        <w:rPr>
          <w:rFonts w:hint="eastAsia" w:eastAsiaTheme="minorEastAsia"/>
          <w:lang w:eastAsia="zh-CN"/>
        </w:rPr>
        <w:t xml:space="preserve">A number of </w:t>
      </w:r>
      <w:r>
        <w:rPr>
          <w:rFonts w:eastAsiaTheme="minorEastAsia"/>
          <w:lang w:eastAsia="zh-CN"/>
        </w:rPr>
        <w:t xml:space="preserve">proposed </w:t>
      </w:r>
      <w:r>
        <w:rPr>
          <w:rFonts w:hint="eastAsia" w:eastAsiaTheme="minorEastAsia"/>
          <w:lang w:eastAsia="zh-CN"/>
        </w:rPr>
        <w:t xml:space="preserve">corrections to </w:t>
      </w:r>
      <w:r>
        <w:rPr>
          <w:rFonts w:eastAsiaTheme="minorEastAsia"/>
          <w:lang w:eastAsia="zh-CN"/>
        </w:rPr>
        <w:t>Rel-</w:t>
      </w:r>
      <w:r>
        <w:rPr>
          <w:rFonts w:hint="eastAsia" w:eastAsiaTheme="minorEastAsia"/>
          <w:lang w:eastAsia="zh-CN"/>
        </w:rPr>
        <w:t xml:space="preserve">16 specifications </w:t>
      </w:r>
      <w:r>
        <w:rPr>
          <w:rFonts w:eastAsiaTheme="minorEastAsia"/>
          <w:lang w:eastAsia="zh-CN"/>
        </w:rPr>
        <w:t xml:space="preserve">have been submitted to RAN1#101-e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_Ref40646597 \r \h </w:instrText>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pPr>
        <w:spacing w:after="0"/>
        <w:rPr>
          <w:rFonts w:eastAsiaTheme="minorEastAsia"/>
          <w:lang w:eastAsia="zh-CN"/>
        </w:rPr>
      </w:pPr>
      <w:r>
        <w:rPr>
          <w:rFonts w:eastAsiaTheme="minorEastAsia"/>
          <w:lang w:eastAsia="zh-CN"/>
        </w:rPr>
        <w:t xml:space="preserve">The outcomes of 7.2.2.2.2 email discussions in RAN1#100b-e can be found in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pPr>
        <w:spacing w:after="0"/>
        <w:rPr>
          <w:rFonts w:eastAsiaTheme="minorEastAsia"/>
          <w:lang w:eastAsia="zh-CN"/>
        </w:rPr>
      </w:pPr>
    </w:p>
    <w:p>
      <w:pPr>
        <w:pStyle w:val="2"/>
        <w:spacing w:before="0" w:after="0"/>
      </w:pPr>
      <w:bookmarkStart w:id="2" w:name="_Ref129681832"/>
      <w:r>
        <w:t>Corrections for SS/PBCH Block</w:t>
      </w:r>
    </w:p>
    <w:p>
      <w:pPr>
        <w:spacing w:after="0"/>
        <w:rPr>
          <w:rFonts w:eastAsiaTheme="minorEastAsia"/>
          <w:lang w:eastAsia="zh-CN"/>
        </w:rPr>
      </w:pPr>
      <w:bookmarkStart w:id="3" w:name="_Ref124671424"/>
      <w:bookmarkStart w:id="4" w:name="_Ref71620620"/>
      <w:bookmarkStart w:id="5" w:name="_Ref124589665"/>
    </w:p>
    <w:p>
      <w:pPr>
        <w:spacing w:after="0"/>
        <w:rPr>
          <w:rFonts w:eastAsiaTheme="minorEastAsia"/>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284"/>
        <w:gridCol w:w="16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hint="eastAsia" w:eastAsiaTheme="minorEastAsia"/>
                <w:lang w:eastAsia="zh-CN"/>
              </w:rPr>
              <w:t>Issue #</w:t>
            </w:r>
          </w:p>
        </w:tc>
        <w:tc>
          <w:tcPr>
            <w:tcW w:w="5284" w:type="dxa"/>
          </w:tcPr>
          <w:p>
            <w:pPr>
              <w:widowControl w:val="0"/>
              <w:spacing w:after="0"/>
              <w:rPr>
                <w:rFonts w:eastAsiaTheme="minorEastAsia"/>
                <w:lang w:eastAsia="zh-CN"/>
              </w:rPr>
            </w:pPr>
            <w:r>
              <w:rPr>
                <w:rFonts w:hint="eastAsia" w:eastAsiaTheme="minorEastAsia"/>
                <w:lang w:eastAsia="zh-CN"/>
              </w:rPr>
              <w:t>Description</w:t>
            </w:r>
          </w:p>
        </w:tc>
        <w:tc>
          <w:tcPr>
            <w:tcW w:w="1674" w:type="dxa"/>
          </w:tcPr>
          <w:p>
            <w:pPr>
              <w:widowControl w:val="0"/>
              <w:spacing w:after="0"/>
              <w:jc w:val="left"/>
              <w:rPr>
                <w:rFonts w:eastAsiaTheme="minorEastAsia"/>
                <w:lang w:eastAsia="zh-CN"/>
              </w:rPr>
            </w:pPr>
            <w:r>
              <w:rPr>
                <w:rFonts w:hint="eastAsia" w:eastAsiaTheme="minorEastAsia"/>
                <w:lang w:eastAsia="zh-CN"/>
              </w:rPr>
              <w:t>Tdoc</w:t>
            </w:r>
          </w:p>
        </w:tc>
        <w:tc>
          <w:tcPr>
            <w:tcW w:w="1374" w:type="dxa"/>
          </w:tcPr>
          <w:p>
            <w:pPr>
              <w:widowControl w:val="0"/>
              <w:spacing w:after="0"/>
              <w:jc w:val="left"/>
              <w:rPr>
                <w:rFonts w:eastAsiaTheme="minorEastAsia"/>
                <w:lang w:eastAsia="zh-CN"/>
              </w:rPr>
            </w:pPr>
            <w:r>
              <w:rPr>
                <w:rFonts w:eastAsiaTheme="minorEastAsia"/>
                <w:lang w:eastAsia="zh-CN"/>
              </w:rPr>
              <w:t>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w:t>
            </w:r>
          </w:p>
        </w:tc>
        <w:tc>
          <w:tcPr>
            <w:tcW w:w="5284" w:type="dxa"/>
          </w:tcPr>
          <w:p>
            <w:pPr>
              <w:widowControl w:val="0"/>
              <w:spacing w:after="0"/>
              <w:jc w:val="left"/>
              <w:rPr>
                <w:rFonts w:eastAsiaTheme="minorEastAsia"/>
                <w:lang w:eastAsia="zh-CN"/>
              </w:rPr>
            </w:pPr>
            <w:r>
              <w:rPr>
                <w:rFonts w:eastAsiaTheme="minorEastAsia"/>
                <w:lang w:eastAsia="zh-CN"/>
              </w:rPr>
              <w:t>Replace the parameter “ssbPositionQCL-Relationship-r16” with “ssb-PositionQCL-r16” for signaling of Q in Clause 4.1 of TS 38.213 to align TS 38.331.</w:t>
            </w:r>
          </w:p>
        </w:tc>
        <w:tc>
          <w:tcPr>
            <w:tcW w:w="1674" w:type="dxa"/>
          </w:tcPr>
          <w:p>
            <w:pPr>
              <w:widowControl w:val="0"/>
              <w:spacing w:after="0"/>
              <w:jc w:val="left"/>
            </w:pPr>
            <w:r>
              <w:t>R1-2003451</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2.2</w:t>
            </w:r>
          </w:p>
        </w:tc>
        <w:tc>
          <w:tcPr>
            <w:tcW w:w="5284" w:type="dxa"/>
          </w:tcPr>
          <w:p>
            <w:pPr>
              <w:widowControl w:val="0"/>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pPr>
              <w:widowControl w:val="0"/>
              <w:spacing w:after="0"/>
              <w:jc w:val="left"/>
            </w:pPr>
          </w:p>
        </w:tc>
        <w:tc>
          <w:tcPr>
            <w:tcW w:w="1674" w:type="dxa"/>
          </w:tcPr>
          <w:p>
            <w:pPr>
              <w:widowControl w:val="0"/>
              <w:spacing w:after="0"/>
              <w:jc w:val="left"/>
            </w:pPr>
            <w:r>
              <w:t>R1-2004014</w:t>
            </w:r>
          </w:p>
        </w:tc>
        <w:tc>
          <w:tcPr>
            <w:tcW w:w="1374" w:type="dxa"/>
          </w:tcPr>
          <w:p>
            <w:pPr>
              <w:widowControl w:val="0"/>
              <w:spacing w:after="0"/>
              <w:jc w:val="left"/>
              <w:rPr>
                <w:rFonts w:eastAsiaTheme="minorEastAsia"/>
                <w:lang w:eastAsia="zh-CN"/>
              </w:rPr>
            </w:pPr>
            <w:r>
              <w:rPr>
                <w:rFonts w:eastAsiaTheme="minorEastAsia"/>
                <w:lang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2.3</w:t>
            </w:r>
          </w:p>
        </w:tc>
        <w:tc>
          <w:tcPr>
            <w:tcW w:w="5284" w:type="dxa"/>
          </w:tcPr>
          <w:p>
            <w:pPr>
              <w:widowControl w:val="0"/>
              <w:spacing w:after="0"/>
              <w:jc w:val="left"/>
              <w:rPr>
                <w:rFonts w:eastAsiaTheme="minorEastAsia"/>
                <w:lang w:eastAsia="zh-CN"/>
              </w:rPr>
            </w:pPr>
            <w:r>
              <w:rPr>
                <w:rFonts w:eastAsiaTheme="minorEastAsia"/>
                <w:lang w:eastAsia="zh-CN"/>
              </w:rPr>
              <w:t>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to clarify only one  transmitted SS/PBCH blocks with a same SS/PBCH block index within a discovery burst transmission window.</w:t>
            </w:r>
          </w:p>
        </w:tc>
        <w:tc>
          <w:tcPr>
            <w:tcW w:w="1674" w:type="dxa"/>
          </w:tcPr>
          <w:p>
            <w:pPr>
              <w:widowControl w:val="0"/>
              <w:spacing w:after="0"/>
              <w:jc w:val="left"/>
            </w:pPr>
            <w:r>
              <w:t>R1-2003451</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2.4</w:t>
            </w:r>
          </w:p>
        </w:tc>
        <w:tc>
          <w:tcPr>
            <w:tcW w:w="5284" w:type="dxa"/>
          </w:tcPr>
          <w:p>
            <w:pPr>
              <w:widowControl w:val="0"/>
              <w:spacing w:after="0"/>
              <w:jc w:val="left"/>
              <w:rPr>
                <w:rFonts w:eastAsiaTheme="minorEastAsia"/>
                <w:lang w:eastAsia="zh-CN"/>
              </w:rPr>
            </w:pPr>
            <w:r>
              <w:rPr>
                <w:rFonts w:eastAsiaTheme="minorEastAsia"/>
                <w:lang w:eastAsia="zh-CN"/>
              </w:rPr>
              <w:t xml:space="preserve">Missing instances of ‘candidate SS/PBCH block index’ terminology in: </w:t>
            </w:r>
          </w:p>
          <w:p>
            <w:pPr>
              <w:widowControl w:val="0"/>
              <w:spacing w:after="0"/>
              <w:jc w:val="left"/>
              <w:rPr>
                <w:rFonts w:eastAsiaTheme="minorEastAsia"/>
                <w:lang w:eastAsia="zh-CN"/>
              </w:rPr>
            </w:pPr>
            <w:r>
              <w:rPr>
                <w:rFonts w:eastAsiaTheme="minorEastAsia"/>
                <w:lang w:eastAsia="zh-CN"/>
              </w:rPr>
              <w:t>TS 38.214 Subclause 5.1.4 relating to PDSCH rate matching.</w:t>
            </w:r>
          </w:p>
          <w:p>
            <w:pPr>
              <w:widowControl w:val="0"/>
              <w:spacing w:after="0"/>
              <w:jc w:val="left"/>
              <w:rPr>
                <w:rFonts w:eastAsiaTheme="minorEastAsia"/>
                <w:lang w:eastAsia="zh-CN"/>
              </w:rPr>
            </w:pPr>
            <w:r>
              <w:rPr>
                <w:rFonts w:eastAsiaTheme="minorEastAsia"/>
                <w:lang w:eastAsia="zh-CN"/>
              </w:rPr>
              <w:t>TS 38.213 Subclause 8.1 relating to RO validation.</w:t>
            </w:r>
          </w:p>
          <w:p>
            <w:pPr>
              <w:widowControl w:val="0"/>
              <w:spacing w:after="0"/>
              <w:jc w:val="left"/>
              <w:rPr>
                <w:rFonts w:eastAsiaTheme="minorEastAsia"/>
                <w:lang w:eastAsia="zh-CN"/>
              </w:rPr>
            </w:pPr>
            <w:r>
              <w:rPr>
                <w:rFonts w:eastAsiaTheme="minorEastAsia"/>
                <w:lang w:eastAsia="zh-CN"/>
              </w:rPr>
              <w:t>TS 38.213 Subclause 11.1.1 relating to UL validation in SFI.</w:t>
            </w:r>
          </w:p>
          <w:p>
            <w:pPr>
              <w:widowControl w:val="0"/>
              <w:spacing w:after="0"/>
              <w:jc w:val="left"/>
              <w:rPr>
                <w:rFonts w:eastAsiaTheme="minorEastAsia"/>
                <w:lang w:eastAsia="zh-CN"/>
              </w:rPr>
            </w:pPr>
            <w:r>
              <w:rPr>
                <w:rFonts w:eastAsiaTheme="minorEastAsia"/>
                <w:lang w:eastAsia="zh-CN"/>
              </w:rPr>
              <w:t>TS 38.213 Subclause 5 relating to RLM.</w:t>
            </w:r>
          </w:p>
        </w:tc>
        <w:tc>
          <w:tcPr>
            <w:tcW w:w="1674" w:type="dxa"/>
          </w:tcPr>
          <w:p>
            <w:pPr>
              <w:widowControl w:val="0"/>
              <w:spacing w:after="0"/>
              <w:jc w:val="left"/>
            </w:pPr>
            <w:r>
              <w:rPr>
                <w:strike/>
                <w:color w:val="FF0000"/>
              </w:rPr>
              <w:t>R1-2003973</w:t>
            </w:r>
            <w:r>
              <w:br w:type="textWrapping"/>
            </w:r>
            <w:r>
              <w:t>R1-2004001</w:t>
            </w:r>
            <w:r>
              <w:br w:type="textWrapping"/>
            </w:r>
            <w:r>
              <w:t>R1-2003861</w:t>
            </w:r>
          </w:p>
        </w:tc>
        <w:tc>
          <w:tcPr>
            <w:tcW w:w="1374" w:type="dxa"/>
          </w:tcPr>
          <w:p>
            <w:pPr>
              <w:widowControl w:val="0"/>
              <w:spacing w:after="0"/>
              <w:jc w:val="left"/>
              <w:rPr>
                <w:rFonts w:eastAsiaTheme="minorEastAsia"/>
                <w:lang w:eastAsia="zh-CN"/>
              </w:rPr>
            </w:pPr>
            <w:r>
              <w:rPr>
                <w:rFonts w:eastAsiaTheme="minorEastAsia"/>
                <w:lang w:eastAsia="zh-CN"/>
              </w:rPr>
              <w:t>N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2.5</w:t>
            </w:r>
          </w:p>
        </w:tc>
        <w:tc>
          <w:tcPr>
            <w:tcW w:w="5284" w:type="dxa"/>
          </w:tcPr>
          <w:p>
            <w:pPr>
              <w:widowControl w:val="0"/>
              <w:spacing w:after="0"/>
              <w:jc w:val="left"/>
            </w:pPr>
            <w:r>
              <w:t xml:space="preserve">Add “The maximum number of transmitted SS/PBCH blocks within a discovery burst transmission window is 8.” to TS 38.213 Clause 4.1. </w:t>
            </w:r>
          </w:p>
        </w:tc>
        <w:tc>
          <w:tcPr>
            <w:tcW w:w="1674" w:type="dxa"/>
          </w:tcPr>
          <w:p>
            <w:pPr>
              <w:widowControl w:val="0"/>
              <w:spacing w:after="0"/>
              <w:jc w:val="left"/>
              <w:rPr>
                <w:lang w:val="fr-FR"/>
              </w:rPr>
            </w:pPr>
            <w:r>
              <w:rPr>
                <w:lang w:val="fr-FR"/>
              </w:rPr>
              <w:t>R1-2003657</w:t>
            </w:r>
          </w:p>
        </w:tc>
        <w:tc>
          <w:tcPr>
            <w:tcW w:w="1374" w:type="dxa"/>
          </w:tcPr>
          <w:p>
            <w:pPr>
              <w:widowControl w:val="0"/>
              <w:spacing w:after="0"/>
              <w:jc w:val="left"/>
              <w:rPr>
                <w:rFonts w:eastAsiaTheme="minorEastAsia"/>
                <w:lang w:val="fr-FR" w:eastAsia="zh-CN"/>
              </w:rPr>
            </w:pPr>
            <w:r>
              <w:rPr>
                <w:rFonts w:eastAsiaTheme="minorEastAsia"/>
                <w:lang w:val="fr-FR"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2.6</w:t>
            </w:r>
          </w:p>
        </w:tc>
        <w:tc>
          <w:tcPr>
            <w:tcW w:w="5284" w:type="dxa"/>
          </w:tcPr>
          <w:p>
            <w:pPr>
              <w:widowControl w:val="0"/>
              <w:spacing w:after="0"/>
              <w:jc w:val="left"/>
              <w:rPr>
                <w:rFonts w:eastAsiaTheme="minorEastAsia"/>
                <w:lang w:eastAsia="zh-CN"/>
              </w:rPr>
            </w:pPr>
            <w:r>
              <w:rPr>
                <w:rFonts w:eastAsiaTheme="minorEastAsia"/>
                <w:lang w:eastAsia="zh-CN"/>
              </w:rPr>
              <w:t>The UE performs PDSCH rate-matching around the resources of candidate SS/PBCH blocks corresponding to a same SS/PBCH block index according to ssb-PositionsInBurst, until the UE has successfully detected one SS/PBCH block within a discovery burst transmission window (TP for TS 38.214).</w:t>
            </w:r>
          </w:p>
        </w:tc>
        <w:tc>
          <w:tcPr>
            <w:tcW w:w="1674" w:type="dxa"/>
          </w:tcPr>
          <w:p>
            <w:pPr>
              <w:widowControl w:val="0"/>
              <w:spacing w:after="0"/>
              <w:jc w:val="left"/>
            </w:pPr>
            <w:r>
              <w:t>R1-2003451</w:t>
            </w:r>
          </w:p>
          <w:p>
            <w:pPr>
              <w:widowControl w:val="0"/>
              <w:spacing w:after="0"/>
              <w:jc w:val="left"/>
              <w:rPr>
                <w:color w:val="FF0000"/>
              </w:rPr>
            </w:pPr>
            <w:commentRangeStart w:id="0"/>
            <w:r>
              <w:rPr>
                <w:color w:val="FF0000"/>
              </w:rPr>
              <w:t>R1-2004086</w:t>
            </w:r>
            <w:commentRangeEnd w:id="0"/>
            <w:r>
              <w:rPr>
                <w:rStyle w:val="28"/>
              </w:rPr>
              <w:commentReference w:id="0"/>
            </w:r>
          </w:p>
          <w:p>
            <w:pPr>
              <w:widowControl w:val="0"/>
              <w:spacing w:after="0"/>
              <w:jc w:val="left"/>
            </w:pPr>
            <w:commentRangeStart w:id="1"/>
            <w:r>
              <w:rPr>
                <w:color w:val="FF0000"/>
              </w:rPr>
              <w:t>R1-2003973</w:t>
            </w:r>
            <w:commentRangeEnd w:id="1"/>
            <w:r>
              <w:rPr>
                <w:rStyle w:val="28"/>
              </w:rPr>
              <w:commentReference w:id="1"/>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2.7</w:t>
            </w:r>
          </w:p>
        </w:tc>
        <w:tc>
          <w:tcPr>
            <w:tcW w:w="5284" w:type="dxa"/>
          </w:tcPr>
          <w:p>
            <w:pPr>
              <w:widowControl w:val="0"/>
              <w:spacing w:after="0"/>
              <w:jc w:val="left"/>
              <w:rPr>
                <w:rFonts w:eastAsiaTheme="minorEastAsia"/>
                <w:lang w:val="en-GB" w:eastAsia="zh-CN"/>
              </w:rPr>
            </w:pPr>
            <w:r>
              <w:rPr>
                <w:rFonts w:eastAsiaTheme="minorEastAsia"/>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pPr>
              <w:widowControl w:val="0"/>
              <w:spacing w:after="0"/>
              <w:jc w:val="left"/>
            </w:pPr>
            <w:r>
              <w:t>R1-2004086</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2.8</w:t>
            </w:r>
          </w:p>
        </w:tc>
        <w:tc>
          <w:tcPr>
            <w:tcW w:w="5284" w:type="dxa"/>
          </w:tcPr>
          <w:p>
            <w:pPr>
              <w:widowControl w:val="0"/>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pPr>
              <w:widowControl w:val="0"/>
              <w:spacing w:after="0"/>
              <w:jc w:val="left"/>
            </w:pPr>
            <w:r>
              <w:t>R1-2004086</w:t>
            </w:r>
          </w:p>
        </w:tc>
        <w:tc>
          <w:tcPr>
            <w:tcW w:w="1374" w:type="dxa"/>
          </w:tcPr>
          <w:p>
            <w:pPr>
              <w:widowControl w:val="0"/>
              <w:spacing w:after="0"/>
              <w:jc w:val="left"/>
              <w:rPr>
                <w:rFonts w:eastAsiaTheme="minorEastAsia"/>
                <w:lang w:eastAsia="zh-CN"/>
              </w:rPr>
            </w:pPr>
            <w:r>
              <w:rPr>
                <w:rFonts w:eastAsiaTheme="minorEastAsia"/>
                <w:lang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2.9</w:t>
            </w:r>
          </w:p>
        </w:tc>
        <w:tc>
          <w:tcPr>
            <w:tcW w:w="5284" w:type="dxa"/>
          </w:tcPr>
          <w:p>
            <w:pPr>
              <w:widowControl w:val="0"/>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pPr>
              <w:widowControl w:val="0"/>
              <w:spacing w:after="0"/>
              <w:jc w:val="left"/>
            </w:pPr>
            <w:r>
              <w:t>R1-2004001</w:t>
            </w:r>
          </w:p>
        </w:tc>
        <w:tc>
          <w:tcPr>
            <w:tcW w:w="1374" w:type="dxa"/>
          </w:tcPr>
          <w:p>
            <w:pPr>
              <w:widowControl w:val="0"/>
              <w:spacing w:after="0"/>
              <w:jc w:val="left"/>
              <w:rPr>
                <w:rFonts w:eastAsiaTheme="minorEastAsia"/>
                <w:lang w:eastAsia="zh-CN"/>
              </w:rPr>
            </w:pPr>
            <w:r>
              <w:rPr>
                <w:rFonts w:eastAsiaTheme="minorEastAsia"/>
                <w:lang w:eastAsia="zh-CN"/>
              </w:rPr>
              <w:t>N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2.10</w:t>
            </w:r>
          </w:p>
        </w:tc>
        <w:tc>
          <w:tcPr>
            <w:tcW w:w="5284" w:type="dxa"/>
          </w:tcPr>
          <w:p>
            <w:pPr>
              <w:widowControl w:val="0"/>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pPr>
              <w:widowControl w:val="0"/>
              <w:spacing w:after="0"/>
              <w:jc w:val="left"/>
            </w:pPr>
            <w:r>
              <w:t>R1-2003451</w:t>
            </w:r>
          </w:p>
        </w:tc>
        <w:tc>
          <w:tcPr>
            <w:tcW w:w="1374" w:type="dxa"/>
          </w:tcPr>
          <w:p>
            <w:pPr>
              <w:widowControl w:val="0"/>
              <w:spacing w:after="0"/>
              <w:jc w:val="left"/>
              <w:rPr>
                <w:rFonts w:eastAsiaTheme="minorEastAsia"/>
                <w:lang w:eastAsia="zh-CN"/>
              </w:rPr>
            </w:pPr>
            <w:r>
              <w:rPr>
                <w:rFonts w:eastAsiaTheme="minorEastAsia"/>
                <w:lang w:eastAsia="zh-CN"/>
              </w:rPr>
              <w:t>N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2.11</w:t>
            </w:r>
          </w:p>
        </w:tc>
        <w:tc>
          <w:tcPr>
            <w:tcW w:w="5284" w:type="dxa"/>
          </w:tcPr>
          <w:p>
            <w:pPr>
              <w:widowControl w:val="0"/>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pPr>
              <w:widowControl w:val="0"/>
              <w:spacing w:after="0"/>
              <w:jc w:val="left"/>
            </w:pPr>
            <w:r>
              <w:t>R1-2004086</w:t>
            </w:r>
          </w:p>
        </w:tc>
        <w:tc>
          <w:tcPr>
            <w:tcW w:w="1374" w:type="dxa"/>
          </w:tcPr>
          <w:p>
            <w:pPr>
              <w:widowControl w:val="0"/>
              <w:spacing w:after="0"/>
              <w:jc w:val="left"/>
              <w:rPr>
                <w:rFonts w:eastAsiaTheme="minorEastAsia"/>
                <w:lang w:eastAsia="zh-CN"/>
              </w:rPr>
            </w:pPr>
            <w:r>
              <w:rPr>
                <w:rFonts w:eastAsiaTheme="minorEastAsia"/>
                <w:lang w:eastAsia="zh-CN"/>
              </w:rPr>
              <w:t>Covered in AI 7.2.2.1.1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2.12</w:t>
            </w:r>
          </w:p>
        </w:tc>
        <w:tc>
          <w:tcPr>
            <w:tcW w:w="5284" w:type="dxa"/>
          </w:tcPr>
          <w:p>
            <w:pPr>
              <w:widowControl w:val="0"/>
              <w:rPr>
                <w:iCs/>
              </w:rPr>
            </w:pPr>
            <w:r>
              <w:rPr>
                <w:iCs/>
              </w:rPr>
              <w:t>Reflect RAN4 agreement that UE is allowed to take any active SCell in the cell group as timing reference cell in TS 38.213 Subclause 4.1.</w:t>
            </w:r>
          </w:p>
        </w:tc>
        <w:tc>
          <w:tcPr>
            <w:tcW w:w="1674" w:type="dxa"/>
          </w:tcPr>
          <w:p>
            <w:pPr>
              <w:widowControl w:val="0"/>
              <w:spacing w:after="0"/>
              <w:jc w:val="left"/>
            </w:pPr>
            <w:r>
              <w:t>R1-2003451</w:t>
            </w:r>
            <w:r>
              <w:br w:type="textWrapping"/>
            </w:r>
            <w:r>
              <w:t>R1-2003844 (no RAN1 impact)</w:t>
            </w:r>
          </w:p>
        </w:tc>
        <w:tc>
          <w:tcPr>
            <w:tcW w:w="1374" w:type="dxa"/>
          </w:tcPr>
          <w:p>
            <w:pPr>
              <w:widowControl w:val="0"/>
              <w:spacing w:after="0"/>
              <w:jc w:val="left"/>
              <w:rPr>
                <w:rFonts w:eastAsiaTheme="minorEastAsia"/>
                <w:lang w:eastAsia="zh-CN"/>
              </w:rPr>
            </w:pPr>
            <w:r>
              <w:rPr>
                <w:rFonts w:eastAsiaTheme="minorEastAsia"/>
                <w:lang w:eastAsia="zh-CN"/>
              </w:rPr>
              <w:t>To be managed under 7.2.2 per R1-2004680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2.13</w:t>
            </w:r>
          </w:p>
        </w:tc>
        <w:tc>
          <w:tcPr>
            <w:tcW w:w="5284" w:type="dxa"/>
          </w:tcPr>
          <w:p>
            <w:pPr>
              <w:widowControl w:val="0"/>
              <w:rPr>
                <w:iCs/>
              </w:rPr>
            </w:pPr>
            <w:r>
              <w:rPr>
                <w:iCs/>
              </w:rPr>
              <w:t>Within a fixed frame period, only up to the first 8 candidate SSB positions are considered valid, and no PDSCH rate matching and no RLM/RRM measurement will be done for the remaining candidate SSB positions in the FFP. For FBE, the DRS window length is no longer than an FFP.</w:t>
            </w:r>
          </w:p>
        </w:tc>
        <w:tc>
          <w:tcPr>
            <w:tcW w:w="1674" w:type="dxa"/>
          </w:tcPr>
          <w:p>
            <w:pPr>
              <w:widowControl w:val="0"/>
              <w:spacing w:after="0"/>
              <w:jc w:val="left"/>
            </w:pPr>
            <w:r>
              <w:t>R1-2004444</w:t>
            </w:r>
            <w:r>
              <w:br w:type="textWrapping"/>
            </w:r>
            <w:r>
              <w:t>R1-2003513</w:t>
            </w:r>
          </w:p>
        </w:tc>
        <w:tc>
          <w:tcPr>
            <w:tcW w:w="1374" w:type="dxa"/>
          </w:tcPr>
          <w:p>
            <w:pPr>
              <w:widowControl w:val="0"/>
              <w:spacing w:after="0"/>
              <w:jc w:val="left"/>
              <w:rPr>
                <w:rFonts w:eastAsiaTheme="minorEastAsia"/>
                <w:lang w:eastAsia="zh-CN"/>
              </w:rPr>
            </w:pPr>
            <w:r>
              <w:rPr>
                <w:rFonts w:eastAsiaTheme="minorEastAsia"/>
                <w:lang w:eastAsia="zh-CN"/>
              </w:rPr>
              <w:t>N (No consensus on related proposals in previous two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2.14</w:t>
            </w:r>
          </w:p>
        </w:tc>
        <w:tc>
          <w:tcPr>
            <w:tcW w:w="5284" w:type="dxa"/>
          </w:tcPr>
          <w:p>
            <w:pPr>
              <w:widowControl w:val="0"/>
              <w:rPr>
                <w:bCs/>
                <w:iCs/>
                <w:lang w:val="en-GB"/>
              </w:rPr>
            </w:pPr>
            <w:r>
              <w:rPr>
                <w:bCs/>
                <w:iCs/>
                <w:lang w:val="en-GB"/>
              </w:rPr>
              <w:t>RAN1 clarifies one from the following alternatives:</w:t>
            </w:r>
          </w:p>
          <w:p>
            <w:pPr>
              <w:widowControl w:val="0"/>
              <w:rPr>
                <w:bCs/>
                <w:iCs/>
                <w:lang w:val="en-GB"/>
              </w:rPr>
            </w:pPr>
            <w:r>
              <w:rPr>
                <w:bCs/>
                <w:iCs/>
                <w:lang w:val="en-GB"/>
              </w:rPr>
              <w:t>•</w:t>
            </w:r>
            <w:r>
              <w:rPr>
                <w:bCs/>
                <w:iCs/>
                <w:lang w:val="en-GB"/>
              </w:rPr>
              <w:tab/>
            </w:r>
            <w:r>
              <w:rPr>
                <w:bCs/>
                <w:iCs/>
                <w:lang w:val="en-GB"/>
              </w:rPr>
              <w:t>Alt 1: Only support single SS/PBCH block burst transmission and single associated LBT procedure in a discovery burst transmission window.</w:t>
            </w:r>
          </w:p>
          <w:p>
            <w:pPr>
              <w:widowControl w:val="0"/>
              <w:rPr>
                <w:bCs/>
                <w:iCs/>
                <w:lang w:val="en-GB"/>
              </w:rPr>
            </w:pPr>
            <w:r>
              <w:rPr>
                <w:bCs/>
                <w:iCs/>
                <w:lang w:val="en-GB"/>
              </w:rPr>
              <w:t>o</w:t>
            </w:r>
            <w:r>
              <w:rPr>
                <w:bCs/>
                <w:iCs/>
                <w:lang w:val="en-GB"/>
              </w:rPr>
              <w:tab/>
            </w:r>
            <w:r>
              <w:rPr>
                <w:bCs/>
                <w:iCs/>
                <w:lang w:val="en-GB"/>
              </w:rPr>
              <w:t>Spec impact: UE can assume the difference between the first and last candidate SS/PBCH block index of the transmission burst is smaller than Q.</w:t>
            </w:r>
          </w:p>
          <w:p>
            <w:pPr>
              <w:widowControl w:val="0"/>
              <w:rPr>
                <w:bCs/>
                <w:iCs/>
                <w:lang w:val="en-GB"/>
              </w:rPr>
            </w:pPr>
            <w:r>
              <w:rPr>
                <w:bCs/>
                <w:iCs/>
                <w:lang w:val="en-GB"/>
              </w:rPr>
              <w:t>•</w:t>
            </w:r>
            <w:r>
              <w:rPr>
                <w:bCs/>
                <w:iCs/>
                <w:lang w:val="en-GB"/>
              </w:rPr>
              <w:tab/>
            </w:r>
            <w:r>
              <w:rPr>
                <w:bCs/>
                <w:iCs/>
                <w:lang w:val="en-GB"/>
              </w:rPr>
              <w:t>Alt 2: Support multiple SS/PBCH block bursts transmission in a discovery burst transmission window, wherein each SS/PBCH block burst is associated with a separate LBT procedure.</w:t>
            </w:r>
          </w:p>
          <w:p>
            <w:pPr>
              <w:widowControl w:val="0"/>
              <w:rPr>
                <w:bCs/>
                <w:iCs/>
                <w:lang w:val="en-GB"/>
              </w:rPr>
            </w:pPr>
            <w:r>
              <w:rPr>
                <w:bCs/>
                <w:iCs/>
                <w:lang w:val="en-GB"/>
              </w:rPr>
              <w:t>o</w:t>
            </w:r>
            <w:r>
              <w:rPr>
                <w:bCs/>
                <w:iCs/>
                <w:lang w:val="en-GB"/>
              </w:rPr>
              <w:tab/>
            </w:r>
            <w:r>
              <w:rPr>
                <w:bCs/>
                <w:iCs/>
                <w:lang w:val="en-GB"/>
              </w:rPr>
              <w:t>No spec impact.</w:t>
            </w:r>
          </w:p>
        </w:tc>
        <w:tc>
          <w:tcPr>
            <w:tcW w:w="1674" w:type="dxa"/>
          </w:tcPr>
          <w:p>
            <w:pPr>
              <w:widowControl w:val="0"/>
              <w:spacing w:after="0"/>
              <w:jc w:val="left"/>
            </w:pPr>
            <w:r>
              <w:t>R1-2003861</w:t>
            </w:r>
          </w:p>
        </w:tc>
        <w:tc>
          <w:tcPr>
            <w:tcW w:w="1374" w:type="dxa"/>
          </w:tcPr>
          <w:p>
            <w:pPr>
              <w:widowControl w:val="0"/>
              <w:spacing w:after="0"/>
              <w:jc w:val="left"/>
              <w:rPr>
                <w:rFonts w:eastAsiaTheme="minorEastAsia"/>
                <w:lang w:eastAsia="zh-CN"/>
              </w:rPr>
            </w:pPr>
            <w:r>
              <w:rPr>
                <w:rFonts w:eastAsiaTheme="minorEastAsia"/>
                <w:lang w:eastAsia="zh-CN"/>
              </w:rPr>
              <w:t>N (This is more appropriate for AI 7.2.2.2.1, FL will make this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2.15</w:t>
            </w:r>
          </w:p>
        </w:tc>
        <w:tc>
          <w:tcPr>
            <w:tcW w:w="5284" w:type="dxa"/>
          </w:tcPr>
          <w:p>
            <w:pPr>
              <w:pStyle w:val="64"/>
              <w:widowControl w:val="0"/>
              <w:numPr>
                <w:ilvl w:val="0"/>
                <w:numId w:val="0"/>
              </w:numPr>
              <w:jc w:val="left"/>
              <w:rPr>
                <w:rFonts w:ascii="Times New Roman" w:hAnsi="Times New Roman" w:cs="Times New Roman"/>
                <w:b w:val="0"/>
              </w:rPr>
            </w:pPr>
            <w:bookmarkStart w:id="6" w:name="_Toc40463382"/>
            <w:r>
              <w:rPr>
                <w:rFonts w:ascii="Times New Roman" w:hAnsi="Times New Roman" w:cs="Times New Roman"/>
                <w:b w:val="0"/>
              </w:rPr>
              <w:t>Reply to RAN4 LS on NR-U SSB monitoring:</w:t>
            </w:r>
          </w:p>
          <w:p>
            <w:pPr>
              <w:pStyle w:val="64"/>
              <w:widowControl w:val="0"/>
              <w:numPr>
                <w:ilvl w:val="0"/>
                <w:numId w:val="0"/>
              </w:numPr>
              <w:jc w:val="left"/>
              <w:rPr>
                <w:rFonts w:ascii="Times New Roman" w:hAnsi="Times New Roman" w:cs="Times New Roman"/>
                <w:b w:val="0"/>
              </w:rPr>
            </w:pPr>
            <w:r>
              <w:rPr>
                <w:rFonts w:ascii="Times New Roman" w:hAnsi="Times New Roman" w:cs="Times New Roman"/>
                <w:b w:val="0"/>
              </w:rPr>
              <w:t>Proposals: If defined, N1/N2 should be fixed in the RAN4 specifications and not be a UE capability.</w:t>
            </w:r>
            <w:bookmarkEnd w:id="6"/>
          </w:p>
          <w:p>
            <w:pPr>
              <w:pStyle w:val="64"/>
              <w:widowControl w:val="0"/>
              <w:numPr>
                <w:ilvl w:val="0"/>
                <w:numId w:val="0"/>
              </w:numPr>
              <w:jc w:val="left"/>
              <w:rPr>
                <w:rFonts w:ascii="Times New Roman" w:hAnsi="Times New Roman" w:cs="Times New Roman"/>
                <w:b w:val="0"/>
              </w:rPr>
            </w:pPr>
            <w:bookmarkStart w:id="7" w:name="_Toc40463383"/>
            <w:r>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7"/>
          </w:p>
          <w:p>
            <w:pPr>
              <w:pStyle w:val="64"/>
              <w:widowControl w:val="0"/>
              <w:numPr>
                <w:ilvl w:val="0"/>
                <w:numId w:val="0"/>
              </w:numPr>
              <w:jc w:val="left"/>
              <w:rPr>
                <w:rFonts w:ascii="Times New Roman" w:hAnsi="Times New Roman" w:cs="Times New Roman"/>
                <w:b w:val="0"/>
              </w:rPr>
            </w:pPr>
            <w:bookmarkStart w:id="8" w:name="_Toc40463384"/>
            <w:r>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8"/>
          </w:p>
          <w:p>
            <w:pPr>
              <w:widowControl w:val="0"/>
              <w:rPr>
                <w:bCs/>
                <w:iCs/>
                <w:lang w:val="en-GB"/>
              </w:rPr>
            </w:pPr>
            <w:bookmarkStart w:id="9" w:name="_Toc40463385"/>
            <w:r>
              <w:t>The values of N1/N2 should be the same for LBE and FBE. Inform RAN4 of this decision.</w:t>
            </w:r>
            <w:bookmarkEnd w:id="9"/>
          </w:p>
        </w:tc>
        <w:tc>
          <w:tcPr>
            <w:tcW w:w="1674" w:type="dxa"/>
          </w:tcPr>
          <w:p>
            <w:pPr>
              <w:widowControl w:val="0"/>
              <w:spacing w:after="0"/>
              <w:jc w:val="left"/>
            </w:pPr>
            <w:r>
              <w:t>R1-2003844</w:t>
            </w:r>
            <w:r>
              <w:br w:type="textWrapping"/>
            </w:r>
            <w:r>
              <w:t>R1-2003513</w:t>
            </w:r>
            <w:r>
              <w:br w:type="textWrapping"/>
            </w:r>
            <w:bookmarkStart w:id="10" w:name="_Hlk525833065"/>
            <w:r>
              <w:rPr>
                <w:szCs w:val="24"/>
                <w:lang w:val="en-GB"/>
              </w:rPr>
              <w:t>R1-</w:t>
            </w:r>
            <w:bookmarkEnd w:id="10"/>
            <w:r>
              <w:rPr>
                <w:szCs w:val="24"/>
                <w:lang w:val="en-GB"/>
              </w:rPr>
              <w:t>2004526</w:t>
            </w:r>
          </w:p>
        </w:tc>
        <w:tc>
          <w:tcPr>
            <w:tcW w:w="1374" w:type="dxa"/>
          </w:tcPr>
          <w:p>
            <w:pPr>
              <w:widowControl w:val="0"/>
              <w:spacing w:after="0"/>
              <w:jc w:val="left"/>
              <w:rPr>
                <w:rFonts w:eastAsiaTheme="minorEastAsia"/>
                <w:lang w:eastAsia="zh-CN"/>
              </w:rPr>
            </w:pPr>
            <w:r>
              <w:rPr>
                <w:rFonts w:eastAsiaTheme="minorEastAsia"/>
                <w:lang w:eastAsia="zh-CN"/>
              </w:rPr>
              <w:t>To be handled separately under 7.2.11.2, as per R1-2004680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5" w:type="dxa"/>
          </w:tcPr>
          <w:p>
            <w:pPr>
              <w:widowControl w:val="0"/>
              <w:spacing w:after="0"/>
              <w:rPr>
                <w:rFonts w:eastAsiaTheme="minorEastAsia"/>
                <w:lang w:eastAsia="zh-CN"/>
              </w:rPr>
            </w:pPr>
            <w:r>
              <w:rPr>
                <w:rFonts w:eastAsiaTheme="minorEastAsia"/>
                <w:lang w:eastAsia="zh-CN"/>
              </w:rPr>
              <w:t>2.16</w:t>
            </w:r>
          </w:p>
        </w:tc>
        <w:tc>
          <w:tcPr>
            <w:tcW w:w="5284" w:type="dxa"/>
          </w:tcPr>
          <w:p>
            <w:pPr>
              <w:pStyle w:val="64"/>
              <w:widowControl w:val="0"/>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pPr>
              <w:widowControl w:val="0"/>
              <w:spacing w:after="0"/>
              <w:jc w:val="left"/>
            </w:pPr>
            <w:r>
              <w:t>R1-2004526</w:t>
            </w:r>
          </w:p>
        </w:tc>
        <w:tc>
          <w:tcPr>
            <w:tcW w:w="1374" w:type="dxa"/>
          </w:tcPr>
          <w:p>
            <w:pPr>
              <w:widowControl w:val="0"/>
              <w:spacing w:after="0"/>
              <w:jc w:val="left"/>
              <w:rPr>
                <w:rFonts w:eastAsiaTheme="minorEastAsia"/>
                <w:lang w:eastAsia="zh-CN"/>
              </w:rPr>
            </w:pPr>
            <w:r>
              <w:rPr>
                <w:rFonts w:eastAsiaTheme="minorEastAsia"/>
                <w:lang w:eastAsia="zh-CN"/>
              </w:rPr>
              <w:t>N (editorial change, plus better suited to AI 7.2.2.1.1)</w:t>
            </w:r>
          </w:p>
        </w:tc>
      </w:tr>
    </w:tbl>
    <w:p>
      <w:pPr>
        <w:spacing w:after="0"/>
        <w:rPr>
          <w:rFonts w:eastAsiaTheme="minorEastAsia"/>
          <w:lang w:eastAsia="zh-CN"/>
        </w:rPr>
      </w:pPr>
    </w:p>
    <w:p>
      <w:pPr>
        <w:pStyle w:val="2"/>
        <w:rPr>
          <w:rFonts w:eastAsiaTheme="minorEastAsia"/>
          <w:lang w:eastAsia="zh-CN"/>
        </w:rPr>
      </w:pPr>
      <w:r>
        <w:t>Corrections for RACH</w:t>
      </w:r>
    </w:p>
    <w:p>
      <w:pPr>
        <w:spacing w:after="0"/>
        <w:rPr>
          <w:rFonts w:eastAsiaTheme="minorEastAsia"/>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5454"/>
        <w:gridCol w:w="16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hint="eastAsia" w:eastAsiaTheme="minorEastAsia"/>
                <w:lang w:eastAsia="zh-CN"/>
              </w:rPr>
              <w:t>Issue #</w:t>
            </w:r>
          </w:p>
        </w:tc>
        <w:tc>
          <w:tcPr>
            <w:tcW w:w="5454" w:type="dxa"/>
          </w:tcPr>
          <w:p>
            <w:pPr>
              <w:widowControl w:val="0"/>
              <w:spacing w:after="0"/>
              <w:rPr>
                <w:rFonts w:eastAsiaTheme="minorEastAsia"/>
                <w:lang w:eastAsia="zh-CN"/>
              </w:rPr>
            </w:pPr>
            <w:r>
              <w:rPr>
                <w:rFonts w:hint="eastAsia" w:eastAsiaTheme="minorEastAsia"/>
                <w:lang w:eastAsia="zh-CN"/>
              </w:rPr>
              <w:t>Description</w:t>
            </w:r>
          </w:p>
        </w:tc>
        <w:tc>
          <w:tcPr>
            <w:tcW w:w="1674" w:type="dxa"/>
          </w:tcPr>
          <w:p>
            <w:pPr>
              <w:widowControl w:val="0"/>
              <w:spacing w:after="0"/>
              <w:jc w:val="left"/>
              <w:rPr>
                <w:rFonts w:eastAsiaTheme="minorEastAsia"/>
                <w:lang w:eastAsia="zh-CN"/>
              </w:rPr>
            </w:pPr>
            <w:r>
              <w:rPr>
                <w:rFonts w:hint="eastAsia" w:eastAsiaTheme="minorEastAsia"/>
                <w:lang w:eastAsia="zh-CN"/>
              </w:rPr>
              <w:t>Tdoc</w:t>
            </w:r>
          </w:p>
        </w:tc>
        <w:tc>
          <w:tcPr>
            <w:tcW w:w="1374" w:type="dxa"/>
          </w:tcPr>
          <w:p>
            <w:pPr>
              <w:widowControl w:val="0"/>
              <w:spacing w:after="0"/>
              <w:jc w:val="left"/>
              <w:rPr>
                <w:rFonts w:eastAsiaTheme="minorEastAsia"/>
                <w:lang w:eastAsia="zh-CN"/>
              </w:rPr>
            </w:pPr>
            <w:r>
              <w:rPr>
                <w:rFonts w:eastAsiaTheme="minorEastAsia"/>
                <w:lang w:eastAsia="zh-CN"/>
              </w:rPr>
              <w:t>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3.1</w:t>
            </w:r>
          </w:p>
        </w:tc>
        <w:tc>
          <w:tcPr>
            <w:tcW w:w="5454" w:type="dxa"/>
          </w:tcPr>
          <w:p>
            <w:pPr>
              <w:widowControl w:val="0"/>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pPr>
              <w:widowControl w:val="0"/>
              <w:spacing w:after="0"/>
              <w:jc w:val="left"/>
            </w:pPr>
            <w:r>
              <w:rPr>
                <w:lang w:eastAsia="zh-CN"/>
              </w:rPr>
              <w:t>R1-2003371</w:t>
            </w:r>
          </w:p>
        </w:tc>
        <w:tc>
          <w:tcPr>
            <w:tcW w:w="1374" w:type="dxa"/>
          </w:tcPr>
          <w:p>
            <w:pPr>
              <w:widowControl w:val="0"/>
              <w:spacing w:after="0"/>
              <w:jc w:val="left"/>
              <w:rPr>
                <w:rFonts w:eastAsiaTheme="minorEastAsia"/>
                <w:lang w:eastAsia="zh-CN"/>
              </w:rPr>
            </w:pPr>
            <w:r>
              <w:rPr>
                <w:rFonts w:eastAsiaTheme="minorEastAsia"/>
                <w:lang w:eastAsia="zh-CN"/>
              </w:rPr>
              <w:t>N, treated in last meeting without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3.2</w:t>
            </w:r>
          </w:p>
        </w:tc>
        <w:tc>
          <w:tcPr>
            <w:tcW w:w="5454" w:type="dxa"/>
          </w:tcPr>
          <w:p>
            <w:pPr>
              <w:widowControl w:val="0"/>
              <w:spacing w:after="0"/>
              <w:jc w:val="left"/>
              <w:rPr>
                <w:rFonts w:eastAsia="MS Mincho"/>
              </w:rPr>
            </w:pPr>
            <w:r>
              <w:rPr>
                <w:rFonts w:eastAsia="MS Mincho"/>
              </w:rPr>
              <w:t>MsgA PRACH-PUSCH gap:</w:t>
            </w:r>
          </w:p>
          <w:p>
            <w:pPr>
              <w:widowControl w:val="0"/>
              <w:spacing w:after="0"/>
              <w:jc w:val="left"/>
              <w:rPr>
                <w:rFonts w:eastAsia="MS Mincho"/>
              </w:rPr>
            </w:pPr>
          </w:p>
          <w:p>
            <w:pPr>
              <w:widowControl w:val="0"/>
              <w:rPr>
                <w:lang w:val="en-GB" w:eastAsia="zh-CN"/>
              </w:rPr>
            </w:pPr>
            <w:r>
              <w:rPr>
                <w:lang w:val="en-GB" w:eastAsia="zh-CN"/>
              </w:rPr>
              <w:t xml:space="preserve">For the minimum value N of the MsgA PRACH-PUSCH gap in NR-U, select one of the alternatives in RAN1 #101-e: </w:t>
            </w:r>
          </w:p>
          <w:p>
            <w:pPr>
              <w:pStyle w:val="45"/>
              <w:widowControl w:val="0"/>
              <w:numPr>
                <w:ilvl w:val="0"/>
                <w:numId w:val="5"/>
              </w:numPr>
              <w:rPr>
                <w:rFonts w:ascii="Times New Roman" w:hAnsi="Times New Roman"/>
                <w:sz w:val="22"/>
                <w:lang w:val="en-GB" w:eastAsia="zh-CN"/>
              </w:rPr>
            </w:pPr>
            <w:r>
              <w:rPr>
                <w:rFonts w:ascii="Times New Roman" w:hAnsi="Times New Roman"/>
                <w:sz w:val="22"/>
                <w:lang w:val="en-GB" w:eastAsia="zh-CN"/>
              </w:rPr>
              <w:t xml:space="preserve">Alt 1: N=2 (same as licensed operation) </w:t>
            </w:r>
          </w:p>
          <w:p>
            <w:pPr>
              <w:pStyle w:val="45"/>
              <w:widowControl w:val="0"/>
              <w:numPr>
                <w:ilvl w:val="0"/>
                <w:numId w:val="5"/>
              </w:numPr>
              <w:rPr>
                <w:rFonts w:ascii="Times New Roman" w:hAnsi="Times New Roman"/>
                <w:sz w:val="22"/>
                <w:lang w:val="en-GB" w:eastAsia="zh-CN"/>
              </w:rPr>
            </w:pPr>
            <w:r>
              <w:rPr>
                <w:rFonts w:ascii="Times New Roman" w:hAnsi="Times New Roman"/>
                <w:sz w:val="22"/>
                <w:lang w:val="en-GB" w:eastAsia="zh-CN"/>
              </w:rPr>
              <w:t>Alt 2: N can be smaller than 2 for identified cases, and N=2 for the rest</w:t>
            </w:r>
          </w:p>
          <w:p>
            <w:pPr>
              <w:pStyle w:val="45"/>
              <w:widowControl w:val="0"/>
              <w:numPr>
                <w:ilvl w:val="1"/>
                <w:numId w:val="5"/>
              </w:numPr>
              <w:rPr>
                <w:rFonts w:ascii="Times New Roman" w:hAnsi="Times New Roman"/>
                <w:sz w:val="22"/>
                <w:lang w:val="en-GB" w:eastAsia="zh-CN"/>
              </w:rPr>
            </w:pPr>
            <w:r>
              <w:rPr>
                <w:rFonts w:ascii="Times New Roman" w:hAnsi="Times New Roman"/>
                <w:sz w:val="22"/>
                <w:lang w:val="en-GB" w:eastAsia="zh-CN"/>
              </w:rPr>
              <w:t>For example, N = [0 or 1] when MsgA PUSCH has the same SCS and bandwidth as MsgA PRACH</w:t>
            </w:r>
          </w:p>
          <w:p>
            <w:pPr>
              <w:pStyle w:val="45"/>
              <w:widowControl w:val="0"/>
              <w:numPr>
                <w:ilvl w:val="0"/>
                <w:numId w:val="5"/>
              </w:numPr>
              <w:rPr>
                <w:rFonts w:ascii="Times New Roman" w:hAnsi="Times New Roman"/>
                <w:sz w:val="22"/>
                <w:lang w:val="en-GB" w:eastAsia="zh-CN"/>
              </w:rPr>
            </w:pPr>
            <w:r>
              <w:rPr>
                <w:rFonts w:ascii="Times New Roman" w:hAnsi="Times New Roman"/>
                <w:sz w:val="22"/>
                <w:lang w:val="en-GB" w:eastAsia="zh-CN"/>
              </w:rPr>
              <w:t xml:space="preserve">Note: it can be further discussed whether existing CP extension scheme can be applicable for the identified cases </w:t>
            </w:r>
          </w:p>
          <w:p>
            <w:pPr>
              <w:widowControl w:val="0"/>
              <w:spacing w:after="0"/>
              <w:jc w:val="left"/>
              <w:rPr>
                <w:rFonts w:eastAsiaTheme="minorEastAsia"/>
                <w:lang w:eastAsia="zh-CN"/>
              </w:rPr>
            </w:pPr>
          </w:p>
        </w:tc>
        <w:tc>
          <w:tcPr>
            <w:tcW w:w="1674" w:type="dxa"/>
          </w:tcPr>
          <w:p>
            <w:pPr>
              <w:widowControl w:val="0"/>
              <w:spacing w:after="0"/>
              <w:jc w:val="left"/>
            </w:pPr>
            <w:r>
              <w:rPr>
                <w:lang w:val="fr-FR"/>
              </w:rPr>
              <w:t>R1-2003657</w:t>
            </w:r>
            <w:r>
              <w:rPr>
                <w:lang w:val="fr-FR"/>
              </w:rPr>
              <w:br w:type="textWrapping"/>
            </w:r>
            <w:r>
              <w:t>R1-2003451</w:t>
            </w:r>
            <w:r>
              <w:br w:type="textWrapping"/>
            </w:r>
            <w:r>
              <w:rPr>
                <w:shd w:val="clear" w:color="auto" w:fill="FFFFFF" w:themeFill="background1"/>
                <w:lang w:eastAsia="zh-CN"/>
              </w:rPr>
              <w:t>R1-2004014</w:t>
            </w:r>
            <w:r>
              <w:rPr>
                <w:shd w:val="clear" w:color="auto" w:fill="FFFFFF" w:themeFill="background1"/>
                <w:lang w:eastAsia="zh-CN"/>
              </w:rPr>
              <w:br w:type="textWrapping"/>
            </w:r>
            <w:r>
              <w:t>R1-2003861</w:t>
            </w:r>
            <w:r>
              <w:br w:type="textWrapping"/>
            </w:r>
            <w:r>
              <w:t>R1-2003844</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3.3</w:t>
            </w:r>
          </w:p>
        </w:tc>
        <w:tc>
          <w:tcPr>
            <w:tcW w:w="5454" w:type="dxa"/>
          </w:tcPr>
          <w:p>
            <w:pPr>
              <w:widowControl w:val="0"/>
              <w:spacing w:after="0"/>
              <w:jc w:val="left"/>
              <w:rPr>
                <w:rFonts w:eastAsiaTheme="minorEastAsia"/>
                <w:lang w:eastAsia="zh-CN"/>
              </w:rPr>
            </w:pPr>
            <w:r>
              <w:rPr>
                <w:iCs/>
                <w:lang w:eastAsia="zh-CN"/>
              </w:rPr>
              <w:t>How the UE should detect DL transmission in the case of an FFP for which no SSB/RMSI is transmitted by the network:</w:t>
            </w:r>
          </w:p>
          <w:p>
            <w:pPr>
              <w:widowControl w:val="0"/>
              <w:spacing w:after="0"/>
              <w:jc w:val="left"/>
              <w:rPr>
                <w:rFonts w:eastAsiaTheme="minorEastAsia"/>
                <w:lang w:eastAsia="zh-CN"/>
              </w:rPr>
            </w:pPr>
          </w:p>
          <w:p>
            <w:pPr>
              <w:widowControl w:val="0"/>
              <w:spacing w:after="0"/>
              <w:jc w:val="left"/>
              <w:rPr>
                <w:rFonts w:eastAsiaTheme="minorEastAsia"/>
                <w:lang w:eastAsia="zh-CN"/>
              </w:rPr>
            </w:pPr>
            <w:r>
              <w:rPr>
                <w:rFonts w:eastAsiaTheme="minorEastAsia"/>
                <w:lang w:eastAsia="zh-CN"/>
              </w:rPr>
              <w:t xml:space="preserve">When a UE is not provided with C-RNTI and is configured with ChannelAccessMode-r16 = semistatic: </w:t>
            </w:r>
          </w:p>
          <w:p>
            <w:pPr>
              <w:widowControl w:val="0"/>
              <w:spacing w:after="0"/>
              <w:jc w:val="left"/>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 xml:space="preserve">a DCI payload size may be also provided to the UE via the semiStaticChannelAccessConfig-r16 field. </w:t>
            </w:r>
          </w:p>
          <w:p>
            <w:pPr>
              <w:widowControl w:val="0"/>
              <w:spacing w:after="0"/>
              <w:jc w:val="left"/>
              <w:rPr>
                <w:rFonts w:eastAsiaTheme="minorEastAsia"/>
                <w:lang w:eastAsia="zh-CN"/>
              </w:rPr>
            </w:pPr>
            <w:r>
              <w:rPr>
                <w:rFonts w:eastAsiaTheme="minorEastAsia"/>
                <w:lang w:eastAsia="zh-CN"/>
              </w:rPr>
              <w:t>•</w:t>
            </w:r>
            <w:r>
              <w:rPr>
                <w:rFonts w:eastAsiaTheme="minorEastAsia"/>
                <w:lang w:eastAsia="zh-CN"/>
              </w:rPr>
              <w:tab/>
            </w:r>
            <w:r>
              <w:rPr>
                <w:rFonts w:eastAsiaTheme="minorEastAsia"/>
                <w:lang w:eastAsia="zh-CN"/>
              </w:rPr>
              <w:t>UE assumes that FFP is acquired by gNB if detects PDCCH of configured payload size scrambled with SI-RNTI in the lowest PDCCH candidate of TYPE0 CSS in the first slot of the FFP containing at least one valid RO.n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pPr>
              <w:widowControl w:val="0"/>
              <w:spacing w:after="0"/>
              <w:jc w:val="left"/>
            </w:pPr>
            <w:r>
              <w:t>R1-2004526</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3.4</w:t>
            </w:r>
          </w:p>
        </w:tc>
        <w:tc>
          <w:tcPr>
            <w:tcW w:w="5454" w:type="dxa"/>
          </w:tcPr>
          <w:p>
            <w:pPr>
              <w:widowControl w:val="0"/>
              <w:spacing w:after="0"/>
              <w:jc w:val="left"/>
              <w:rPr>
                <w:rFonts w:eastAsiaTheme="minorEastAsia"/>
                <w:lang w:eastAsia="zh-CN"/>
              </w:rPr>
            </w:pPr>
            <w:r>
              <w:t>Clarify and correct capturing the validation of SFN LSBs in Section 8.2 and 8.2A of TS 38.213, respectively and consider some special cases, e.g., RAR window size of &lt;=10ms and contention-free random access (CFRA).</w:t>
            </w:r>
          </w:p>
        </w:tc>
        <w:tc>
          <w:tcPr>
            <w:tcW w:w="1674" w:type="dxa"/>
          </w:tcPr>
          <w:p>
            <w:pPr>
              <w:widowControl w:val="0"/>
              <w:spacing w:after="0"/>
              <w:jc w:val="left"/>
              <w:rPr>
                <w:lang w:eastAsia="zh-CN"/>
              </w:rPr>
            </w:pPr>
            <w:r>
              <w:t>R1-2003451</w:t>
            </w:r>
            <w:r>
              <w:br w:type="textWrapping"/>
            </w:r>
            <w:r>
              <w:rPr>
                <w:lang w:eastAsia="zh-CN"/>
              </w:rPr>
              <w:t>R1-2004014</w:t>
            </w:r>
            <w:r>
              <w:rPr>
                <w:lang w:eastAsia="zh-CN"/>
              </w:rPr>
              <w:br w:type="textWrapping"/>
            </w:r>
            <w:r>
              <w:rPr>
                <w:lang w:eastAsia="zh-CN"/>
              </w:rPr>
              <w:t>R1-2004444</w:t>
            </w:r>
            <w:r>
              <w:rPr>
                <w:lang w:eastAsia="zh-CN"/>
              </w:rPr>
              <w:br w:type="textWrapping"/>
            </w:r>
            <w:r>
              <w:rPr>
                <w:lang w:eastAsia="zh-CN"/>
              </w:rPr>
              <w:t>R1-2003844</w:t>
            </w:r>
            <w:r>
              <w:rPr>
                <w:lang w:eastAsia="zh-CN"/>
              </w:rPr>
              <w:br w:type="textWrapping"/>
            </w:r>
            <w:r>
              <w:rPr>
                <w:lang w:eastAsia="zh-CN"/>
              </w:rPr>
              <w:t>R1-2003513</w:t>
            </w:r>
            <w:r>
              <w:rPr>
                <w:lang w:eastAsia="zh-CN"/>
              </w:rPr>
              <w:br w:type="textWrapping"/>
            </w:r>
            <w:r>
              <w:t>R1-2004526</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3.5</w:t>
            </w:r>
          </w:p>
        </w:tc>
        <w:tc>
          <w:tcPr>
            <w:tcW w:w="5454" w:type="dxa"/>
          </w:tcPr>
          <w:p>
            <w:pPr>
              <w:widowControl w:val="0"/>
              <w:spacing w:after="0"/>
              <w:jc w:val="left"/>
            </w:pPr>
            <w:r>
              <w:t>If a PRACH occasion is overlapped (fully or partially) with a slot which contains RMSI, the PRACH occasion should be treated as invalid PRACH occasion.</w:t>
            </w:r>
          </w:p>
        </w:tc>
        <w:tc>
          <w:tcPr>
            <w:tcW w:w="1674" w:type="dxa"/>
          </w:tcPr>
          <w:p>
            <w:pPr>
              <w:widowControl w:val="0"/>
              <w:spacing w:after="0"/>
              <w:jc w:val="left"/>
            </w:pPr>
            <w:r>
              <w:t>R1-2004086</w:t>
            </w:r>
          </w:p>
        </w:tc>
        <w:tc>
          <w:tcPr>
            <w:tcW w:w="1374" w:type="dxa"/>
          </w:tcPr>
          <w:p>
            <w:pPr>
              <w:widowControl w:val="0"/>
              <w:spacing w:after="0"/>
              <w:jc w:val="left"/>
              <w:rPr>
                <w:rFonts w:eastAsiaTheme="minorEastAsia"/>
                <w:lang w:eastAsia="zh-CN"/>
              </w:rPr>
            </w:pPr>
            <w:r>
              <w:rPr>
                <w:rFonts w:eastAsiaTheme="minorEastAsia"/>
                <w:lang w:eastAsia="zh-CN"/>
              </w:rPr>
              <w:t>N (no consensus in last meeting to prioritize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widowControl w:val="0"/>
              <w:spacing w:after="0"/>
              <w:rPr>
                <w:rFonts w:eastAsiaTheme="minorEastAsia"/>
                <w:lang w:eastAsia="zh-CN"/>
              </w:rPr>
            </w:pPr>
            <w:r>
              <w:rPr>
                <w:rFonts w:eastAsiaTheme="minorEastAsia"/>
                <w:lang w:eastAsia="zh-CN"/>
              </w:rPr>
              <w:t>3.6</w:t>
            </w:r>
          </w:p>
        </w:tc>
        <w:tc>
          <w:tcPr>
            <w:tcW w:w="5454" w:type="dxa"/>
          </w:tcPr>
          <w:p>
            <w:pPr>
              <w:widowControl w:val="0"/>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pPr>
              <w:widowControl w:val="0"/>
              <w:spacing w:after="0"/>
              <w:jc w:val="left"/>
            </w:pPr>
            <w:r>
              <w:t>R1-2004526</w:t>
            </w:r>
          </w:p>
        </w:tc>
        <w:tc>
          <w:tcPr>
            <w:tcW w:w="1374" w:type="dxa"/>
          </w:tcPr>
          <w:p>
            <w:pPr>
              <w:widowControl w:val="0"/>
              <w:spacing w:after="0"/>
              <w:jc w:val="left"/>
              <w:rPr>
                <w:rFonts w:eastAsiaTheme="minorEastAsia"/>
                <w:lang w:eastAsia="zh-CN"/>
              </w:rPr>
            </w:pPr>
            <w:r>
              <w:rPr>
                <w:rFonts w:eastAsiaTheme="minorEastAsia"/>
                <w:lang w:eastAsia="zh-CN"/>
              </w:rPr>
              <w:t>N (suggest for next meeting)</w:t>
            </w:r>
          </w:p>
        </w:tc>
      </w:tr>
    </w:tbl>
    <w:p>
      <w:pPr>
        <w:spacing w:after="0"/>
        <w:rPr>
          <w:rFonts w:eastAsiaTheme="minorEastAsia"/>
          <w:lang w:eastAsia="zh-CN"/>
        </w:rPr>
      </w:pPr>
    </w:p>
    <w:p>
      <w:pPr>
        <w:pStyle w:val="2"/>
        <w:rPr>
          <w:rFonts w:eastAsiaTheme="minorEastAsia"/>
          <w:lang w:eastAsia="zh-CN"/>
        </w:rPr>
      </w:pPr>
      <w:r>
        <w:t>Corrections for RRM/RLM</w:t>
      </w:r>
    </w:p>
    <w:p>
      <w:pPr>
        <w:spacing w:after="0"/>
        <w:rPr>
          <w:rFonts w:eastAsiaTheme="minorEastAsia"/>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5364"/>
        <w:gridCol w:w="16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hint="eastAsia" w:eastAsiaTheme="minorEastAsia"/>
                <w:lang w:eastAsia="zh-CN"/>
              </w:rPr>
              <w:t>Issue #</w:t>
            </w:r>
          </w:p>
        </w:tc>
        <w:tc>
          <w:tcPr>
            <w:tcW w:w="5364" w:type="dxa"/>
          </w:tcPr>
          <w:p>
            <w:pPr>
              <w:widowControl w:val="0"/>
              <w:spacing w:after="0"/>
              <w:rPr>
                <w:rFonts w:eastAsiaTheme="minorEastAsia"/>
                <w:lang w:eastAsia="zh-CN"/>
              </w:rPr>
            </w:pPr>
            <w:r>
              <w:rPr>
                <w:rFonts w:hint="eastAsia" w:eastAsiaTheme="minorEastAsia"/>
                <w:lang w:eastAsia="zh-CN"/>
              </w:rPr>
              <w:t>Description</w:t>
            </w:r>
          </w:p>
        </w:tc>
        <w:tc>
          <w:tcPr>
            <w:tcW w:w="1674" w:type="dxa"/>
          </w:tcPr>
          <w:p>
            <w:pPr>
              <w:widowControl w:val="0"/>
              <w:spacing w:after="0"/>
              <w:jc w:val="left"/>
              <w:rPr>
                <w:rFonts w:eastAsiaTheme="minorEastAsia"/>
                <w:lang w:eastAsia="zh-CN"/>
              </w:rPr>
            </w:pPr>
            <w:r>
              <w:rPr>
                <w:rFonts w:hint="eastAsia" w:eastAsiaTheme="minorEastAsia"/>
                <w:lang w:eastAsia="zh-CN"/>
              </w:rPr>
              <w:t>Tdoc</w:t>
            </w:r>
          </w:p>
        </w:tc>
        <w:tc>
          <w:tcPr>
            <w:tcW w:w="1374" w:type="dxa"/>
          </w:tcPr>
          <w:p>
            <w:pPr>
              <w:widowControl w:val="0"/>
              <w:spacing w:after="0"/>
              <w:jc w:val="left"/>
              <w:rPr>
                <w:rFonts w:eastAsiaTheme="minorEastAsia"/>
                <w:lang w:eastAsia="zh-CN"/>
              </w:rPr>
            </w:pPr>
            <w:r>
              <w:rPr>
                <w:rFonts w:eastAsiaTheme="minorEastAsia"/>
                <w:lang w:eastAsia="zh-CN"/>
              </w:rPr>
              <w:t>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4.1</w:t>
            </w:r>
          </w:p>
        </w:tc>
        <w:tc>
          <w:tcPr>
            <w:tcW w:w="5364" w:type="dxa"/>
          </w:tcPr>
          <w:p>
            <w:pPr>
              <w:widowControl w:val="0"/>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pPr>
              <w:widowControl w:val="0"/>
              <w:spacing w:after="0"/>
              <w:jc w:val="left"/>
            </w:pPr>
            <w:r>
              <w:rPr>
                <w:lang w:eastAsia="zh-CN"/>
              </w:rPr>
              <w:t>R1-2003371</w:t>
            </w:r>
          </w:p>
        </w:tc>
        <w:tc>
          <w:tcPr>
            <w:tcW w:w="1374" w:type="dxa"/>
          </w:tcPr>
          <w:p>
            <w:pPr>
              <w:widowControl w:val="0"/>
              <w:spacing w:after="0"/>
              <w:jc w:val="left"/>
              <w:rPr>
                <w:rFonts w:eastAsiaTheme="minorEastAsia"/>
                <w:lang w:eastAsia="zh-CN"/>
              </w:rPr>
            </w:pPr>
            <w:r>
              <w:rPr>
                <w:rFonts w:eastAsiaTheme="minorEastAsia"/>
                <w:lang w:eastAsia="zh-CN"/>
              </w:rPr>
              <w:t>N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4.2</w:t>
            </w:r>
          </w:p>
        </w:tc>
        <w:tc>
          <w:tcPr>
            <w:tcW w:w="5364" w:type="dxa"/>
          </w:tcPr>
          <w:p>
            <w:pPr>
              <w:widowControl w:val="0"/>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pPr>
              <w:widowControl w:val="0"/>
              <w:spacing w:after="0"/>
              <w:jc w:val="left"/>
            </w:pPr>
            <w:r>
              <w:rPr>
                <w:lang w:eastAsia="zh-CN"/>
              </w:rPr>
              <w:t>R1-2003371</w:t>
            </w:r>
          </w:p>
        </w:tc>
        <w:tc>
          <w:tcPr>
            <w:tcW w:w="1374" w:type="dxa"/>
          </w:tcPr>
          <w:p>
            <w:pPr>
              <w:widowControl w:val="0"/>
              <w:spacing w:after="0"/>
              <w:jc w:val="left"/>
              <w:rPr>
                <w:rFonts w:eastAsiaTheme="minorEastAsia"/>
                <w:lang w:eastAsia="zh-CN"/>
              </w:rPr>
            </w:pPr>
            <w:r>
              <w:rPr>
                <w:rFonts w:eastAsiaTheme="minorEastAsia"/>
                <w:lang w:eastAsia="zh-CN"/>
              </w:rPr>
              <w:t>N (no consensus in WI phase and no consensus on CSI-RS validation in AI 7.2.1.2)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4.3</w:t>
            </w:r>
          </w:p>
        </w:tc>
        <w:tc>
          <w:tcPr>
            <w:tcW w:w="5364" w:type="dxa"/>
          </w:tcPr>
          <w:p>
            <w:pPr>
              <w:widowControl w:val="0"/>
              <w:spacing w:after="0"/>
              <w:jc w:val="left"/>
            </w:pPr>
            <w:r>
              <w:t>Respond to RAN4 that the UE can assume that the same transmit power is used across different occasions, for both CSI-RS and SSB-based RRM measurements.</w:t>
            </w:r>
          </w:p>
        </w:tc>
        <w:tc>
          <w:tcPr>
            <w:tcW w:w="1674" w:type="dxa"/>
          </w:tcPr>
          <w:p>
            <w:pPr>
              <w:widowControl w:val="0"/>
              <w:spacing w:after="0"/>
              <w:jc w:val="left"/>
            </w:pPr>
            <w:r>
              <w:t>R1-2003844</w:t>
            </w:r>
          </w:p>
        </w:tc>
        <w:tc>
          <w:tcPr>
            <w:tcW w:w="1374" w:type="dxa"/>
          </w:tcPr>
          <w:p>
            <w:pPr>
              <w:widowControl w:val="0"/>
              <w:spacing w:after="0"/>
              <w:jc w:val="left"/>
              <w:rPr>
                <w:rFonts w:eastAsiaTheme="minorEastAsia"/>
                <w:lang w:eastAsia="zh-CN"/>
              </w:rPr>
            </w:pPr>
            <w:r>
              <w:rPr>
                <w:rFonts w:eastAsiaTheme="minorEastAsia"/>
                <w:lang w:eastAsia="zh-CN"/>
              </w:rPr>
              <w:t>Expected to be allocated a separate thread as per R1-2004680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4.4</w:t>
            </w:r>
          </w:p>
        </w:tc>
        <w:tc>
          <w:tcPr>
            <w:tcW w:w="5364" w:type="dxa"/>
          </w:tcPr>
          <w:p>
            <w:pPr>
              <w:widowControl w:val="0"/>
              <w:spacing w:after="0" w:line="240" w:lineRule="auto"/>
              <w:rPr>
                <w:lang w:eastAsia="zh-CN"/>
              </w:rPr>
            </w:pPr>
            <w:r>
              <w:rPr>
                <w:lang w:eastAsia="zh-CN"/>
              </w:rPr>
              <w:t>For the value ranges for measDuration-r16,</w:t>
            </w:r>
          </w:p>
          <w:p>
            <w:pPr>
              <w:widowControl w:val="0"/>
              <w:numPr>
                <w:ilvl w:val="0"/>
                <w:numId w:val="6"/>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pPr>
              <w:widowControl w:val="0"/>
              <w:numPr>
                <w:ilvl w:val="1"/>
                <w:numId w:val="6"/>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pPr>
              <w:widowControl w:val="0"/>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pPr>
              <w:widowControl w:val="0"/>
              <w:numPr>
                <w:ilvl w:val="0"/>
                <w:numId w:val="6"/>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pPr>
              <w:widowControl w:val="0"/>
              <w:numPr>
                <w:ilvl w:val="1"/>
                <w:numId w:val="6"/>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pPr>
              <w:widowControl w:val="0"/>
              <w:numPr>
                <w:ilvl w:val="1"/>
                <w:numId w:val="6"/>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pPr>
              <w:widowControl w:val="0"/>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pPr>
              <w:widowControl w:val="0"/>
              <w:spacing w:line="260" w:lineRule="auto"/>
            </w:pPr>
            <w:r>
              <w:rPr>
                <w:rFonts w:hint="eastAsia"/>
                <w:lang w:eastAsia="zh-CN"/>
              </w:rPr>
              <w:t xml:space="preserve">Note 2: </w:t>
            </w:r>
            <w:r>
              <w:rPr>
                <w:lang w:eastAsia="zh-CN"/>
              </w:rPr>
              <w:t>The UE expects an integer number of symbol(s) with respect to the SCS of the active DL BWP to be configured for RSSI measurement.</w:t>
            </w:r>
          </w:p>
        </w:tc>
        <w:tc>
          <w:tcPr>
            <w:tcW w:w="1674" w:type="dxa"/>
          </w:tcPr>
          <w:p>
            <w:pPr>
              <w:widowControl w:val="0"/>
              <w:spacing w:after="0"/>
              <w:jc w:val="left"/>
            </w:pPr>
            <w:r>
              <w:t>R1-2003451 (Alt. 2)</w:t>
            </w:r>
            <w:r>
              <w:br w:type="textWrapping"/>
            </w:r>
            <w:r>
              <w:t>R1-2003729 (Alt. 1)</w:t>
            </w:r>
            <w:r>
              <w:br w:type="textWrapping"/>
            </w:r>
            <w:r>
              <w:t>R1-2004014 (Alt. 2)</w:t>
            </w:r>
            <w:r>
              <w:br w:type="textWrapping"/>
            </w:r>
            <w:r>
              <w:t>R1-2003861</w:t>
            </w:r>
            <w:r>
              <w:br w:type="textWrapping"/>
            </w:r>
            <w:r>
              <w:t>(Alt. 2)</w:t>
            </w:r>
            <w:r>
              <w:br w:type="textWrapping"/>
            </w:r>
            <w:r>
              <w:t>R1-2003844</w:t>
            </w:r>
            <w:r>
              <w:br w:type="textWrapping"/>
            </w:r>
            <w:r>
              <w:t>(Alt. 2)</w:t>
            </w:r>
            <w:r>
              <w:br w:type="textWrapping"/>
            </w:r>
            <w:r>
              <w:t>R1-2003513</w:t>
            </w:r>
            <w:r>
              <w:br w:type="textWrapping"/>
            </w:r>
            <w:r>
              <w:t>(Alt. 1)</w:t>
            </w:r>
            <w:r>
              <w:br w:type="textWrapping"/>
            </w:r>
            <w:r>
              <w:t>R1-2004526</w:t>
            </w:r>
            <w:r>
              <w:br w:type="textWrapping"/>
            </w:r>
            <w:r>
              <w:t>(Alt. 1)</w:t>
            </w:r>
          </w:p>
        </w:tc>
        <w:tc>
          <w:tcPr>
            <w:tcW w:w="1374" w:type="dxa"/>
          </w:tcPr>
          <w:p>
            <w:pPr>
              <w:widowControl w:val="0"/>
              <w:spacing w:after="0"/>
              <w:jc w:val="left"/>
              <w:rPr>
                <w:rFonts w:eastAsiaTheme="minorEastAsia"/>
                <w:lang w:eastAsia="zh-CN"/>
              </w:rPr>
            </w:pPr>
            <w:r>
              <w:rPr>
                <w:rFonts w:eastAsiaTheme="minorEastAsia"/>
                <w:lang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5" w:type="dxa"/>
          </w:tcPr>
          <w:p>
            <w:pPr>
              <w:widowControl w:val="0"/>
              <w:spacing w:after="0"/>
              <w:rPr>
                <w:rFonts w:eastAsiaTheme="minorEastAsia"/>
                <w:lang w:eastAsia="zh-CN"/>
              </w:rPr>
            </w:pPr>
            <w:r>
              <w:rPr>
                <w:rFonts w:eastAsiaTheme="minorEastAsia"/>
                <w:lang w:eastAsia="zh-CN"/>
              </w:rPr>
              <w:t>4.5</w:t>
            </w:r>
          </w:p>
        </w:tc>
        <w:tc>
          <w:tcPr>
            <w:tcW w:w="5364" w:type="dxa"/>
          </w:tcPr>
          <w:p>
            <w:pPr>
              <w:widowControl w:val="0"/>
              <w:spacing w:after="0"/>
              <w:rPr>
                <w:sz w:val="20"/>
              </w:rPr>
            </w:pPr>
            <w:r>
              <w:rPr>
                <w:sz w:val="20"/>
              </w:rPr>
              <w:t xml:space="preserve">NR-U shall support the following enhancement to CSI-RS as part of discovery burst: </w:t>
            </w:r>
          </w:p>
          <w:p>
            <w:pPr>
              <w:pStyle w:val="45"/>
              <w:widowControl w:val="0"/>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ctrlPr>
                        <w:rPr>
                          <w:rFonts w:ascii="Cambria Math" w:hAnsi="Cambria Math"/>
                          <w:i/>
                          <w:sz w:val="22"/>
                        </w:rPr>
                      </m:ctrlPr>
                    </m:e>
                  </m:acc>
                  <m:ctrlPr>
                    <w:rPr>
                      <w:rFonts w:ascii="Cambria Math" w:hAnsi="Cambria Math"/>
                      <w:i/>
                      <w:sz w:val="22"/>
                    </w:rPr>
                  </m:ctrlPr>
                </m:e>
                <m:sub>
                  <m:r>
                    <m:rPr>
                      <m:sty m:val="p"/>
                    </m:rPr>
                    <w:rPr>
                      <w:rFonts w:ascii="Cambria Math" w:hAnsi="Cambria Math"/>
                      <w:sz w:val="22"/>
                    </w:rPr>
                    <m:t>s,f</m:t>
                  </m:r>
                  <m:ctrlPr>
                    <w:rPr>
                      <w:rFonts w:ascii="Cambria Math" w:hAnsi="Cambria Math"/>
                      <w:i/>
                      <w:sz w:val="22"/>
                    </w:rPr>
                  </m:ctrlPr>
                </m:sub>
                <m:sup>
                  <m:r>
                    <w:rPr>
                      <w:rFonts w:ascii="Cambria Math" w:hAnsi="Cambria Math"/>
                      <w:sz w:val="22"/>
                    </w:rPr>
                    <m:t>μ</m:t>
                  </m:r>
                  <m:ctrlPr>
                    <w:rPr>
                      <w:rFonts w:ascii="Cambria Math" w:hAnsi="Cambria Math"/>
                      <w:i/>
                      <w:sz w:val="22"/>
                    </w:rPr>
                  </m:ctrlP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ctrlPr>
                    <w:rPr>
                      <w:rFonts w:ascii="Cambria Math" w:hAnsi="Cambria Math"/>
                      <w:i/>
                      <w:sz w:val="22"/>
                    </w:rPr>
                  </m:ctrlPr>
                </m:fName>
                <m:e>
                  <m:sSubSup>
                    <m:sSubSupPr>
                      <m:ctrlPr>
                        <w:rPr>
                          <w:rFonts w:ascii="Cambria Math" w:hAnsi="Cambria Math"/>
                          <w:i/>
                          <w:sz w:val="22"/>
                        </w:rPr>
                      </m:ctrlPr>
                    </m:sSubSupPr>
                    <m:e>
                      <m:r>
                        <w:rPr>
                          <w:rFonts w:ascii="Cambria Math" w:hAnsi="Cambria Math"/>
                          <w:sz w:val="22"/>
                        </w:rPr>
                        <m:t>(N</m:t>
                      </m:r>
                      <m:ctrlPr>
                        <w:rPr>
                          <w:rFonts w:ascii="Cambria Math" w:hAnsi="Cambria Math"/>
                          <w:i/>
                          <w:sz w:val="22"/>
                        </w:rPr>
                      </m:ctrlPr>
                    </m:e>
                    <m:sub>
                      <m:r>
                        <m:rPr>
                          <m:sty m:val="p"/>
                        </m:rPr>
                        <w:rPr>
                          <w:rFonts w:ascii="Cambria Math" w:hAnsi="Cambria Math"/>
                          <w:sz w:val="22"/>
                        </w:rPr>
                        <m:t>SSB</m:t>
                      </m:r>
                      <m:ctrlPr>
                        <w:rPr>
                          <w:rFonts w:ascii="Cambria Math" w:hAnsi="Cambria Math"/>
                          <w:i/>
                          <w:sz w:val="22"/>
                        </w:rPr>
                      </m:ctrlPr>
                    </m:sub>
                    <m:sup>
                      <m:r>
                        <m:rPr>
                          <m:sty m:val="p"/>
                        </m:rPr>
                        <w:rPr>
                          <w:rFonts w:ascii="Cambria Math" w:hAnsi="Cambria Math"/>
                          <w:sz w:val="22"/>
                        </w:rPr>
                        <m:t>QCL</m:t>
                      </m:r>
                      <m:ctrlPr>
                        <w:rPr>
                          <w:rFonts w:ascii="Cambria Math" w:hAnsi="Cambria Math"/>
                          <w:i/>
                          <w:sz w:val="22"/>
                        </w:rPr>
                      </m:ctrlPr>
                    </m:sup>
                  </m:sSubSup>
                  <m:r>
                    <w:rPr>
                      <w:rFonts w:ascii="Cambria Math" w:hAnsi="Cambria Math"/>
                      <w:sz w:val="22"/>
                    </w:rPr>
                    <m:t>/2, 1)</m:t>
                  </m:r>
                  <m:ctrlPr>
                    <w:rPr>
                      <w:rFonts w:ascii="Cambria Math" w:hAnsi="Cambria Math"/>
                      <w:i/>
                      <w:sz w:val="22"/>
                    </w:rPr>
                  </m:ctrlPr>
                </m:e>
              </m:func>
              <m:r>
                <w:rPr>
                  <w:rFonts w:ascii="Cambria Math" w:hAnsi="Cambria Math"/>
                  <w:sz w:val="22"/>
                </w:rPr>
                <m:t>)</m:t>
              </m:r>
            </m:oMath>
            <w:r>
              <w:rPr>
                <w:rFonts w:ascii="Times New Roman" w:hAnsi="Times New Roman"/>
                <w:sz w:val="22"/>
              </w:rPr>
              <w:t xml:space="preserve">; </w:t>
            </w:r>
          </w:p>
          <w:p>
            <w:pPr>
              <w:pStyle w:val="45"/>
              <w:widowControl w:val="0"/>
              <w:numPr>
                <w:ilvl w:val="0"/>
                <w:numId w:val="7"/>
              </w:numPr>
              <w:spacing w:line="240" w:lineRule="auto"/>
              <w:ind w:left="442" w:hanging="442"/>
              <w:jc w:val="both"/>
              <w:rPr>
                <w:rFonts w:ascii="Times New Roman" w:hAnsi="Times New Roman"/>
                <w:sz w:val="22"/>
              </w:rPr>
            </w:pPr>
            <w:r>
              <w:rPr>
                <w:rFonts w:ascii="Times New Roman" w:hAnsi="Times New Roman"/>
                <w:sz w:val="22"/>
              </w:rPr>
              <w:t xml:space="preserve">The initial condition for generating the CSI-RS sequence in a discovery burst transmission window is the same in at least one transmission occasions and according to </w:t>
            </w:r>
          </w:p>
          <w:p>
            <w:pPr>
              <w:widowControl w:val="0"/>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ctrlPr>
                    <w:rPr>
                      <w:rFonts w:ascii="Cambria Math" w:hAnsi="Cambria Math"/>
                      <w:sz w:val="20"/>
                    </w:rPr>
                  </m:ctrlPr>
                </m:e>
                <m:sub>
                  <m:r>
                    <m:rPr>
                      <m:nor/>
                      <m:sty m:val="p"/>
                    </m:rPr>
                    <w:rPr>
                      <w:sz w:val="20"/>
                    </w:rPr>
                    <m:t>init</m:t>
                  </m:r>
                  <m:ctrlPr>
                    <w:rPr>
                      <w:rFonts w:ascii="Cambria Math" w:hAnsi="Cambria Math"/>
                      <w:sz w:val="20"/>
                    </w:rPr>
                  </m:ctrlP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ctrlPr>
                        <w:rPr>
                          <w:rFonts w:ascii="Cambria Math" w:hAnsi="Cambria Math"/>
                          <w:sz w:val="20"/>
                        </w:rPr>
                      </m:ctrlPr>
                    </m:e>
                    <m:sup>
                      <m:r>
                        <m:rPr>
                          <m:sty m:val="p"/>
                        </m:rPr>
                        <w:rPr>
                          <w:rFonts w:ascii="Cambria Math" w:hAnsi="Cambria Math"/>
                          <w:sz w:val="20"/>
                        </w:rPr>
                        <m:t>10</m:t>
                      </m:r>
                      <m:ctrlPr>
                        <w:rPr>
                          <w:rFonts w:ascii="Cambria Math" w:hAnsi="Cambria Math"/>
                          <w:sz w:val="20"/>
                        </w:rPr>
                      </m:ctrlP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ctrlPr>
                            <w:rPr>
                              <w:rFonts w:ascii="Cambria Math" w:hAnsi="Cambria Math"/>
                              <w:sz w:val="20"/>
                            </w:rPr>
                          </m:ctrlPr>
                        </m:e>
                        <m:sub>
                          <m:r>
                            <m:rPr>
                              <m:nor/>
                              <m:sty m:val="p"/>
                            </m:rPr>
                            <w:rPr>
                              <w:sz w:val="20"/>
                            </w:rPr>
                            <m:t>symb</m:t>
                          </m:r>
                          <m:ctrlPr>
                            <w:rPr>
                              <w:rFonts w:ascii="Cambria Math" w:hAnsi="Cambria Math"/>
                              <w:sz w:val="20"/>
                            </w:rPr>
                          </m:ctrlPr>
                        </m:sub>
                        <m:sup>
                          <m:r>
                            <m:rPr>
                              <m:nor/>
                              <m:sty m:val="p"/>
                            </m:rPr>
                            <w:rPr>
                              <w:sz w:val="20"/>
                            </w:rPr>
                            <m:t>slot</m:t>
                          </m:r>
                          <m:ctrlPr>
                            <w:rPr>
                              <w:rFonts w:ascii="Cambria Math" w:hAnsi="Cambria Math"/>
                              <w:sz w:val="20"/>
                            </w:rPr>
                          </m:ctrlP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ctrlPr>
                                <w:rPr>
                                  <w:rFonts w:ascii="Cambria Math" w:hAnsi="Cambria Math"/>
                                  <w:i/>
                                  <w:sz w:val="20"/>
                                </w:rPr>
                              </m:ctrlPr>
                            </m:e>
                          </m:acc>
                          <m:ctrlPr>
                            <w:rPr>
                              <w:rFonts w:ascii="Cambria Math" w:hAnsi="Cambria Math"/>
                              <w:i/>
                              <w:sz w:val="20"/>
                            </w:rPr>
                          </m:ctrlPr>
                        </m:e>
                        <m:sub>
                          <m:r>
                            <m:rPr>
                              <m:sty m:val="p"/>
                            </m:rPr>
                            <w:rPr>
                              <w:rFonts w:ascii="Cambria Math" w:hAnsi="Cambria Math"/>
                              <w:sz w:val="20"/>
                            </w:rPr>
                            <m:t>s,f</m:t>
                          </m:r>
                          <m:ctrlPr>
                            <w:rPr>
                              <w:rFonts w:ascii="Cambria Math" w:hAnsi="Cambria Math"/>
                              <w:i/>
                              <w:sz w:val="20"/>
                            </w:rPr>
                          </m:ctrlPr>
                        </m:sub>
                        <m:sup>
                          <m:r>
                            <w:rPr>
                              <w:rFonts w:ascii="Cambria Math" w:hAnsi="Cambria Math"/>
                              <w:sz w:val="20"/>
                            </w:rPr>
                            <m:t>μ</m:t>
                          </m:r>
                          <m:ctrlPr>
                            <w:rPr>
                              <w:rFonts w:ascii="Cambria Math" w:hAnsi="Cambria Math"/>
                              <w:i/>
                              <w:sz w:val="20"/>
                            </w:rPr>
                          </m:ctrlP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ctrlPr>
                            <w:rPr>
                              <w:rFonts w:ascii="Cambria Math" w:hAnsi="Cambria Math"/>
                              <w:i/>
                              <w:sz w:val="20"/>
                            </w:rPr>
                          </m:ctrlPr>
                        </m:fName>
                        <m:e>
                          <m:sSubSup>
                            <m:sSubSupPr>
                              <m:ctrlPr>
                                <w:rPr>
                                  <w:rFonts w:ascii="Cambria Math" w:hAnsi="Cambria Math"/>
                                  <w:i/>
                                  <w:sz w:val="20"/>
                                </w:rPr>
                              </m:ctrlPr>
                            </m:sSubSupPr>
                            <m:e>
                              <m:r>
                                <w:rPr>
                                  <w:rFonts w:ascii="Cambria Math" w:hAnsi="Cambria Math"/>
                                  <w:sz w:val="20"/>
                                </w:rPr>
                                <m:t>(N</m:t>
                              </m:r>
                              <m:ctrlPr>
                                <w:rPr>
                                  <w:rFonts w:ascii="Cambria Math" w:hAnsi="Cambria Math"/>
                                  <w:i/>
                                  <w:sz w:val="20"/>
                                </w:rPr>
                              </m:ctrlPr>
                            </m:e>
                            <m:sub>
                              <m:r>
                                <m:rPr>
                                  <m:sty m:val="p"/>
                                </m:rPr>
                                <w:rPr>
                                  <w:rFonts w:ascii="Cambria Math" w:hAnsi="Cambria Math"/>
                                  <w:sz w:val="20"/>
                                </w:rPr>
                                <m:t>SSB</m:t>
                              </m:r>
                              <m:ctrlPr>
                                <w:rPr>
                                  <w:rFonts w:ascii="Cambria Math" w:hAnsi="Cambria Math"/>
                                  <w:i/>
                                  <w:sz w:val="20"/>
                                </w:rPr>
                              </m:ctrlPr>
                            </m:sub>
                            <m:sup>
                              <m:r>
                                <m:rPr>
                                  <m:sty m:val="p"/>
                                </m:rPr>
                                <w:rPr>
                                  <w:rFonts w:ascii="Cambria Math" w:hAnsi="Cambria Math"/>
                                  <w:sz w:val="20"/>
                                </w:rPr>
                                <m:t>QCL</m:t>
                              </m:r>
                              <m:ctrlPr>
                                <w:rPr>
                                  <w:rFonts w:ascii="Cambria Math" w:hAnsi="Cambria Math"/>
                                  <w:i/>
                                  <w:sz w:val="20"/>
                                </w:rPr>
                              </m:ctrlPr>
                            </m:sup>
                          </m:sSubSup>
                          <m:r>
                            <w:rPr>
                              <w:rFonts w:ascii="Cambria Math" w:hAnsi="Cambria Math"/>
                              <w:sz w:val="20"/>
                            </w:rPr>
                            <m:t>/2, 1)</m:t>
                          </m:r>
                          <m:ctrlPr>
                            <w:rPr>
                              <w:rFonts w:ascii="Cambria Math" w:hAnsi="Cambria Math"/>
                              <w:i/>
                              <w:sz w:val="20"/>
                            </w:rPr>
                          </m:ctrlP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ctrlPr>
                        <w:rPr>
                          <w:rFonts w:ascii="Cambria Math" w:hAnsi="Cambria Math"/>
                          <w:sz w:val="20"/>
                        </w:rPr>
                      </m:ctrlP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ctrlPr>
                            <w:rPr>
                              <w:rFonts w:ascii="Cambria Math" w:hAnsi="Cambria Math"/>
                              <w:sz w:val="20"/>
                            </w:rPr>
                          </m:ctrlPr>
                        </m:e>
                        <m:sub>
                          <m:r>
                            <m:rPr>
                              <m:nor/>
                              <m:sty m:val="p"/>
                            </m:rPr>
                            <w:rPr>
                              <w:sz w:val="20"/>
                            </w:rPr>
                            <m:t>ID</m:t>
                          </m:r>
                          <m:ctrlPr>
                            <w:rPr>
                              <w:rFonts w:ascii="Cambria Math" w:hAnsi="Cambria Math"/>
                              <w:sz w:val="20"/>
                            </w:rPr>
                          </m:ctrlPr>
                        </m:sub>
                      </m:sSub>
                      <m:r>
                        <m:rPr>
                          <m:sty m:val="p"/>
                        </m:rPr>
                        <w:rPr>
                          <w:rFonts w:ascii="Cambria Math" w:hAnsi="Cambria Math"/>
                          <w:sz w:val="20"/>
                        </w:rPr>
                        <m:t>+1</m:t>
                      </m:r>
                      <m:ctrlPr>
                        <w:rPr>
                          <w:rFonts w:ascii="Cambria Math" w:hAnsi="Cambria Math"/>
                          <w:sz w:val="20"/>
                        </w:rPr>
                      </m:ctrlP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ctrlPr>
                        <w:rPr>
                          <w:rFonts w:ascii="Cambria Math" w:hAnsi="Cambria Math"/>
                          <w:sz w:val="20"/>
                        </w:rPr>
                      </m:ctrlPr>
                    </m:e>
                    <m:sub>
                      <m:r>
                        <m:rPr>
                          <m:nor/>
                          <m:sty m:val="p"/>
                        </m:rPr>
                        <w:rPr>
                          <w:sz w:val="20"/>
                        </w:rPr>
                        <m:t>ID</m:t>
                      </m:r>
                      <m:ctrlPr>
                        <w:rPr>
                          <w:rFonts w:ascii="Cambria Math" w:hAnsi="Cambria Math"/>
                          <w:sz w:val="20"/>
                        </w:rPr>
                      </m:ctrlPr>
                    </m:sub>
                  </m:sSub>
                  <m:ctrlPr>
                    <w:rPr>
                      <w:rFonts w:ascii="Cambria Math" w:hAnsi="Cambria Math"/>
                      <w:sz w:val="20"/>
                    </w:rPr>
                  </m:ctrlPr>
                </m:e>
              </m:d>
              <m:r>
                <m:rPr>
                  <m:nor/>
                  <m:sty m:val="p"/>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ctrlPr>
                    <w:rPr>
                      <w:rFonts w:ascii="Cambria Math" w:hAnsi="Cambria Math"/>
                      <w:sz w:val="20"/>
                    </w:rPr>
                  </m:ctrlPr>
                </m:e>
                <m:sup>
                  <m:r>
                    <m:rPr>
                      <m:sty m:val="p"/>
                    </m:rPr>
                    <w:rPr>
                      <w:rFonts w:ascii="Cambria Math" w:hAnsi="Cambria Math"/>
                      <w:sz w:val="20"/>
                    </w:rPr>
                    <m:t>31</m:t>
                  </m:r>
                  <m:ctrlPr>
                    <w:rPr>
                      <w:rFonts w:ascii="Cambria Math" w:hAnsi="Cambria Math"/>
                      <w:sz w:val="20"/>
                    </w:rPr>
                  </m:ctrlPr>
                </m:sup>
              </m:sSup>
            </m:oMath>
            <w:r>
              <w:rPr>
                <w:sz w:val="20"/>
              </w:rPr>
              <w:t>.</w:t>
            </w:r>
          </w:p>
        </w:tc>
        <w:tc>
          <w:tcPr>
            <w:tcW w:w="1674" w:type="dxa"/>
          </w:tcPr>
          <w:p>
            <w:pPr>
              <w:widowControl w:val="0"/>
              <w:spacing w:after="0"/>
              <w:jc w:val="left"/>
            </w:pPr>
            <w:r>
              <w:t>R1-2003861</w:t>
            </w:r>
          </w:p>
        </w:tc>
        <w:tc>
          <w:tcPr>
            <w:tcW w:w="1374" w:type="dxa"/>
          </w:tcPr>
          <w:p>
            <w:pPr>
              <w:widowControl w:val="0"/>
              <w:spacing w:after="0"/>
              <w:jc w:val="left"/>
              <w:rPr>
                <w:rFonts w:eastAsiaTheme="minorEastAsia"/>
                <w:lang w:eastAsia="zh-CN"/>
              </w:rPr>
            </w:pPr>
            <w:r>
              <w:rPr>
                <w:rFonts w:eastAsiaTheme="minorEastAsia"/>
                <w:lang w:eastAsia="zh-CN"/>
              </w:rPr>
              <w:t>Covered in AI 7.2.2.1.1 (issue #3.1)</w:t>
            </w:r>
          </w:p>
        </w:tc>
      </w:tr>
    </w:tbl>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pStyle w:val="2"/>
        <w:spacing w:before="0" w:after="0"/>
      </w:pPr>
      <w:r>
        <w:t>Other submitted TPs/proposals not for email discussion in this agenda</w:t>
      </w:r>
    </w:p>
    <w:p>
      <w:pPr>
        <w:spacing w:after="0"/>
        <w:rPr>
          <w:rFonts w:eastAsiaTheme="minorEastAsia"/>
          <w:lang w:eastAsia="zh-CN"/>
        </w:rPr>
      </w:pPr>
    </w:p>
    <w:p>
      <w:pPr>
        <w:spacing w:after="0"/>
        <w:rPr>
          <w:rFonts w:eastAsiaTheme="minorEastAsia"/>
          <w:lang w:eastAsia="zh-CN"/>
        </w:rPr>
      </w:pPr>
      <w:r>
        <w:rPr>
          <w:rFonts w:eastAsiaTheme="minorEastAsia"/>
          <w:lang w:eastAsia="zh-CN"/>
        </w:rPr>
        <w:t>Multiple editorial changes listed above can be addressed in the next meeting.</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pStyle w:val="2"/>
        <w:spacing w:before="0" w:after="0"/>
      </w:pPr>
      <w:r>
        <w:t xml:space="preserve">Proposed email discussions for phase 1 of RAN1#101-e </w:t>
      </w:r>
    </w:p>
    <w:p>
      <w:pPr>
        <w:spacing w:after="0"/>
        <w:rPr>
          <w:lang w:val="en-GB" w:eastAsia="zh-CN"/>
        </w:rPr>
      </w:pPr>
    </w:p>
    <w:p>
      <w:pPr>
        <w:spacing w:after="0"/>
        <w:rPr>
          <w:lang w:val="en-GB" w:eastAsia="zh-CN"/>
        </w:rPr>
      </w:pPr>
      <w:r>
        <w:rPr>
          <w:lang w:val="en-GB" w:eastAsia="zh-CN"/>
        </w:rPr>
        <w:t>The following e</w:t>
      </w:r>
      <w:r>
        <w:rPr>
          <w:rFonts w:hint="eastAsia"/>
          <w:lang w:val="en-GB" w:eastAsia="zh-CN"/>
        </w:rPr>
        <w:t>mail discussions</w:t>
      </w:r>
      <w:r>
        <w:rPr>
          <w:lang w:val="en-GB" w:eastAsia="zh-CN"/>
        </w:rPr>
        <w:t xml:space="preserve"> and sub-topics </w:t>
      </w:r>
      <w:r>
        <w:rPr>
          <w:rFonts w:hint="eastAsia"/>
          <w:lang w:val="en-GB" w:eastAsia="zh-CN"/>
        </w:rPr>
        <w:t>are proposed for</w:t>
      </w:r>
      <w:r>
        <w:rPr>
          <w:lang w:val="en-GB" w:eastAsia="zh-CN"/>
        </w:rPr>
        <w:t xml:space="preserve"> further discussion in</w:t>
      </w:r>
      <w:r>
        <w:rPr>
          <w:rFonts w:hint="eastAsia"/>
          <w:lang w:val="en-GB" w:eastAsia="zh-CN"/>
        </w:rPr>
        <w:t xml:space="preserve"> </w:t>
      </w:r>
      <w:r>
        <w:rPr>
          <w:lang w:val="en-GB" w:eastAsia="zh-CN"/>
        </w:rPr>
        <w:t xml:space="preserve">AI 7.2.2.2.2 during the </w:t>
      </w:r>
      <w:r>
        <w:rPr>
          <w:rFonts w:hint="eastAsia"/>
          <w:lang w:val="en-GB" w:eastAsia="zh-CN"/>
        </w:rPr>
        <w:t>RAN1#101</w:t>
      </w:r>
      <w:r>
        <w:rPr>
          <w:lang w:val="en-GB" w:eastAsia="zh-CN"/>
        </w:rPr>
        <w:t>-</w:t>
      </w:r>
      <w:r>
        <w:rPr>
          <w:rFonts w:hint="eastAsia"/>
          <w:lang w:val="en-GB" w:eastAsia="zh-CN"/>
        </w:rPr>
        <w:t>e p</w:t>
      </w:r>
      <w:r>
        <w:rPr>
          <w:lang w:val="en-GB" w:eastAsia="zh-CN"/>
        </w:rPr>
        <w:t>reparation phase until 5/22:</w:t>
      </w:r>
    </w:p>
    <w:p>
      <w:pPr>
        <w:spacing w:after="0"/>
        <w:rPr>
          <w:lang w:val="en-GB" w:eastAsia="zh-CN"/>
        </w:rPr>
      </w:pPr>
    </w:p>
    <w:p>
      <w:pPr>
        <w:pStyle w:val="45"/>
        <w:numPr>
          <w:ilvl w:val="0"/>
          <w:numId w:val="5"/>
        </w:numPr>
        <w:rPr>
          <w:rFonts w:ascii="Times New Roman" w:hAnsi="Times New Roman"/>
          <w:sz w:val="22"/>
          <w:szCs w:val="22"/>
          <w:lang w:val="en-GB" w:eastAsia="zh-CN"/>
        </w:rPr>
      </w:pPr>
      <w:r>
        <w:rPr>
          <w:rFonts w:ascii="Times" w:hAnsi="Times" w:eastAsia="Batang"/>
          <w:sz w:val="22"/>
          <w:szCs w:val="22"/>
          <w:highlight w:val="cyan"/>
          <w:lang w:val="en-GB"/>
        </w:rPr>
        <w:t>[101-e-NR-unlic-NRU-InitAccessProc-01]</w:t>
      </w:r>
    </w:p>
    <w:p>
      <w:pPr>
        <w:pStyle w:val="45"/>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(#2.1, #2.3, #2.5) Remaining corrections for cell search in TS 38.213.</w:t>
      </w:r>
    </w:p>
    <w:p>
      <w:pPr>
        <w:pStyle w:val="45"/>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(#2.6) PDSCH rate-matching around a given SSB index until the UE has successfully detected one SS/PBCH block.</w:t>
      </w:r>
    </w:p>
    <w:p>
      <w:pPr>
        <w:pStyle w:val="45"/>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(#2.7) UE behavior in case GSCN offset refers to a GSCN which is not allowed in band n46.</w:t>
      </w:r>
    </w:p>
    <w:p>
      <w:pPr>
        <w:pStyle w:val="45"/>
        <w:numPr>
          <w:ilvl w:val="0"/>
          <w:numId w:val="5"/>
        </w:numPr>
        <w:rPr>
          <w:rFonts w:ascii="Times New Roman" w:hAnsi="Times New Roman"/>
          <w:sz w:val="22"/>
          <w:szCs w:val="22"/>
          <w:lang w:val="en-GB" w:eastAsia="zh-CN"/>
        </w:rPr>
      </w:pPr>
      <w:r>
        <w:rPr>
          <w:rFonts w:ascii="Times" w:hAnsi="Times" w:eastAsia="Batang"/>
          <w:sz w:val="22"/>
          <w:szCs w:val="22"/>
          <w:highlight w:val="cyan"/>
          <w:lang w:val="en-GB"/>
        </w:rPr>
        <w:t>[101-e-NR-unlic-NRU-InitAccessProc-02]</w:t>
      </w:r>
    </w:p>
    <w:p>
      <w:pPr>
        <w:pStyle w:val="45"/>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 xml:space="preserve">(#3.2) For the minimum value N of the MsgA PRACH-PUSCH gap in NR-U, select one of the alternatives in RAN1 #101-e: </w:t>
      </w:r>
    </w:p>
    <w:p>
      <w:pPr>
        <w:pStyle w:val="45"/>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Alt 1: N=2 (same as licensed operation) </w:t>
      </w:r>
    </w:p>
    <w:p>
      <w:pPr>
        <w:pStyle w:val="45"/>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Alt 2: N can be smaller than 2 for identified cases, and N=2 for the rest</w:t>
      </w:r>
    </w:p>
    <w:p>
      <w:pPr>
        <w:pStyle w:val="45"/>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For example, N = [0 or 1] when MsgA PUSCH has the same SCS and bandwith as MsgA PRACH</w:t>
      </w:r>
    </w:p>
    <w:p>
      <w:pPr>
        <w:pStyle w:val="45"/>
        <w:numPr>
          <w:ilvl w:val="2"/>
          <w:numId w:val="5"/>
        </w:numPr>
        <w:rPr>
          <w:rFonts w:ascii="Times New Roman" w:hAnsi="Times New Roman"/>
          <w:sz w:val="22"/>
          <w:szCs w:val="22"/>
          <w:lang w:val="en-GB" w:eastAsia="zh-CN"/>
        </w:rPr>
      </w:pPr>
      <w:r>
        <w:rPr>
          <w:rFonts w:ascii="Times New Roman" w:hAnsi="Times New Roman"/>
          <w:sz w:val="22"/>
          <w:szCs w:val="22"/>
          <w:lang w:val="en-GB" w:eastAsia="zh-CN"/>
        </w:rPr>
        <w:t xml:space="preserve">Note: it can be further discussed whether existing CP extension scheme can be applicable for the identified cases </w:t>
      </w:r>
    </w:p>
    <w:p>
      <w:pPr>
        <w:pStyle w:val="45"/>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(#3.3) How the UE should detect DL transmission in the case of an FFP for which no SSB/RMSI is transmitted by the network.</w:t>
      </w:r>
    </w:p>
    <w:p>
      <w:pPr>
        <w:pStyle w:val="45"/>
        <w:numPr>
          <w:ilvl w:val="0"/>
          <w:numId w:val="5"/>
        </w:numPr>
        <w:rPr>
          <w:rFonts w:ascii="Times New Roman" w:hAnsi="Times New Roman"/>
          <w:sz w:val="22"/>
          <w:szCs w:val="22"/>
          <w:lang w:val="en-GB" w:eastAsia="zh-CN"/>
        </w:rPr>
      </w:pPr>
      <w:r>
        <w:rPr>
          <w:rFonts w:ascii="Times" w:hAnsi="Times" w:eastAsia="Batang"/>
          <w:sz w:val="22"/>
          <w:szCs w:val="22"/>
          <w:highlight w:val="cyan"/>
          <w:lang w:val="en-GB"/>
        </w:rPr>
        <w:t>[101-e-NR-unlic-NRU-InitAccessProc-03]</w:t>
      </w:r>
    </w:p>
    <w:p>
      <w:pPr>
        <w:pStyle w:val="45"/>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(#4.4) Choose between following alternatives for RSSI measurement duration in RAN1#101-e:</w:t>
      </w:r>
    </w:p>
    <w:p>
      <w:pPr>
        <w:numPr>
          <w:ilvl w:val="0"/>
          <w:numId w:val="6"/>
        </w:numPr>
        <w:autoSpaceDE/>
        <w:autoSpaceDN/>
        <w:adjustRightInd/>
        <w:snapToGrid/>
        <w:spacing w:after="0" w:line="260" w:lineRule="auto"/>
        <w:jc w:val="left"/>
        <w:rPr>
          <w:lang w:eastAsia="zh-CN"/>
        </w:rPr>
      </w:pPr>
      <w:r>
        <w:rPr>
          <w:lang w:eastAsia="zh-CN"/>
        </w:rPr>
        <w:t>Alt 1: {sym1, sym14or28or56or48, sym28or56or112or96, sym42or84or168or144, sym70or140or280or240}</w:t>
      </w:r>
    </w:p>
    <w:p>
      <w:pPr>
        <w:numPr>
          <w:ilvl w:val="1"/>
          <w:numId w:val="6"/>
        </w:numPr>
        <w:autoSpaceDE/>
        <w:autoSpaceDN/>
        <w:adjustRightInd/>
        <w:snapToGrid/>
        <w:spacing w:after="0" w:line="260" w:lineRule="auto"/>
        <w:jc w:val="left"/>
        <w:rPr>
          <w:lang w:eastAsia="zh-CN"/>
        </w:rPr>
      </w:pPr>
      <w:r>
        <w:rPr>
          <w:lang w:eastAsia="zh-CN"/>
        </w:rPr>
        <w:t>“sym14or28or56or48” refers to 14 symbols for 15 kHz SCS, 28 symbols for 30 kHz SCS, 56 symbols for 60 kHz SCS with NCP, and 48 symbols for 60 kHz SCS with ECP, respectively, and so on</w:t>
      </w:r>
    </w:p>
    <w:p>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pPr>
        <w:numPr>
          <w:ilvl w:val="0"/>
          <w:numId w:val="6"/>
        </w:numPr>
        <w:autoSpaceDE/>
        <w:autoSpaceDN/>
        <w:adjustRightInd/>
        <w:snapToGrid/>
        <w:spacing w:after="0" w:line="260" w:lineRule="auto"/>
        <w:jc w:val="left"/>
        <w:rPr>
          <w:lang w:eastAsia="zh-CN"/>
        </w:rPr>
      </w:pPr>
      <w:r>
        <w:rPr>
          <w:lang w:eastAsia="zh-CN"/>
        </w:rPr>
        <w:t xml:space="preserve"> Alt 2: {sym1, sym14or12, sym28or24, sym42or36, sym70or60}</w:t>
      </w:r>
    </w:p>
    <w:p>
      <w:pPr>
        <w:numPr>
          <w:ilvl w:val="1"/>
          <w:numId w:val="6"/>
        </w:numPr>
        <w:autoSpaceDE/>
        <w:autoSpaceDN/>
        <w:adjustRightInd/>
        <w:snapToGrid/>
        <w:spacing w:after="0" w:line="260" w:lineRule="auto"/>
        <w:jc w:val="left"/>
        <w:rPr>
          <w:lang w:eastAsia="zh-CN"/>
        </w:rPr>
      </w:pPr>
      <w:r>
        <w:rPr>
          <w:lang w:eastAsia="zh-CN"/>
        </w:rPr>
        <w:t>“sym14or12” refers to 14 symbols for NCP and 12 symbols for ECP, respectively, and so on</w:t>
      </w:r>
    </w:p>
    <w:p>
      <w:pPr>
        <w:numPr>
          <w:ilvl w:val="1"/>
          <w:numId w:val="6"/>
        </w:numPr>
        <w:autoSpaceDE/>
        <w:autoSpaceDN/>
        <w:adjustRightInd/>
        <w:snapToGrid/>
        <w:spacing w:after="0" w:line="260" w:lineRule="auto"/>
        <w:jc w:val="left"/>
        <w:rPr>
          <w:lang w:eastAsia="zh-CN"/>
        </w:rPr>
      </w:pPr>
      <w:r>
        <w:rPr>
          <w:lang w:eastAsia="zh-CN"/>
        </w:rPr>
        <w:t>Inform RAN2 of this decision (can be within updated RRC parameter spread sheet that we send to RAN2, not necessarily a separate LS)</w:t>
      </w:r>
    </w:p>
    <w:p>
      <w:pPr>
        <w:spacing w:after="0" w:line="260" w:lineRule="auto"/>
        <w:ind w:left="1700"/>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pPr>
        <w:spacing w:line="260" w:lineRule="auto"/>
        <w:ind w:left="1700"/>
        <w:rPr>
          <w:lang w:eastAsia="zh-CN"/>
        </w:rPr>
      </w:pPr>
      <w:r>
        <w:rPr>
          <w:rFonts w:hint="eastAsia"/>
          <w:lang w:eastAsia="zh-CN"/>
        </w:rPr>
        <w:t xml:space="preserve">Note 2: </w:t>
      </w:r>
      <w:r>
        <w:rPr>
          <w:lang w:eastAsia="zh-CN"/>
        </w:rPr>
        <w:t>The UE expects an integer number of symbol(s) with respect to the SCS of the active DL BWP to be configured for RSSI measurement.</w:t>
      </w:r>
    </w:p>
    <w:p>
      <w:pPr>
        <w:pStyle w:val="45"/>
        <w:numPr>
          <w:ilvl w:val="0"/>
          <w:numId w:val="5"/>
        </w:numPr>
        <w:rPr>
          <w:rFonts w:ascii="Times New Roman" w:hAnsi="Times New Roman"/>
          <w:sz w:val="22"/>
          <w:szCs w:val="22"/>
          <w:lang w:val="en-GB" w:eastAsia="zh-CN"/>
        </w:rPr>
      </w:pPr>
      <w:r>
        <w:rPr>
          <w:rFonts w:ascii="Times" w:hAnsi="Times" w:eastAsia="Batang"/>
          <w:sz w:val="22"/>
          <w:szCs w:val="22"/>
          <w:highlight w:val="cyan"/>
          <w:lang w:val="en-GB"/>
        </w:rPr>
        <w:t>[101-e-NR-unlic-NRU-InitAccessProc-04]</w:t>
      </w:r>
    </w:p>
    <w:p>
      <w:pPr>
        <w:pStyle w:val="45"/>
        <w:numPr>
          <w:ilvl w:val="1"/>
          <w:numId w:val="5"/>
        </w:numPr>
        <w:rPr>
          <w:rFonts w:ascii="Times New Roman" w:hAnsi="Times New Roman"/>
          <w:sz w:val="22"/>
          <w:lang w:val="en-GB" w:eastAsia="zh-CN"/>
        </w:rPr>
      </w:pPr>
      <w:r>
        <w:rPr>
          <w:rFonts w:ascii="Times New Roman" w:hAnsi="Times New Roman"/>
          <w:sz w:val="22"/>
          <w:lang w:val="en-GB" w:eastAsia="zh-CN"/>
        </w:rPr>
        <w:t>(#3.4) Clarify and correct capturing the validation of SFN LSBs in Section 8.2 and 8.2A of TS 38.213, respectively and consider some special cases, e.g., RAR window size of &lt;=10ms and contention-free random access (CFRA).</w:t>
      </w:r>
    </w:p>
    <w:p>
      <w:pPr>
        <w:ind w:left="425"/>
        <w:rPr>
          <w:lang w:val="en-GB" w:eastAsia="zh-CN"/>
        </w:rPr>
      </w:pPr>
      <w:r>
        <w:rPr>
          <w:lang w:val="en-GB" w:eastAsia="zh-CN"/>
        </w:rPr>
        <w:t xml:space="preserve">Note: this is a continuation of email discussion </w:t>
      </w:r>
      <w:r>
        <w:rPr>
          <w:highlight w:val="cyan"/>
          <w:lang w:val="en-GB" w:eastAsia="zh-CN"/>
        </w:rPr>
        <w:t>[100b-e-NR-unlic-NRU-InitAccessProc-05]</w:t>
      </w:r>
      <w:r>
        <w:rPr>
          <w:lang w:val="en-GB" w:eastAsia="zh-CN"/>
        </w:rPr>
        <w:t xml:space="preserve"> Email approval of the corresponding TP to address LS from RAN2 in R1-2001506 by 4/23 - Jing (Qualcomm)</w:t>
      </w:r>
    </w:p>
    <w:p>
      <w:pPr>
        <w:pStyle w:val="45"/>
        <w:numPr>
          <w:ilvl w:val="0"/>
          <w:numId w:val="5"/>
        </w:numPr>
        <w:rPr>
          <w:lang w:val="en-GB" w:eastAsia="zh-CN"/>
        </w:rPr>
      </w:pPr>
      <w:r>
        <w:rPr>
          <w:rFonts w:ascii="Times New Roman" w:hAnsi="Times New Roman"/>
          <w:sz w:val="22"/>
          <w:lang w:val="en-GB" w:eastAsia="zh-CN"/>
        </w:rPr>
        <w:t>The LS-related topics (#2.12, #2.15, #4.3) are expected to be handled in separate email discussions allocated by the Chairman.</w:t>
      </w:r>
    </w:p>
    <w:p>
      <w:pPr>
        <w:spacing w:after="0"/>
        <w:rPr>
          <w:lang w:val="en-GB" w:eastAsia="zh-CN"/>
        </w:rPr>
      </w:pPr>
    </w:p>
    <w:p>
      <w:pPr>
        <w:spacing w:after="0"/>
        <w:rPr>
          <w:lang w:val="en-GB" w:eastAsia="zh-CN"/>
        </w:rPr>
      </w:pPr>
    </w:p>
    <w:p>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pPr>
        <w:spacing w:after="0"/>
        <w:rPr>
          <w:lang w:eastAsia="zh-CN"/>
        </w:rPr>
      </w:pPr>
    </w:p>
    <w:tbl>
      <w:tblPr>
        <w:tblStyle w:val="31"/>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shd w:val="clear" w:color="auto" w:fill="E5B8B7" w:themeFill="accent2" w:themeFillTint="66"/>
          </w:tcPr>
          <w:p>
            <w:pPr>
              <w:widowControl w:val="0"/>
              <w:spacing w:after="0"/>
              <w:jc w:val="center"/>
              <w:rPr>
                <w:b/>
                <w:lang w:eastAsia="zh-CN"/>
              </w:rPr>
            </w:pPr>
            <w:r>
              <w:rPr>
                <w:b/>
                <w:lang w:eastAsia="zh-CN"/>
              </w:rPr>
              <w:t>Company</w:t>
            </w:r>
          </w:p>
        </w:tc>
        <w:tc>
          <w:tcPr>
            <w:tcW w:w="6882" w:type="dxa"/>
            <w:shd w:val="clear" w:color="auto" w:fill="E5B8B7" w:themeFill="accent2" w:themeFillTint="66"/>
          </w:tcPr>
          <w:p>
            <w:pPr>
              <w:widowControl w:val="0"/>
              <w:spacing w:after="0"/>
              <w:jc w:val="center"/>
              <w:rPr>
                <w:b/>
                <w:lang w:eastAsia="zh-CN"/>
              </w:rPr>
            </w:pPr>
            <w:r>
              <w:rPr>
                <w:b/>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r>
              <w:rPr>
                <w:lang w:eastAsia="zh-CN"/>
              </w:rPr>
              <w:t>Samsung</w:t>
            </w:r>
          </w:p>
        </w:tc>
        <w:tc>
          <w:tcPr>
            <w:tcW w:w="6882" w:type="dxa"/>
          </w:tcPr>
          <w:p>
            <w:pPr>
              <w:widowControl w:val="0"/>
              <w:spacing w:after="0"/>
              <w:rPr>
                <w:lang w:eastAsia="zh-CN"/>
              </w:rPr>
            </w:pPr>
            <w:r>
              <w:rPr>
                <w:lang w:eastAsia="zh-CN"/>
              </w:rPr>
              <w:t xml:space="preserve">For 2.6, we don’t think the restriction should be added. A gNB cannot expect whether and when a UE can detect a SSB, so the gNB cannot rely on this information to change its rate matching behavior. For example, if a SSB can only be received by UE A, but cannot be received by UE B, then the rate matching behavior will be different for UE A and UE B, which contradict with the intention of cell-specific indication of the SSB transmission. </w:t>
            </w:r>
          </w:p>
          <w:p>
            <w:pPr>
              <w:widowControl w:val="0"/>
              <w:spacing w:after="0"/>
              <w:rPr>
                <w:lang w:eastAsia="zh-CN"/>
              </w:rPr>
            </w:pPr>
            <w:r>
              <w:rPr>
                <w:lang w:eastAsia="zh-CN"/>
              </w:rPr>
              <w:t xml:space="preserve">For 2.7, in Rel-15, there is no restriction that the indicated GSCN has to be a valid sync raster point, so when the same scheme is used for NR-U, there is no issue at all. Current specification can work perfectly, so no change is needed. </w:t>
            </w:r>
          </w:p>
          <w:p>
            <w:pPr>
              <w:widowControl w:val="0"/>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 xml:space="preserve">S 38.213 Subclause 5 relating to RLM is different from the other clarifications in this item, since that SSB is indicated by ssb-Index (not ssb-PositionsInBurst). So far, 38.213 has a clarification of ssb-PositionsInBurst, but there is no spec yet clarifies the use of ssb-Index. </w:t>
            </w:r>
          </w:p>
          <w:p>
            <w:pPr>
              <w:widowControl w:val="0"/>
              <w:spacing w:after="0"/>
              <w:rPr>
                <w:lang w:eastAsia="zh-CN"/>
              </w:rPr>
            </w:pPr>
            <w:r>
              <w:rPr>
                <w:rFonts w:eastAsiaTheme="minorEastAsia"/>
                <w:lang w:eastAsia="zh-CN"/>
              </w:rPr>
              <w:t xml:space="preserve">To summarize, we suggest to remove 2.6 and 2.7 in email thread 1, and add 2.4 into email discussion. Other email threads are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r>
              <w:rPr>
                <w:rFonts w:hint="eastAsia"/>
                <w:lang w:eastAsia="zh-CN"/>
              </w:rPr>
              <w:t>OPPO</w:t>
            </w:r>
          </w:p>
        </w:tc>
        <w:tc>
          <w:tcPr>
            <w:tcW w:w="6882" w:type="dxa"/>
          </w:tcPr>
          <w:p>
            <w:pPr>
              <w:widowControl w:val="0"/>
              <w:spacing w:after="0"/>
              <w:rPr>
                <w:lang w:eastAsia="zh-CN"/>
              </w:rPr>
            </w:pPr>
            <w:r>
              <w:rPr>
                <w:lang w:eastAsia="zh-CN"/>
              </w:rPr>
              <w:t xml:space="preserve">@FL, we have a proposal about PDSCH rate-match around SSB in our contribution R1-2004086 section 2.5 proposal 5 and TP3.3. But this contribution was not captured in the summary. We propose to discuss about proposal together under [email thread-01]#2.6.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r>
              <w:rPr>
                <w:lang w:eastAsia="zh-CN"/>
              </w:rPr>
              <w:t>Spreadtrum</w:t>
            </w:r>
          </w:p>
        </w:tc>
        <w:tc>
          <w:tcPr>
            <w:tcW w:w="6882" w:type="dxa"/>
          </w:tcPr>
          <w:p>
            <w:pPr>
              <w:widowControl w:val="0"/>
              <w:spacing w:after="0"/>
              <w:rPr>
                <w:lang w:eastAsia="zh-CN"/>
              </w:rPr>
            </w:pPr>
            <w:r>
              <w:rPr>
                <w:lang w:eastAsia="zh-CN"/>
              </w:rPr>
              <w:t>For #2.6, there could be mis-alignment b/w gNB and UE. PDSCH rate matching occurs at most in a slot. If gNB sends two SSBs in a slot, but UE detects the first SSB, then UE will only perform PDSCH rate matching around the first SSB, but gNB will perform PDSCH rate matching around the two SSBs.</w:t>
            </w:r>
          </w:p>
          <w:p>
            <w:pPr>
              <w:widowControl w:val="0"/>
              <w:spacing w:after="0"/>
              <w:rPr>
                <w:lang w:eastAsia="zh-CN"/>
              </w:rPr>
            </w:pPr>
            <w:r>
              <w:rPr>
                <w:lang w:eastAsia="zh-CN"/>
              </w:rPr>
              <w:t>Regarding PDSCH rate matching around SSB, #2.13 can be supported for both FBE and LBE, if “</w:t>
            </w:r>
            <w:r>
              <w:rPr>
                <w:bCs/>
                <w:iCs/>
                <w:lang w:val="en-GB"/>
              </w:rPr>
              <w:t>Only support single SS/PBCH block burst transmission and single associated LBT procedure in a discovery burst transmission window</w:t>
            </w:r>
            <w:r>
              <w:rPr>
                <w:lang w:eastAsia="zh-CN"/>
              </w:rPr>
              <w:t xml:space="preserve">” is agreed in #2.14. In our view, #2.13 provide a more efficient way for PDSCH rate matching than the current mechanism that solely relies on </w:t>
            </w:r>
            <w:r>
              <w:rPr>
                <w:i/>
                <w:lang w:eastAsia="zh-CN"/>
              </w:rPr>
              <w:t>SSB-PositionsInBurst</w:t>
            </w:r>
            <w:r>
              <w:rPr>
                <w:lang w:eastAsia="zh-CN"/>
              </w:rPr>
              <w:t xml:space="preserve">. Therefore, </w:t>
            </w:r>
            <w:r>
              <w:rPr>
                <w:b/>
                <w:lang w:eastAsia="zh-CN"/>
              </w:rPr>
              <w:t>#2.6, #2.13 and #2.14 can be discussed together</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rFonts w:eastAsia="Malgun Gothic"/>
                <w:lang w:eastAsia="ko-KR"/>
              </w:rPr>
            </w:pPr>
            <w:r>
              <w:rPr>
                <w:rFonts w:hint="eastAsia" w:eastAsia="Malgun Gothic"/>
                <w:lang w:eastAsia="ko-KR"/>
              </w:rPr>
              <w:t>E</w:t>
            </w:r>
            <w:r>
              <w:rPr>
                <w:rFonts w:eastAsia="Malgun Gothic"/>
                <w:lang w:eastAsia="ko-KR"/>
              </w:rPr>
              <w:t>TRI</w:t>
            </w:r>
          </w:p>
        </w:tc>
        <w:tc>
          <w:tcPr>
            <w:tcW w:w="6882" w:type="dxa"/>
          </w:tcPr>
          <w:p>
            <w:pPr>
              <w:widowControl w:val="0"/>
              <w:spacing w:after="0"/>
              <w:rPr>
                <w:lang w:eastAsia="zh-CN"/>
              </w:rPr>
            </w:pPr>
            <w:r>
              <w:rPr>
                <w:lang w:eastAsia="zh-CN"/>
              </w:rPr>
              <w:t>@FL, we also have a contribution on the PDSCH rate-matching around SSB which is closely related with issue #2.6 not editorial. So we moved our contribution under the issue #2.6. Regarding the issue, we have similar view with Samsung. The SSB indication for rate-matching should be cell-specific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r>
              <w:rPr>
                <w:rFonts w:hint="eastAsia" w:eastAsia="Malgun Gothic"/>
                <w:lang w:eastAsia="ko-KR"/>
              </w:rPr>
              <w:t>LG Electronics</w:t>
            </w:r>
          </w:p>
        </w:tc>
        <w:tc>
          <w:tcPr>
            <w:tcW w:w="6882" w:type="dxa"/>
          </w:tcPr>
          <w:p>
            <w:pPr>
              <w:widowControl w:val="0"/>
              <w:spacing w:after="0"/>
              <w:rPr>
                <w:rFonts w:eastAsia="Malgun Gothic"/>
                <w:lang w:eastAsia="ko-KR"/>
              </w:rPr>
            </w:pPr>
            <w:r>
              <w:rPr>
                <w:rFonts w:hint="eastAsia" w:eastAsia="Malgun Gothic"/>
                <w:lang w:eastAsia="ko-KR"/>
              </w:rPr>
              <w:t>For emai</w:t>
            </w:r>
            <w:r>
              <w:rPr>
                <w:rFonts w:eastAsia="Malgun Gothic"/>
                <w:lang w:eastAsia="ko-KR"/>
              </w:rPr>
              <w:t>l thread #01, we agree with Samsung in that issues 2.6 and 2.7 are not preferable to discuss, but issue 2.4 is an essential issue. If we adopt issue 2.4 as essential, issue 2.2 should be handled together since those two issues focus on the same topic.</w:t>
            </w:r>
          </w:p>
          <w:p>
            <w:pPr>
              <w:widowControl w:val="0"/>
              <w:spacing w:after="0"/>
              <w:rPr>
                <w:rFonts w:eastAsia="Malgun Gothic"/>
                <w:lang w:eastAsia="ko-KR"/>
              </w:rPr>
            </w:pPr>
            <w:r>
              <w:rPr>
                <w:rFonts w:eastAsia="Malgun Gothic"/>
                <w:lang w:eastAsia="ko-KR"/>
              </w:rPr>
              <w:t>For email thread #02, we disagree to discuss issue 3.3 as commented in previous meetings, since it seems optimization and requires quite a big change to idle mode UE behavior.</w:t>
            </w:r>
          </w:p>
          <w:p>
            <w:pPr>
              <w:widowControl w:val="0"/>
              <w:spacing w:after="0"/>
              <w:rPr>
                <w:lang w:eastAsia="zh-CN"/>
              </w:rPr>
            </w:pPr>
            <w:r>
              <w:rPr>
                <w:rFonts w:eastAsia="Malgun Gothic"/>
                <w:lang w:eastAsia="ko-KR"/>
              </w:rPr>
              <w:t>For email threads #03 and #04, we are OK for FL’s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r>
              <w:rPr>
                <w:lang w:eastAsia="zh-CN"/>
              </w:rPr>
              <w:t>Qualcomm</w:t>
            </w:r>
          </w:p>
        </w:tc>
        <w:tc>
          <w:tcPr>
            <w:tcW w:w="6882" w:type="dxa"/>
          </w:tcPr>
          <w:p>
            <w:pPr>
              <w:widowControl w:val="0"/>
              <w:spacing w:after="0"/>
              <w:rPr>
                <w:lang w:eastAsia="zh-CN"/>
              </w:rPr>
            </w:pPr>
            <w:r>
              <w:rPr>
                <w:lang w:eastAsia="zh-CN"/>
              </w:rPr>
              <w:t>For issue 2.6, share the same view that detection of SSB based rate matching is not robust.</w:t>
            </w:r>
          </w:p>
          <w:p>
            <w:pPr>
              <w:widowControl w:val="0"/>
              <w:spacing w:after="0"/>
              <w:rPr>
                <w:lang w:eastAsia="zh-CN"/>
              </w:rPr>
            </w:pPr>
            <w:r>
              <w:rPr>
                <w:lang w:eastAsia="zh-CN"/>
              </w:rPr>
              <w:t>For issue 3.3, we believe it is important to discuss, especially the SI-RNTI based alternative, or the many ROs will be unnecessarily wasted.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vAlign w:val="top"/>
          </w:tcPr>
          <w:p>
            <w:pPr>
              <w:widowControl w:val="0"/>
              <w:spacing w:after="0"/>
              <w:rPr>
                <w:lang w:eastAsia="zh-CN"/>
              </w:rPr>
            </w:pPr>
            <w:r>
              <w:rPr>
                <w:rFonts w:hint="eastAsia"/>
                <w:lang w:val="en-US" w:eastAsia="zh-CN"/>
              </w:rPr>
              <w:t>ZTE</w:t>
            </w:r>
          </w:p>
        </w:tc>
        <w:tc>
          <w:tcPr>
            <w:tcW w:w="6882" w:type="dxa"/>
            <w:vAlign w:val="top"/>
          </w:tcPr>
          <w:p>
            <w:pPr>
              <w:widowControl w:val="0"/>
              <w:spacing w:after="0"/>
              <w:rPr>
                <w:rFonts w:hint="eastAsia"/>
                <w:lang w:val="en-US" w:eastAsia="zh-CN"/>
              </w:rPr>
            </w:pPr>
            <w:r>
              <w:rPr>
                <w:rFonts w:hint="eastAsia"/>
                <w:lang w:val="en-US" w:eastAsia="zh-CN"/>
              </w:rPr>
              <w:t xml:space="preserve">For Issue 2.5, we believe the agreement has already been captured in spec implicitly, since we have </w:t>
            </w:r>
            <w:r>
              <w:rPr>
                <w:rFonts w:hint="default"/>
                <w:lang w:val="en-US" w:eastAsia="zh-CN"/>
              </w:rPr>
              <w:t>“</w:t>
            </w:r>
            <w:r>
              <w:t xml:space="preserve">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ctrlPr>
                    <w:rPr>
                      <w:rFonts w:ascii="Cambria Math" w:hAnsi="Cambria Math" w:cs="Calibri"/>
                      <w:i/>
                      <w:iCs/>
                      <w:sz w:val="24"/>
                    </w:rPr>
                  </m:ctrlPr>
                </m:e>
                <m:sub>
                  <m:r>
                    <w:rPr>
                      <w:rFonts w:ascii="Cambria Math" w:hAnsi="Cambria Math"/>
                    </w:rPr>
                    <m:t>SSB</m:t>
                  </m:r>
                  <m:ctrlPr>
                    <w:rPr>
                      <w:rFonts w:ascii="Cambria Math" w:hAnsi="Cambria Math" w:cs="Calibri"/>
                      <w:i/>
                      <w:iCs/>
                      <w:sz w:val="24"/>
                    </w:rPr>
                  </m:ctrlPr>
                </m:sub>
                <m:sup>
                  <m:r>
                    <w:rPr>
                      <w:rFonts w:ascii="Cambria Math" w:hAnsi="Cambria Math"/>
                    </w:rPr>
                    <m:t>QCL</m:t>
                  </m:r>
                  <m:ctrlPr>
                    <w:rPr>
                      <w:rFonts w:ascii="Cambria Math" w:hAnsi="Cambria Math" w:cs="Calibri"/>
                      <w:i/>
                      <w:iCs/>
                      <w:sz w:val="24"/>
                    </w:rPr>
                  </m:ctrlPr>
                </m:sup>
              </m:sSubSup>
            </m:oMath>
            <w:r>
              <w:rPr>
                <w:lang w:eastAsia="ko-KR"/>
              </w:rPr>
              <w:t xml:space="preserve"> </w:t>
            </w:r>
            <w:r>
              <w:t>and a number of transmitted SS/PBCH blocks with a same SS/PBCH block index is not larger than one.</w:t>
            </w:r>
            <w:r>
              <w:rPr>
                <w:rFonts w:hint="default"/>
                <w:lang w:val="en-US" w:eastAsia="zh-CN"/>
              </w:rPr>
              <w:t>”</w:t>
            </w:r>
            <w:r>
              <w:rPr>
                <w:rFonts w:hint="eastAsia"/>
                <w:lang w:val="en-US" w:eastAsia="zh-CN"/>
              </w:rPr>
              <w:t xml:space="preserve"> We can derive that the number of transmitted SSBs is not larger than Q, and Q is not larger than 8, so we have “</w:t>
            </w:r>
            <w:r>
              <w:t>The maximum number of transmitted SS/PBCH blocks within a discovery burst transmission window is 8</w:t>
            </w:r>
            <w:r>
              <w:rPr>
                <w:rFonts w:hint="eastAsia"/>
                <w:lang w:val="en-US" w:eastAsia="zh-CN"/>
              </w:rPr>
              <w:t>”. Therefore, we don</w:t>
            </w:r>
            <w:r>
              <w:rPr>
                <w:rFonts w:hint="default"/>
                <w:lang w:val="en-US" w:eastAsia="zh-CN"/>
              </w:rPr>
              <w:t>’</w:t>
            </w:r>
            <w:r>
              <w:rPr>
                <w:rFonts w:hint="eastAsia"/>
                <w:lang w:val="en-US" w:eastAsia="zh-CN"/>
              </w:rPr>
              <w:t>t need to discuss it anymore.</w:t>
            </w:r>
          </w:p>
          <w:p>
            <w:pPr>
              <w:widowControl w:val="0"/>
              <w:spacing w:after="0"/>
              <w:rPr>
                <w:rFonts w:hint="eastAsia"/>
                <w:lang w:val="en-US" w:eastAsia="zh-CN"/>
              </w:rPr>
            </w:pPr>
          </w:p>
          <w:p>
            <w:pPr>
              <w:widowControl w:val="0"/>
              <w:spacing w:after="0"/>
              <w:rPr>
                <w:rFonts w:hint="eastAsia"/>
                <w:lang w:val="en-US" w:eastAsia="zh-CN"/>
              </w:rPr>
            </w:pPr>
            <w:r>
              <w:rPr>
                <w:rFonts w:hint="eastAsia"/>
                <w:lang w:val="en-US" w:eastAsia="zh-CN"/>
              </w:rPr>
              <w:t xml:space="preserve">For Issue 2.6, we want to clarify that the purpose is to echo the agreement we made in last meeting that </w:t>
            </w:r>
            <w:r>
              <w:rPr>
                <w:rFonts w:hint="default"/>
                <w:lang w:val="en-US" w:eastAsia="zh-CN"/>
              </w:rPr>
              <w:t>“</w:t>
            </w:r>
            <w:r>
              <w:t>The UE assumes</w:t>
            </w:r>
            <w:r>
              <w:rPr>
                <w:rFonts w:hint="eastAsia"/>
                <w:lang w:val="en-US" w:eastAsia="zh-CN"/>
              </w:rPr>
              <w:t xml:space="preserve"> ...</w:t>
            </w:r>
            <w:bookmarkStart w:id="14" w:name="_GoBack"/>
            <w:bookmarkEnd w:id="14"/>
            <w:r>
              <w:rPr>
                <w:rFonts w:hint="eastAsia"/>
                <w:lang w:val="en-US" w:eastAsia="zh-CN"/>
              </w:rPr>
              <w:t xml:space="preserve"> </w:t>
            </w:r>
            <w:r>
              <w:t>a number of transmitted SS/PBCH blocks with a same SS/PBCH block index is not larger than one</w:t>
            </w:r>
            <w:r>
              <w:rPr>
                <w:rFonts w:hint="default"/>
                <w:lang w:val="en-US" w:eastAsia="zh-CN"/>
              </w:rPr>
              <w:t>”</w:t>
            </w:r>
            <w:r>
              <w:rPr>
                <w:rFonts w:hint="eastAsia"/>
                <w:lang w:val="en-US" w:eastAsia="zh-CN"/>
              </w:rPr>
              <w:t>. When UE detects one SSB, it won</w:t>
            </w:r>
            <w:r>
              <w:rPr>
                <w:rFonts w:hint="default"/>
                <w:lang w:val="en-US" w:eastAsia="zh-CN"/>
              </w:rPr>
              <w:t>’</w:t>
            </w:r>
            <w:r>
              <w:rPr>
                <w:rFonts w:hint="eastAsia"/>
                <w:lang w:val="en-US" w:eastAsia="zh-CN"/>
              </w:rPr>
              <w:t>t monitor the remaining candidate SSB positions and won</w:t>
            </w:r>
            <w:r>
              <w:rPr>
                <w:rFonts w:hint="default"/>
                <w:lang w:val="en-US" w:eastAsia="zh-CN"/>
              </w:rPr>
              <w:t>’</w:t>
            </w:r>
            <w:r>
              <w:rPr>
                <w:rFonts w:hint="eastAsia"/>
                <w:lang w:val="en-US" w:eastAsia="zh-CN"/>
              </w:rPr>
              <w:t>t perform rate matching around these candidate SSBs, we think it</w:t>
            </w:r>
            <w:r>
              <w:rPr>
                <w:rFonts w:hint="default"/>
                <w:lang w:val="en-US" w:eastAsia="zh-CN"/>
              </w:rPr>
              <w:t>’</w:t>
            </w:r>
            <w:r>
              <w:rPr>
                <w:rFonts w:hint="eastAsia"/>
                <w:lang w:val="en-US" w:eastAsia="zh-CN"/>
              </w:rPr>
              <w:t>s a very natural and reasonable result. In addition, it</w:t>
            </w:r>
            <w:r>
              <w:rPr>
                <w:rFonts w:hint="default"/>
                <w:lang w:val="en-US" w:eastAsia="zh-CN"/>
              </w:rPr>
              <w:t>’</w:t>
            </w:r>
            <w:r>
              <w:rPr>
                <w:rFonts w:hint="eastAsia"/>
                <w:lang w:val="en-US" w:eastAsia="zh-CN"/>
              </w:rPr>
              <w:t>s not to restrict gNB</w:t>
            </w:r>
            <w:r>
              <w:rPr>
                <w:rFonts w:hint="default"/>
                <w:lang w:val="en-US" w:eastAsia="zh-CN"/>
              </w:rPr>
              <w:t>’</w:t>
            </w:r>
            <w:r>
              <w:rPr>
                <w:rFonts w:hint="eastAsia"/>
                <w:lang w:val="en-US" w:eastAsia="zh-CN"/>
              </w:rPr>
              <w:t>s behavior, only from UE</w:t>
            </w:r>
            <w:r>
              <w:rPr>
                <w:rFonts w:hint="default"/>
                <w:lang w:val="en-US" w:eastAsia="zh-CN"/>
              </w:rPr>
              <w:t>’</w:t>
            </w:r>
            <w:r>
              <w:rPr>
                <w:rFonts w:hint="eastAsia"/>
                <w:lang w:val="en-US" w:eastAsia="zh-CN"/>
              </w:rPr>
              <w:t>s perspective.</w:t>
            </w:r>
          </w:p>
          <w:p>
            <w:pPr>
              <w:widowControl w:val="0"/>
              <w:spacing w:after="0"/>
              <w:rPr>
                <w:rFonts w:hint="eastAsia"/>
                <w:lang w:val="en-US" w:eastAsia="zh-CN"/>
              </w:rPr>
            </w:pPr>
          </w:p>
          <w:p>
            <w:pPr>
              <w:spacing w:after="160" w:line="259" w:lineRule="auto"/>
              <w:rPr>
                <w:rFonts w:hint="eastAsia"/>
                <w:iCs/>
                <w:lang w:val="en-US" w:eastAsia="zh-CN"/>
              </w:rPr>
            </w:pPr>
            <w:r>
              <w:rPr>
                <w:rFonts w:hint="eastAsia"/>
                <w:lang w:val="en-US" w:eastAsia="zh-CN"/>
              </w:rPr>
              <w:t>For Issue 2.12, the issue is valid that RAN4</w:t>
            </w:r>
            <w:r>
              <w:rPr>
                <w:rFonts w:hint="default"/>
                <w:lang w:val="en-US" w:eastAsia="zh-CN"/>
              </w:rPr>
              <w:t>’</w:t>
            </w:r>
            <w:r>
              <w:rPr>
                <w:rFonts w:hint="eastAsia"/>
                <w:lang w:val="en-US" w:eastAsia="zh-CN"/>
              </w:rPr>
              <w:t xml:space="preserve">s agreement that </w:t>
            </w:r>
            <w:r>
              <w:rPr>
                <w:iCs/>
              </w:rPr>
              <w:t>UE is allowed to take any active SCell in the cell group as timing reference cell</w:t>
            </w:r>
            <w:r>
              <w:rPr>
                <w:rFonts w:hint="eastAsia"/>
                <w:iCs/>
                <w:lang w:val="en-US" w:eastAsia="zh-CN"/>
              </w:rPr>
              <w:t xml:space="preserve"> does have impact on 38.213, since the current statement is </w:t>
            </w:r>
            <w:r>
              <w:rPr>
                <w:rFonts w:hint="default"/>
                <w:iCs/>
                <w:lang w:val="en-US" w:eastAsia="zh-CN"/>
              </w:rPr>
              <w:t>“</w:t>
            </w:r>
            <w:r>
              <w:t>For a serving cell without transmission of SS/PBCH blocks, a UE acquires time and frequency synchronization with the serving cell based on receptions of SS/PBCH blocks on the PCell, or on the PSCell, of the cell group for the serving cell</w:t>
            </w:r>
            <w:r>
              <w:rPr>
                <w:rFonts w:hint="default"/>
                <w:iCs/>
                <w:lang w:val="en-US" w:eastAsia="zh-CN"/>
              </w:rPr>
              <w:t>”</w:t>
            </w:r>
            <w:r>
              <w:rPr>
                <w:rFonts w:hint="eastAsia"/>
                <w:iCs/>
                <w:lang w:val="en-US" w:eastAsia="zh-CN"/>
              </w:rPr>
              <w:t>. We understand FL</w:t>
            </w:r>
            <w:r>
              <w:rPr>
                <w:rFonts w:hint="default"/>
                <w:iCs/>
                <w:lang w:val="en-US" w:eastAsia="zh-CN"/>
              </w:rPr>
              <w:t>’</w:t>
            </w:r>
            <w:r>
              <w:rPr>
                <w:rFonts w:hint="eastAsia"/>
                <w:iCs/>
                <w:lang w:val="en-US" w:eastAsia="zh-CN"/>
              </w:rPr>
              <w:t>s comment to handle this in separate LS email thread, but this LS is not asking reply and it seems the initial assessment doesn</w:t>
            </w:r>
            <w:r>
              <w:rPr>
                <w:rFonts w:hint="default"/>
                <w:iCs/>
                <w:lang w:val="en-US" w:eastAsia="zh-CN"/>
              </w:rPr>
              <w:t>’</w:t>
            </w:r>
            <w:r>
              <w:rPr>
                <w:rFonts w:hint="eastAsia"/>
                <w:iCs/>
                <w:lang w:val="en-US" w:eastAsia="zh-CN"/>
              </w:rPr>
              <w:t>t put it into a separate email thread, so we suggest that we could put 2.12 in email thread #1 if chairman finally decide not to approve this separate LS email thread.</w:t>
            </w:r>
          </w:p>
          <w:p>
            <w:pPr>
              <w:spacing w:after="160" w:line="259" w:lineRule="auto"/>
              <w:rPr>
                <w:rFonts w:hint="eastAsia"/>
                <w:iCs/>
                <w:lang w:val="en-US" w:eastAsia="zh-CN"/>
              </w:rPr>
            </w:pPr>
            <w:r>
              <w:rPr>
                <w:rFonts w:hint="eastAsia"/>
                <w:iCs/>
                <w:lang w:val="en-US" w:eastAsia="zh-CN"/>
              </w:rPr>
              <w:t>For Issue 3.3, we believe this is an optimization issue and has impact in RAN2 as well, we are not sure if it</w:t>
            </w:r>
            <w:r>
              <w:rPr>
                <w:rFonts w:hint="default"/>
                <w:iCs/>
                <w:lang w:val="en-US" w:eastAsia="zh-CN"/>
              </w:rPr>
              <w:t>’</w:t>
            </w:r>
            <w:r>
              <w:rPr>
                <w:rFonts w:hint="eastAsia"/>
                <w:iCs/>
                <w:lang w:val="en-US" w:eastAsia="zh-CN"/>
              </w:rPr>
              <w:t>s appropriate to discuss this in the last stage of Rel-16. It</w:t>
            </w:r>
            <w:r>
              <w:rPr>
                <w:rFonts w:hint="default"/>
                <w:iCs/>
                <w:lang w:val="en-US" w:eastAsia="zh-CN"/>
              </w:rPr>
              <w:t>’</w:t>
            </w:r>
            <w:r>
              <w:rPr>
                <w:rFonts w:hint="eastAsia"/>
                <w:iCs/>
                <w:lang w:val="en-US" w:eastAsia="zh-CN"/>
              </w:rPr>
              <w:t xml:space="preserve">s better to focus on the remaining discussion from last meeting and try to reach consensus. </w:t>
            </w:r>
          </w:p>
          <w:p>
            <w:pPr>
              <w:spacing w:after="160" w:line="259" w:lineRule="auto"/>
              <w:rPr>
                <w:lang w:eastAsia="zh-CN"/>
              </w:rPr>
            </w:pPr>
            <w:r>
              <w:rPr>
                <w:rFonts w:hint="eastAsia"/>
                <w:iCs/>
                <w:lang w:val="en-US" w:eastAsia="zh-CN"/>
              </w:rPr>
              <w:t xml:space="preserve">For editorial issues, maybe we could simply vote in preparation phase that if we could agree directly and transfer to editor, or make a decision in TP discussing week, because we are afraid that we may not have chance to handle these in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p>
        </w:tc>
        <w:tc>
          <w:tcPr>
            <w:tcW w:w="6882"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p>
        </w:tc>
        <w:tc>
          <w:tcPr>
            <w:tcW w:w="6882" w:type="dxa"/>
          </w:tcPr>
          <w:p>
            <w:pPr>
              <w:widowControl w:val="0"/>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rFonts w:eastAsia="Malgun Gothic"/>
                <w:lang w:eastAsia="ko-KR"/>
              </w:rPr>
            </w:pPr>
          </w:p>
        </w:tc>
        <w:tc>
          <w:tcPr>
            <w:tcW w:w="6882" w:type="dxa"/>
          </w:tcPr>
          <w:p>
            <w:pPr>
              <w:pStyle w:val="13"/>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p>
        </w:tc>
        <w:tc>
          <w:tcPr>
            <w:tcW w:w="6882" w:type="dxa"/>
          </w:tcPr>
          <w:p>
            <w:pPr>
              <w:pStyle w:val="13"/>
              <w:widowControl w:val="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p>
        </w:tc>
        <w:tc>
          <w:tcPr>
            <w:tcW w:w="6882" w:type="dxa"/>
          </w:tcPr>
          <w:p>
            <w:pPr>
              <w:pStyle w:val="13"/>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25" w:type="dxa"/>
          </w:tcPr>
          <w:p>
            <w:pPr>
              <w:widowControl w:val="0"/>
              <w:spacing w:after="0"/>
              <w:rPr>
                <w:lang w:eastAsia="zh-CN"/>
              </w:rPr>
            </w:pPr>
          </w:p>
        </w:tc>
        <w:tc>
          <w:tcPr>
            <w:tcW w:w="6882" w:type="dxa"/>
          </w:tcPr>
          <w:p>
            <w:pPr>
              <w:pStyle w:val="13"/>
              <w:widowControl w:val="0"/>
              <w:rPr>
                <w:lang w:eastAsia="zh-CN"/>
              </w:rPr>
            </w:pPr>
          </w:p>
        </w:tc>
      </w:tr>
    </w:tbl>
    <w:p>
      <w:pPr>
        <w:spacing w:after="0"/>
        <w:rPr>
          <w:lang w:eastAsia="zh-CN"/>
        </w:rPr>
      </w:pPr>
    </w:p>
    <w:p>
      <w:pPr>
        <w:spacing w:after="0"/>
        <w:rPr>
          <w:lang w:eastAsia="zh-CN"/>
        </w:rPr>
      </w:pPr>
    </w:p>
    <w:p>
      <w:pPr>
        <w:spacing w:after="0"/>
        <w:rPr>
          <w:lang w:val="en-GB" w:eastAsia="zh-CN"/>
        </w:rPr>
      </w:pPr>
    </w:p>
    <w:p>
      <w:pPr>
        <w:pStyle w:val="2"/>
        <w:numPr>
          <w:ilvl w:val="0"/>
          <w:numId w:val="0"/>
        </w:numPr>
        <w:spacing w:before="0" w:after="0"/>
        <w:ind w:left="432" w:hanging="432"/>
      </w:pPr>
      <w:r>
        <w:t>References</w:t>
      </w:r>
    </w:p>
    <w:bookmarkEnd w:id="2"/>
    <w:bookmarkEnd w:id="3"/>
    <w:bookmarkEnd w:id="4"/>
    <w:bookmarkEnd w:id="5"/>
    <w:p>
      <w:pPr>
        <w:pStyle w:val="34"/>
        <w:rPr>
          <w:sz w:val="22"/>
          <w:lang w:eastAsia="zh-CN"/>
        </w:rPr>
      </w:pPr>
      <w:bookmarkStart w:id="11" w:name="_Ref37423461"/>
      <w:r>
        <w:rPr>
          <w:sz w:val="22"/>
          <w:lang w:eastAsia="zh-CN"/>
        </w:rPr>
        <w:t>R1-2003371</w:t>
      </w:r>
      <w:r>
        <w:rPr>
          <w:sz w:val="22"/>
          <w:lang w:eastAsia="zh-CN"/>
        </w:rPr>
        <w:tab/>
      </w:r>
      <w:r>
        <w:rPr>
          <w:sz w:val="22"/>
          <w:lang w:eastAsia="zh-CN"/>
        </w:rPr>
        <w:t>Remaining issues on initial access procedure for NR-U</w:t>
      </w:r>
      <w:r>
        <w:rPr>
          <w:sz w:val="22"/>
          <w:lang w:eastAsia="zh-CN"/>
        </w:rPr>
        <w:tab/>
      </w:r>
      <w:r>
        <w:rPr>
          <w:sz w:val="22"/>
          <w:lang w:eastAsia="zh-CN"/>
        </w:rPr>
        <w:t>vivo</w:t>
      </w:r>
    </w:p>
    <w:p>
      <w:pPr>
        <w:pStyle w:val="34"/>
        <w:rPr>
          <w:sz w:val="22"/>
          <w:lang w:eastAsia="zh-CN"/>
        </w:rPr>
      </w:pPr>
      <w:r>
        <w:rPr>
          <w:sz w:val="22"/>
          <w:lang w:eastAsia="zh-CN"/>
        </w:rPr>
        <w:t>R1-2003451</w:t>
      </w:r>
      <w:r>
        <w:rPr>
          <w:sz w:val="22"/>
          <w:lang w:eastAsia="zh-CN"/>
        </w:rPr>
        <w:tab/>
      </w:r>
      <w:r>
        <w:rPr>
          <w:sz w:val="22"/>
          <w:lang w:eastAsia="zh-CN"/>
        </w:rPr>
        <w:t>Remaining issues on the initial access procedure for NR-U</w:t>
      </w:r>
      <w:r>
        <w:rPr>
          <w:sz w:val="22"/>
          <w:lang w:eastAsia="zh-CN"/>
        </w:rPr>
        <w:tab/>
      </w:r>
      <w:r>
        <w:rPr>
          <w:sz w:val="22"/>
          <w:lang w:eastAsia="zh-CN"/>
        </w:rPr>
        <w:t>ZTE, Sanechips</w:t>
      </w:r>
    </w:p>
    <w:p>
      <w:pPr>
        <w:pStyle w:val="34"/>
        <w:rPr>
          <w:sz w:val="22"/>
          <w:lang w:eastAsia="zh-CN"/>
        </w:rPr>
      </w:pPr>
      <w:r>
        <w:rPr>
          <w:sz w:val="22"/>
          <w:lang w:eastAsia="zh-CN"/>
        </w:rPr>
        <w:t>R1-2003513</w:t>
      </w:r>
      <w:r>
        <w:rPr>
          <w:sz w:val="22"/>
          <w:lang w:eastAsia="zh-CN"/>
        </w:rPr>
        <w:tab/>
      </w:r>
      <w:r>
        <w:rPr>
          <w:sz w:val="22"/>
          <w:lang w:eastAsia="zh-CN"/>
        </w:rPr>
        <w:t>Maintenance on the initial access procedures</w:t>
      </w:r>
      <w:r>
        <w:rPr>
          <w:sz w:val="22"/>
          <w:lang w:eastAsia="zh-CN"/>
        </w:rPr>
        <w:tab/>
      </w:r>
      <w:r>
        <w:rPr>
          <w:sz w:val="22"/>
          <w:lang w:eastAsia="zh-CN"/>
        </w:rPr>
        <w:t>Huawei, HiSilicon</w:t>
      </w:r>
    </w:p>
    <w:p>
      <w:pPr>
        <w:pStyle w:val="34"/>
        <w:rPr>
          <w:sz w:val="22"/>
          <w:lang w:eastAsia="zh-CN"/>
        </w:rPr>
      </w:pPr>
      <w:r>
        <w:rPr>
          <w:sz w:val="22"/>
          <w:lang w:eastAsia="zh-CN"/>
        </w:rPr>
        <w:t>R1-2003657</w:t>
      </w:r>
      <w:r>
        <w:rPr>
          <w:sz w:val="22"/>
          <w:lang w:eastAsia="zh-CN"/>
        </w:rPr>
        <w:tab/>
      </w:r>
      <w:r>
        <w:rPr>
          <w:sz w:val="22"/>
          <w:lang w:eastAsia="zh-CN"/>
        </w:rPr>
        <w:t>Remaining issues on initial access procedure for NR-U operation</w:t>
      </w:r>
      <w:r>
        <w:rPr>
          <w:sz w:val="22"/>
          <w:lang w:eastAsia="zh-CN"/>
        </w:rPr>
        <w:tab/>
      </w:r>
      <w:r>
        <w:rPr>
          <w:sz w:val="22"/>
          <w:lang w:eastAsia="zh-CN"/>
        </w:rPr>
        <w:t>MediaTek Inc.</w:t>
      </w:r>
    </w:p>
    <w:p>
      <w:pPr>
        <w:pStyle w:val="34"/>
        <w:rPr>
          <w:sz w:val="22"/>
          <w:lang w:eastAsia="zh-CN"/>
        </w:rPr>
      </w:pPr>
      <w:r>
        <w:rPr>
          <w:sz w:val="22"/>
          <w:lang w:eastAsia="zh-CN"/>
        </w:rPr>
        <w:t>R1-2003729</w:t>
      </w:r>
      <w:r>
        <w:rPr>
          <w:sz w:val="22"/>
          <w:lang w:eastAsia="zh-CN"/>
        </w:rPr>
        <w:tab/>
      </w:r>
      <w:r>
        <w:rPr>
          <w:sz w:val="22"/>
          <w:lang w:eastAsia="zh-CN"/>
        </w:rPr>
        <w:t>Enhancements to initial access and mobility for NR-unlicensed</w:t>
      </w:r>
      <w:r>
        <w:rPr>
          <w:sz w:val="22"/>
          <w:lang w:eastAsia="zh-CN"/>
        </w:rPr>
        <w:tab/>
      </w:r>
      <w:r>
        <w:rPr>
          <w:sz w:val="22"/>
          <w:lang w:eastAsia="zh-CN"/>
        </w:rPr>
        <w:t>Intel Corporation</w:t>
      </w:r>
    </w:p>
    <w:p>
      <w:pPr>
        <w:pStyle w:val="34"/>
        <w:rPr>
          <w:sz w:val="22"/>
          <w:lang w:eastAsia="zh-CN"/>
        </w:rPr>
      </w:pPr>
      <w:r>
        <w:rPr>
          <w:sz w:val="22"/>
          <w:lang w:eastAsia="zh-CN"/>
        </w:rPr>
        <w:t>R1-2003844</w:t>
      </w:r>
      <w:r>
        <w:rPr>
          <w:sz w:val="22"/>
          <w:lang w:eastAsia="zh-CN"/>
        </w:rPr>
        <w:tab/>
      </w:r>
      <w:r>
        <w:rPr>
          <w:sz w:val="22"/>
          <w:lang w:eastAsia="zh-CN"/>
        </w:rPr>
        <w:t>Enhancements to initial access procedures</w:t>
      </w:r>
      <w:r>
        <w:rPr>
          <w:sz w:val="22"/>
          <w:lang w:eastAsia="zh-CN"/>
        </w:rPr>
        <w:tab/>
      </w:r>
      <w:r>
        <w:rPr>
          <w:sz w:val="22"/>
          <w:lang w:eastAsia="zh-CN"/>
        </w:rPr>
        <w:t>Ericsson</w:t>
      </w:r>
    </w:p>
    <w:p>
      <w:pPr>
        <w:pStyle w:val="34"/>
        <w:rPr>
          <w:sz w:val="22"/>
          <w:lang w:eastAsia="zh-CN"/>
        </w:rPr>
      </w:pPr>
      <w:r>
        <w:rPr>
          <w:sz w:val="22"/>
          <w:lang w:eastAsia="zh-CN"/>
        </w:rPr>
        <w:t>R1-2003861</w:t>
      </w:r>
      <w:r>
        <w:rPr>
          <w:sz w:val="22"/>
          <w:lang w:eastAsia="zh-CN"/>
        </w:rPr>
        <w:tab/>
      </w:r>
      <w:r>
        <w:rPr>
          <w:sz w:val="22"/>
          <w:lang w:eastAsia="zh-CN"/>
        </w:rPr>
        <w:t>Initial access procedures for NR-U</w:t>
      </w:r>
      <w:r>
        <w:rPr>
          <w:sz w:val="22"/>
          <w:lang w:eastAsia="zh-CN"/>
        </w:rPr>
        <w:tab/>
      </w:r>
      <w:r>
        <w:rPr>
          <w:sz w:val="22"/>
          <w:lang w:eastAsia="zh-CN"/>
        </w:rPr>
        <w:t>Samsung</w:t>
      </w:r>
    </w:p>
    <w:p>
      <w:pPr>
        <w:pStyle w:val="34"/>
        <w:rPr>
          <w:sz w:val="22"/>
          <w:lang w:eastAsia="zh-CN"/>
        </w:rPr>
      </w:pPr>
      <w:r>
        <w:rPr>
          <w:sz w:val="22"/>
          <w:lang w:eastAsia="zh-CN"/>
        </w:rPr>
        <w:t>R1-2003973</w:t>
      </w:r>
      <w:r>
        <w:rPr>
          <w:sz w:val="22"/>
          <w:lang w:eastAsia="zh-CN"/>
        </w:rPr>
        <w:tab/>
      </w:r>
      <w:r>
        <w:rPr>
          <w:sz w:val="22"/>
          <w:lang w:eastAsia="zh-CN"/>
        </w:rPr>
        <w:t>Remaining issues on initial access procedure for NR-U</w:t>
      </w:r>
      <w:r>
        <w:rPr>
          <w:sz w:val="22"/>
          <w:lang w:eastAsia="zh-CN"/>
        </w:rPr>
        <w:tab/>
      </w:r>
      <w:r>
        <w:rPr>
          <w:sz w:val="22"/>
          <w:lang w:eastAsia="zh-CN"/>
        </w:rPr>
        <w:t>ETRI</w:t>
      </w:r>
    </w:p>
    <w:p>
      <w:pPr>
        <w:pStyle w:val="34"/>
        <w:rPr>
          <w:sz w:val="22"/>
          <w:lang w:eastAsia="zh-CN"/>
        </w:rPr>
      </w:pPr>
      <w:r>
        <w:rPr>
          <w:sz w:val="22"/>
          <w:lang w:eastAsia="zh-CN"/>
        </w:rPr>
        <w:t>R1-2004001</w:t>
      </w:r>
      <w:r>
        <w:rPr>
          <w:sz w:val="22"/>
          <w:lang w:eastAsia="zh-CN"/>
        </w:rPr>
        <w:tab/>
      </w:r>
      <w:r>
        <w:rPr>
          <w:sz w:val="22"/>
          <w:lang w:eastAsia="zh-CN"/>
        </w:rPr>
        <w:t>Remaining issues on initial access procedure</w:t>
      </w:r>
      <w:r>
        <w:rPr>
          <w:sz w:val="22"/>
          <w:lang w:eastAsia="zh-CN"/>
        </w:rPr>
        <w:tab/>
      </w:r>
      <w:r>
        <w:rPr>
          <w:sz w:val="22"/>
          <w:lang w:eastAsia="zh-CN"/>
        </w:rPr>
        <w:t>Spreadtrum Communications</w:t>
      </w:r>
    </w:p>
    <w:p>
      <w:pPr>
        <w:pStyle w:val="34"/>
        <w:rPr>
          <w:sz w:val="22"/>
          <w:lang w:eastAsia="zh-CN"/>
        </w:rPr>
      </w:pPr>
      <w:r>
        <w:rPr>
          <w:sz w:val="22"/>
          <w:lang w:eastAsia="zh-CN"/>
        </w:rPr>
        <w:t>R1-2004014</w:t>
      </w:r>
      <w:r>
        <w:rPr>
          <w:sz w:val="22"/>
          <w:lang w:eastAsia="zh-CN"/>
        </w:rPr>
        <w:tab/>
      </w:r>
      <w:r>
        <w:rPr>
          <w:sz w:val="22"/>
          <w:lang w:eastAsia="zh-CN"/>
        </w:rPr>
        <w:t>Remaining issues of initial access and mobility for NR-U</w:t>
      </w:r>
      <w:r>
        <w:rPr>
          <w:sz w:val="22"/>
          <w:lang w:eastAsia="zh-CN"/>
        </w:rPr>
        <w:tab/>
      </w:r>
      <w:r>
        <w:rPr>
          <w:sz w:val="22"/>
          <w:lang w:eastAsia="zh-CN"/>
        </w:rPr>
        <w:t>LG Electronics</w:t>
      </w:r>
    </w:p>
    <w:p>
      <w:pPr>
        <w:pStyle w:val="34"/>
        <w:rPr>
          <w:sz w:val="22"/>
          <w:lang w:eastAsia="zh-CN"/>
        </w:rPr>
      </w:pPr>
      <w:r>
        <w:rPr>
          <w:sz w:val="22"/>
          <w:lang w:eastAsia="zh-CN"/>
        </w:rPr>
        <w:t>R1-2004086</w:t>
      </w:r>
      <w:r>
        <w:rPr>
          <w:sz w:val="22"/>
          <w:lang w:eastAsia="zh-CN"/>
        </w:rPr>
        <w:tab/>
      </w:r>
      <w:r>
        <w:rPr>
          <w:sz w:val="22"/>
          <w:lang w:eastAsia="zh-CN"/>
        </w:rPr>
        <w:t>Discussion on the remaining issues of enhancements to initial access procedure</w:t>
      </w:r>
      <w:r>
        <w:rPr>
          <w:sz w:val="22"/>
          <w:lang w:eastAsia="zh-CN"/>
        </w:rPr>
        <w:tab/>
      </w:r>
      <w:r>
        <w:rPr>
          <w:sz w:val="22"/>
          <w:lang w:eastAsia="zh-CN"/>
        </w:rPr>
        <w:t>OPPO</w:t>
      </w:r>
    </w:p>
    <w:p>
      <w:pPr>
        <w:pStyle w:val="34"/>
        <w:rPr>
          <w:sz w:val="22"/>
          <w:lang w:eastAsia="zh-CN"/>
        </w:rPr>
      </w:pPr>
      <w:r>
        <w:rPr>
          <w:sz w:val="22"/>
          <w:lang w:eastAsia="zh-CN"/>
        </w:rPr>
        <w:t>R1-2004444</w:t>
      </w:r>
      <w:r>
        <w:rPr>
          <w:sz w:val="22"/>
          <w:lang w:eastAsia="zh-CN"/>
        </w:rPr>
        <w:tab/>
      </w:r>
      <w:r>
        <w:rPr>
          <w:sz w:val="22"/>
          <w:lang w:eastAsia="zh-CN"/>
        </w:rPr>
        <w:t>TP for Initial access and mobility procedures for NR-U</w:t>
      </w:r>
      <w:r>
        <w:rPr>
          <w:sz w:val="22"/>
          <w:lang w:eastAsia="zh-CN"/>
        </w:rPr>
        <w:tab/>
      </w:r>
      <w:r>
        <w:rPr>
          <w:sz w:val="22"/>
          <w:lang w:eastAsia="zh-CN"/>
        </w:rPr>
        <w:t>Qualcomm Incorporated</w:t>
      </w:r>
    </w:p>
    <w:p>
      <w:pPr>
        <w:pStyle w:val="34"/>
        <w:rPr>
          <w:sz w:val="22"/>
          <w:lang w:eastAsia="zh-CN"/>
        </w:rPr>
      </w:pPr>
      <w:bookmarkStart w:id="12" w:name="_Ref40646597"/>
      <w:r>
        <w:rPr>
          <w:sz w:val="22"/>
          <w:lang w:eastAsia="zh-CN"/>
        </w:rPr>
        <w:t>R1-2004526</w:t>
      </w:r>
      <w:r>
        <w:rPr>
          <w:sz w:val="22"/>
          <w:lang w:eastAsia="zh-CN"/>
        </w:rPr>
        <w:tab/>
      </w:r>
      <w:r>
        <w:rPr>
          <w:sz w:val="22"/>
          <w:lang w:eastAsia="zh-CN"/>
        </w:rPr>
        <w:t>On Enhancements to Initial Access Procedure for NR-U</w:t>
      </w:r>
      <w:r>
        <w:rPr>
          <w:sz w:val="22"/>
          <w:lang w:eastAsia="zh-CN"/>
        </w:rPr>
        <w:tab/>
      </w:r>
      <w:r>
        <w:rPr>
          <w:sz w:val="22"/>
          <w:lang w:eastAsia="zh-CN"/>
        </w:rPr>
        <w:t>Nokia, Nokia Shanghai Bell</w:t>
      </w:r>
      <w:bookmarkEnd w:id="12"/>
    </w:p>
    <w:p>
      <w:pPr>
        <w:pStyle w:val="34"/>
        <w:rPr>
          <w:sz w:val="22"/>
          <w:lang w:eastAsia="zh-CN"/>
        </w:rPr>
      </w:pPr>
      <w:r>
        <w:rPr>
          <w:sz w:val="22"/>
          <w:lang w:eastAsia="zh-CN"/>
        </w:rPr>
        <w:t>R1-2002849 Outcome of email thread [100b-e-NR-unlic-NRU-InitAccessProc-01] Charter Communications</w:t>
      </w:r>
      <w:bookmarkEnd w:id="11"/>
    </w:p>
    <w:p>
      <w:pPr>
        <w:pStyle w:val="34"/>
        <w:rPr>
          <w:sz w:val="22"/>
          <w:lang w:eastAsia="zh-CN"/>
        </w:rPr>
      </w:pPr>
      <w:r>
        <w:rPr>
          <w:sz w:val="22"/>
          <w:lang w:eastAsia="zh-CN"/>
        </w:rPr>
        <w:t>R1-2002850 Outcome of email thread [100b-e-NR-unlic-NRU-InitAccessProc-02] Charter Communications</w:t>
      </w:r>
    </w:p>
    <w:p>
      <w:pPr>
        <w:pStyle w:val="34"/>
        <w:rPr>
          <w:sz w:val="22"/>
          <w:lang w:eastAsia="zh-CN"/>
        </w:rPr>
      </w:pPr>
      <w:bookmarkStart w:id="13" w:name="_Ref37423472"/>
      <w:r>
        <w:rPr>
          <w:sz w:val="22"/>
          <w:lang w:eastAsia="zh-CN"/>
        </w:rPr>
        <w:t>R1-2002851 Outcome of email thread [100b-e-NR-unlic-NRU-InitAccessProc-03] Charter Communications</w:t>
      </w:r>
      <w:bookmarkEnd w:id="13"/>
    </w:p>
    <w:p>
      <w:pPr>
        <w:pStyle w:val="34"/>
        <w:numPr>
          <w:ilvl w:val="0"/>
          <w:numId w:val="0"/>
        </w:numPr>
        <w:ind w:left="360"/>
        <w:rPr>
          <w:sz w:val="22"/>
          <w:lang w:eastAsia="zh-CN"/>
        </w:rPr>
      </w:pPr>
    </w:p>
    <w:sectPr>
      <w:pgSz w:w="11909" w:h="16834"/>
      <w:pgMar w:top="1440" w:right="1152" w:bottom="1440" w:left="1440" w:header="720" w:footer="720" w:gutter="0"/>
      <w:cols w:space="720" w:num="1"/>
      <w:docGrid w:linePitch="29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ao" w:date="2020-05-20T17:24:00Z" w:initials="HL">
    <w:p w14:paraId="0F461794">
      <w:pPr>
        <w:pStyle w:val="13"/>
      </w:pPr>
      <w:r>
        <w:t>Add our proposal on PDSCH rate match around SSB</w:t>
      </w:r>
    </w:p>
  </w:comment>
  <w:comment w:id="1" w:author="이정훈" w:date="2020-05-21T11:29:00Z" w:initials="이">
    <w:p w14:paraId="0EBB719F">
      <w:pPr>
        <w:pStyle w:val="13"/>
        <w:rPr>
          <w:rFonts w:eastAsia="Malgun Gothic"/>
          <w:lang w:eastAsia="ko-KR"/>
        </w:rPr>
      </w:pPr>
      <w:r>
        <w:rPr>
          <w:rFonts w:hint="eastAsia" w:eastAsia="Malgun Gothic"/>
          <w:lang w:eastAsia="ko-KR"/>
        </w:rPr>
        <w:t>M</w:t>
      </w:r>
      <w:r>
        <w:rPr>
          <w:rFonts w:eastAsia="Malgun Gothic"/>
          <w:lang w:eastAsia="ko-KR"/>
        </w:rPr>
        <w:t>ove our contribution to this issue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461794" w15:done="0"/>
  <w15:commentEx w15:paraId="0EBB719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78B"/>
    <w:multiLevelType w:val="multilevel"/>
    <w:tmpl w:val="0AC0078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2F4A70EC"/>
    <w:multiLevelType w:val="multilevel"/>
    <w:tmpl w:val="2F4A70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4">
    <w:nsid w:val="3AA46647"/>
    <w:multiLevelType w:val="multilevel"/>
    <w:tmpl w:val="3AA46647"/>
    <w:lvl w:ilvl="0" w:tentative="0">
      <w:start w:val="1"/>
      <w:numFmt w:val="decimal"/>
      <w:pStyle w:val="6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B1F283C"/>
    <w:multiLevelType w:val="singleLevel"/>
    <w:tmpl w:val="4B1F283C"/>
    <w:lvl w:ilvl="0" w:tentative="0">
      <w:start w:val="1"/>
      <w:numFmt w:val="bullet"/>
      <w:pStyle w:val="47"/>
      <w:lvlText w:val=""/>
      <w:lvlJc w:val="left"/>
      <w:pPr>
        <w:tabs>
          <w:tab w:val="left" w:pos="1843"/>
        </w:tabs>
        <w:ind w:left="1843" w:hanging="425"/>
      </w:pPr>
      <w:rPr>
        <w:rFonts w:hint="default" w:ascii="Symbol" w:hAnsi="Symbol"/>
      </w:rPr>
    </w:lvl>
  </w:abstractNum>
  <w:abstractNum w:abstractNumId="6">
    <w:nsid w:val="53B87351"/>
    <w:multiLevelType w:val="multilevel"/>
    <w:tmpl w:val="53B87351"/>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o">
    <w15:presenceInfo w15:providerId="None" w15:userId="Hao"/>
  </w15:person>
  <w15:person w15:author="이정훈">
    <w15:presenceInfo w15:providerId="None" w15:userId="이정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477"/>
    <w:rsid w:val="00B156A9"/>
    <w:rsid w:val="00B158D3"/>
    <w:rsid w:val="00B15F83"/>
    <w:rsid w:val="00B160FF"/>
    <w:rsid w:val="00B16322"/>
    <w:rsid w:val="00B1662E"/>
    <w:rsid w:val="00B16A6F"/>
    <w:rsid w:val="00B22C0D"/>
    <w:rsid w:val="00B23AF4"/>
    <w:rsid w:val="00B23C15"/>
    <w:rsid w:val="00B23E0C"/>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iPriority="0" w:name="List 2"/>
    <w:lsdException w:qFormat="1"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52"/>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5">
    <w:name w:val="Default Paragraph Font"/>
    <w:semiHidden/>
    <w:unhideWhenUsed/>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0"/>
    <w:pPr>
      <w:ind w:left="100" w:leftChars="400" w:hanging="200" w:hangingChars="200"/>
      <w:contextualSpacing/>
    </w:pPr>
  </w:style>
  <w:style w:type="paragraph" w:styleId="12">
    <w:name w:val="annotation subject"/>
    <w:basedOn w:val="13"/>
    <w:next w:val="13"/>
    <w:link w:val="54"/>
    <w:semiHidden/>
    <w:unhideWhenUsed/>
    <w:uiPriority w:val="0"/>
    <w:rPr>
      <w:b/>
      <w:bCs/>
    </w:rPr>
  </w:style>
  <w:style w:type="paragraph" w:styleId="13">
    <w:name w:val="annotation text"/>
    <w:basedOn w:val="1"/>
    <w:link w:val="53"/>
    <w:unhideWhenUsed/>
    <w:uiPriority w:val="0"/>
    <w:pPr>
      <w:jc w:val="left"/>
    </w:pPr>
  </w:style>
  <w:style w:type="paragraph" w:styleId="14">
    <w:name w:val="caption"/>
    <w:basedOn w:val="1"/>
    <w:next w:val="1"/>
    <w:link w:val="33"/>
    <w:qFormat/>
    <w:uiPriority w:val="0"/>
    <w:pPr>
      <w:jc w:val="center"/>
    </w:pPr>
    <w:rPr>
      <w:b/>
      <w:bCs/>
      <w:sz w:val="20"/>
      <w:szCs w:val="20"/>
    </w:rPr>
  </w:style>
  <w:style w:type="paragraph" w:styleId="15">
    <w:name w:val="List Bullet"/>
    <w:basedOn w:val="16"/>
    <w:qFormat/>
    <w:uiPriority w:val="0"/>
    <w:pPr>
      <w:autoSpaceDE/>
      <w:autoSpaceDN/>
      <w:adjustRightInd/>
      <w:spacing w:after="180"/>
      <w:ind w:left="568" w:hanging="284"/>
      <w:jc w:val="left"/>
    </w:pPr>
    <w:rPr>
      <w:sz w:val="20"/>
      <w:szCs w:val="20"/>
      <w:lang w:val="en-GB"/>
    </w:rPr>
  </w:style>
  <w:style w:type="paragraph" w:styleId="16">
    <w:name w:val="List"/>
    <w:basedOn w:val="1"/>
    <w:qFormat/>
    <w:uiPriority w:val="0"/>
    <w:pPr>
      <w:ind w:left="360" w:hanging="360"/>
    </w:pPr>
  </w:style>
  <w:style w:type="paragraph" w:styleId="17">
    <w:name w:val="Body Text"/>
    <w:basedOn w:val="1"/>
    <w:link w:val="32"/>
    <w:qFormat/>
    <w:uiPriority w:val="0"/>
    <w:rPr>
      <w:sz w:val="20"/>
      <w:szCs w:val="20"/>
    </w:rPr>
  </w:style>
  <w:style w:type="paragraph" w:styleId="18">
    <w:name w:val="List 2"/>
    <w:basedOn w:val="1"/>
    <w:semiHidden/>
    <w:unhideWhenUsed/>
    <w:qFormat/>
    <w:uiPriority w:val="0"/>
    <w:pPr>
      <w:ind w:left="100" w:leftChars="200" w:hanging="200" w:hangingChars="200"/>
      <w:contextualSpacing/>
    </w:pPr>
  </w:style>
  <w:style w:type="paragraph" w:styleId="19">
    <w:name w:val="Balloon Text"/>
    <w:basedOn w:val="1"/>
    <w:semiHidden/>
    <w:qFormat/>
    <w:uiPriority w:val="0"/>
    <w:rPr>
      <w:rFonts w:ascii="Tahoma" w:hAnsi="Tahoma" w:cs="Tahoma"/>
      <w:sz w:val="16"/>
      <w:szCs w:val="16"/>
    </w:rPr>
  </w:style>
  <w:style w:type="paragraph" w:styleId="20">
    <w:name w:val="footer"/>
    <w:basedOn w:val="1"/>
    <w:link w:val="40"/>
    <w:qFormat/>
    <w:uiPriority w:val="0"/>
    <w:pPr>
      <w:tabs>
        <w:tab w:val="center" w:pos="4680"/>
        <w:tab w:val="right" w:pos="9360"/>
      </w:tabs>
    </w:pPr>
  </w:style>
  <w:style w:type="paragraph" w:styleId="21">
    <w:name w:val="header"/>
    <w:basedOn w:val="1"/>
    <w:link w:val="39"/>
    <w:qFormat/>
    <w:uiPriority w:val="0"/>
    <w:pPr>
      <w:tabs>
        <w:tab w:val="center" w:pos="4680"/>
        <w:tab w:val="right" w:pos="9360"/>
      </w:tabs>
    </w:pPr>
  </w:style>
  <w:style w:type="paragraph" w:styleId="22">
    <w:name w:val="footnote text"/>
    <w:basedOn w:val="1"/>
    <w:semiHidden/>
    <w:qFormat/>
    <w:uiPriority w:val="0"/>
    <w:rPr>
      <w:sz w:val="20"/>
      <w:szCs w:val="20"/>
    </w:rPr>
  </w:style>
  <w:style w:type="paragraph" w:styleId="23">
    <w:name w:val="Body Text 2"/>
    <w:basedOn w:val="1"/>
    <w:qFormat/>
    <w:uiPriority w:val="0"/>
    <w:pPr>
      <w:spacing w:after="0"/>
      <w:jc w:val="left"/>
    </w:pPr>
    <w:rPr>
      <w:szCs w:val="20"/>
    </w:rPr>
  </w:style>
  <w:style w:type="paragraph" w:styleId="24">
    <w:name w:val="Normal (Web)"/>
    <w:basedOn w:val="1"/>
    <w:semiHidden/>
    <w:unhideWhenUsed/>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26">
    <w:name w:val="FollowedHyperlink"/>
    <w:basedOn w:val="25"/>
    <w:qFormat/>
    <w:uiPriority w:val="0"/>
    <w:rPr>
      <w:color w:val="800080"/>
      <w:u w:val="single"/>
    </w:rPr>
  </w:style>
  <w:style w:type="character" w:styleId="27">
    <w:name w:val="Hyperlink"/>
    <w:basedOn w:val="25"/>
    <w:uiPriority w:val="0"/>
    <w:rPr>
      <w:color w:val="0000FF"/>
      <w:u w:val="single"/>
    </w:rPr>
  </w:style>
  <w:style w:type="character" w:styleId="28">
    <w:name w:val="annotation reference"/>
    <w:basedOn w:val="25"/>
    <w:unhideWhenUsed/>
    <w:uiPriority w:val="0"/>
    <w:rPr>
      <w:sz w:val="21"/>
      <w:szCs w:val="21"/>
    </w:rPr>
  </w:style>
  <w:style w:type="character" w:styleId="29">
    <w:name w:val="footnote reference"/>
    <w:basedOn w:val="25"/>
    <w:semiHidden/>
    <w:qFormat/>
    <w:uiPriority w:val="0"/>
    <w:rPr>
      <w:vertAlign w:val="superscript"/>
    </w:rPr>
  </w:style>
  <w:style w:type="table" w:styleId="31">
    <w:name w:val="Table Grid"/>
    <w:basedOn w:val="30"/>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Body Text Char"/>
    <w:basedOn w:val="25"/>
    <w:link w:val="17"/>
    <w:qFormat/>
    <w:uiPriority w:val="0"/>
  </w:style>
  <w:style w:type="character" w:customStyle="1" w:styleId="33">
    <w:name w:val="Caption Char"/>
    <w:basedOn w:val="25"/>
    <w:link w:val="14"/>
    <w:qFormat/>
    <w:uiPriority w:val="0"/>
    <w:rPr>
      <w:b/>
      <w:bCs/>
    </w:rPr>
  </w:style>
  <w:style w:type="paragraph" w:customStyle="1" w:styleId="34">
    <w:name w:val="References"/>
    <w:basedOn w:val="1"/>
    <w:qFormat/>
    <w:uiPriority w:val="0"/>
    <w:pPr>
      <w:numPr>
        <w:ilvl w:val="0"/>
        <w:numId w:val="2"/>
      </w:numPr>
      <w:adjustRightInd/>
      <w:spacing w:after="60"/>
    </w:pPr>
    <w:rPr>
      <w:sz w:val="20"/>
      <w:szCs w:val="16"/>
    </w:rPr>
  </w:style>
  <w:style w:type="paragraph" w:customStyle="1" w:styleId="35">
    <w:name w:val="_Style 26"/>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Header Char"/>
    <w:basedOn w:val="25"/>
    <w:link w:val="21"/>
    <w:qFormat/>
    <w:uiPriority w:val="0"/>
    <w:rPr>
      <w:sz w:val="22"/>
      <w:szCs w:val="22"/>
    </w:rPr>
  </w:style>
  <w:style w:type="character" w:customStyle="1" w:styleId="40">
    <w:name w:val="Footer Char"/>
    <w:basedOn w:val="25"/>
    <w:link w:val="20"/>
    <w:qFormat/>
    <w:uiPriority w:val="0"/>
    <w:rPr>
      <w:sz w:val="22"/>
      <w:szCs w:val="22"/>
    </w:rPr>
  </w:style>
  <w:style w:type="paragraph" w:customStyle="1" w:styleId="41">
    <w:name w:val="tablecol"/>
    <w:basedOn w:val="38"/>
    <w:qFormat/>
    <w:uiPriority w:val="0"/>
    <w:pPr>
      <w:jc w:val="center"/>
    </w:pPr>
    <w:rPr>
      <w:b/>
    </w:rPr>
  </w:style>
  <w:style w:type="paragraph" w:customStyle="1" w:styleId="42">
    <w:name w:val="B1"/>
    <w:basedOn w:val="16"/>
    <w:link w:val="48"/>
    <w:qFormat/>
    <w:uiPriority w:val="0"/>
    <w:pPr>
      <w:overflowPunct w:val="0"/>
      <w:snapToGrid/>
      <w:spacing w:after="180"/>
      <w:ind w:left="568" w:hanging="284"/>
      <w:jc w:val="left"/>
      <w:textAlignment w:val="baseline"/>
    </w:pPr>
    <w:rPr>
      <w:rFonts w:eastAsia="MS Mincho"/>
      <w:sz w:val="20"/>
      <w:szCs w:val="20"/>
      <w:lang w:val="en-GB"/>
    </w:rPr>
  </w:style>
  <w:style w:type="paragraph" w:customStyle="1" w:styleId="43">
    <w:name w:val="B2"/>
    <w:basedOn w:val="18"/>
    <w:link w:val="49"/>
    <w:qFormat/>
    <w:uiPriority w:val="0"/>
    <w:pPr>
      <w:overflowPunct w:val="0"/>
      <w:snapToGrid/>
      <w:spacing w:after="180"/>
      <w:ind w:left="851" w:leftChars="0" w:hanging="284" w:firstLineChars="0"/>
      <w:contextualSpacing w:val="0"/>
      <w:jc w:val="left"/>
      <w:textAlignment w:val="baseline"/>
    </w:pPr>
    <w:rPr>
      <w:rFonts w:eastAsia="MS Mincho"/>
      <w:sz w:val="20"/>
      <w:szCs w:val="20"/>
      <w:lang w:val="en-GB"/>
    </w:rPr>
  </w:style>
  <w:style w:type="paragraph" w:customStyle="1" w:styleId="44">
    <w:name w:val="B3"/>
    <w:basedOn w:val="11"/>
    <w:link w:val="50"/>
    <w:qFormat/>
    <w:uiPriority w:val="0"/>
    <w:pPr>
      <w:overflowPunct w:val="0"/>
      <w:snapToGrid/>
      <w:spacing w:after="180"/>
      <w:ind w:left="1135" w:leftChars="0" w:hanging="284" w:firstLineChars="0"/>
      <w:contextualSpacing w:val="0"/>
      <w:jc w:val="left"/>
      <w:textAlignment w:val="baseline"/>
    </w:pPr>
    <w:rPr>
      <w:rFonts w:eastAsia="MS Mincho"/>
      <w:sz w:val="20"/>
      <w:szCs w:val="20"/>
      <w:lang w:val="en-GB"/>
    </w:rPr>
  </w:style>
  <w:style w:type="paragraph" w:styleId="45">
    <w:name w:val="List Paragraph"/>
    <w:basedOn w:val="1"/>
    <w:link w:val="46"/>
    <w:qFormat/>
    <w:uiPriority w:val="34"/>
    <w:pPr>
      <w:autoSpaceDE/>
      <w:autoSpaceDN/>
      <w:adjustRightInd/>
      <w:snapToGrid/>
      <w:spacing w:after="0"/>
      <w:ind w:firstLine="420"/>
      <w:jc w:val="left"/>
    </w:pPr>
    <w:rPr>
      <w:rFonts w:ascii="宋体" w:hAnsi="宋体"/>
      <w:sz w:val="24"/>
      <w:szCs w:val="24"/>
    </w:rPr>
  </w:style>
  <w:style w:type="character" w:customStyle="1" w:styleId="46">
    <w:name w:val="List Paragraph Char"/>
    <w:link w:val="45"/>
    <w:qFormat/>
    <w:uiPriority w:val="34"/>
    <w:rPr>
      <w:rFonts w:ascii="宋体" w:hAnsi="宋体"/>
      <w:sz w:val="24"/>
      <w:szCs w:val="24"/>
    </w:rPr>
  </w:style>
  <w:style w:type="paragraph" w:customStyle="1" w:styleId="47">
    <w:name w:val="text intend 3"/>
    <w:basedOn w:val="1"/>
    <w:qFormat/>
    <w:uiPriority w:val="0"/>
    <w:pPr>
      <w:numPr>
        <w:ilvl w:val="0"/>
        <w:numId w:val="3"/>
      </w:numPr>
      <w:overflowPunct w:val="0"/>
      <w:snapToGrid/>
      <w:textAlignment w:val="baseline"/>
    </w:pPr>
    <w:rPr>
      <w:rFonts w:eastAsia="MS Mincho"/>
      <w:sz w:val="24"/>
      <w:szCs w:val="20"/>
      <w:lang w:eastAsia="en-GB"/>
    </w:rPr>
  </w:style>
  <w:style w:type="character" w:customStyle="1" w:styleId="48">
    <w:name w:val="B1 Zchn"/>
    <w:link w:val="42"/>
    <w:qFormat/>
    <w:uiPriority w:val="0"/>
    <w:rPr>
      <w:rFonts w:eastAsia="MS Mincho"/>
      <w:lang w:val="en-GB"/>
    </w:rPr>
  </w:style>
  <w:style w:type="character" w:customStyle="1" w:styleId="49">
    <w:name w:val="B2 Char"/>
    <w:link w:val="43"/>
    <w:qFormat/>
    <w:uiPriority w:val="0"/>
    <w:rPr>
      <w:rFonts w:eastAsia="MS Mincho"/>
      <w:lang w:val="en-GB"/>
    </w:rPr>
  </w:style>
  <w:style w:type="character" w:customStyle="1" w:styleId="50">
    <w:name w:val="B3 Char"/>
    <w:link w:val="44"/>
    <w:qFormat/>
    <w:uiPriority w:val="0"/>
    <w:rPr>
      <w:rFonts w:eastAsia="MS Mincho"/>
      <w:lang w:val="en-GB"/>
    </w:rPr>
  </w:style>
  <w:style w:type="character" w:styleId="51">
    <w:name w:val="Placeholder Text"/>
    <w:basedOn w:val="25"/>
    <w:semiHidden/>
    <w:qFormat/>
    <w:uiPriority w:val="99"/>
    <w:rPr>
      <w:color w:val="808080"/>
    </w:rPr>
  </w:style>
  <w:style w:type="character" w:customStyle="1" w:styleId="52">
    <w:name w:val="Heading 2 Char"/>
    <w:basedOn w:val="25"/>
    <w:link w:val="3"/>
    <w:qFormat/>
    <w:uiPriority w:val="9"/>
    <w:rPr>
      <w:b/>
      <w:bCs/>
      <w:sz w:val="24"/>
      <w:szCs w:val="22"/>
    </w:rPr>
  </w:style>
  <w:style w:type="character" w:customStyle="1" w:styleId="53">
    <w:name w:val="Comment Text Char"/>
    <w:basedOn w:val="25"/>
    <w:link w:val="13"/>
    <w:qFormat/>
    <w:uiPriority w:val="0"/>
    <w:rPr>
      <w:sz w:val="22"/>
      <w:szCs w:val="22"/>
    </w:rPr>
  </w:style>
  <w:style w:type="character" w:customStyle="1" w:styleId="54">
    <w:name w:val="Comment Subject Char"/>
    <w:basedOn w:val="53"/>
    <w:link w:val="12"/>
    <w:semiHidden/>
    <w:qFormat/>
    <w:uiPriority w:val="0"/>
    <w:rPr>
      <w:b/>
      <w:bCs/>
      <w:sz w:val="22"/>
      <w:szCs w:val="22"/>
    </w:rPr>
  </w:style>
  <w:style w:type="character" w:customStyle="1" w:styleId="55">
    <w:name w:val="apple-converted-space"/>
    <w:basedOn w:val="25"/>
    <w:qFormat/>
    <w:uiPriority w:val="0"/>
  </w:style>
  <w:style w:type="paragraph" w:customStyle="1" w:styleId="56">
    <w:name w:val="TAL"/>
    <w:basedOn w:val="1"/>
    <w:link w:val="57"/>
    <w:qFormat/>
    <w:uiPriority w:val="0"/>
    <w:pPr>
      <w:keepNext/>
      <w:keepLines/>
      <w:autoSpaceDE/>
      <w:autoSpaceDN/>
      <w:adjustRightInd/>
      <w:snapToGrid/>
      <w:spacing w:after="0"/>
      <w:jc w:val="left"/>
    </w:pPr>
    <w:rPr>
      <w:rFonts w:ascii="Arial" w:hAnsi="Arial" w:eastAsiaTheme="minorEastAsia"/>
      <w:sz w:val="18"/>
      <w:szCs w:val="20"/>
      <w:lang w:val="en-GB"/>
    </w:rPr>
  </w:style>
  <w:style w:type="character" w:customStyle="1" w:styleId="57">
    <w:name w:val="TAL Car"/>
    <w:basedOn w:val="25"/>
    <w:link w:val="56"/>
    <w:qFormat/>
    <w:locked/>
    <w:uiPriority w:val="0"/>
    <w:rPr>
      <w:rFonts w:ascii="Arial" w:hAnsi="Arial" w:eastAsiaTheme="minorEastAsia"/>
      <w:sz w:val="18"/>
      <w:lang w:val="en-GB"/>
    </w:rPr>
  </w:style>
  <w:style w:type="paragraph" w:customStyle="1" w:styleId="58">
    <w:name w:val="TAN"/>
    <w:basedOn w:val="56"/>
    <w:qFormat/>
    <w:uiPriority w:val="0"/>
    <w:pPr>
      <w:ind w:left="851" w:hanging="851"/>
    </w:pPr>
  </w:style>
  <w:style w:type="paragraph" w:customStyle="1" w:styleId="59">
    <w:name w:val="Revision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60">
    <w:name w:val="B4"/>
    <w:basedOn w:val="1"/>
    <w:link w:val="62"/>
    <w:qFormat/>
    <w:uiPriority w:val="0"/>
    <w:pPr>
      <w:autoSpaceDE/>
      <w:autoSpaceDN/>
      <w:adjustRightInd/>
      <w:snapToGrid/>
      <w:spacing w:after="180"/>
      <w:ind w:left="1418" w:hanging="284"/>
      <w:jc w:val="left"/>
    </w:pPr>
    <w:rPr>
      <w:rFonts w:eastAsiaTheme="minorEastAsia"/>
      <w:sz w:val="20"/>
      <w:szCs w:val="20"/>
      <w:lang w:val="en-GB"/>
    </w:rPr>
  </w:style>
  <w:style w:type="paragraph" w:customStyle="1" w:styleId="61">
    <w:name w:val="B5"/>
    <w:basedOn w:val="1"/>
    <w:qFormat/>
    <w:uiPriority w:val="0"/>
    <w:pPr>
      <w:autoSpaceDE/>
      <w:autoSpaceDN/>
      <w:adjustRightInd/>
      <w:snapToGrid/>
      <w:spacing w:after="180"/>
      <w:ind w:left="1702" w:hanging="284"/>
      <w:jc w:val="left"/>
    </w:pPr>
    <w:rPr>
      <w:rFonts w:eastAsiaTheme="minorEastAsia"/>
      <w:sz w:val="20"/>
      <w:szCs w:val="20"/>
      <w:lang w:val="en-GB"/>
    </w:rPr>
  </w:style>
  <w:style w:type="character" w:customStyle="1" w:styleId="62">
    <w:name w:val="B4 Char"/>
    <w:link w:val="60"/>
    <w:qFormat/>
    <w:uiPriority w:val="0"/>
    <w:rPr>
      <w:rFonts w:eastAsiaTheme="minorEastAsia"/>
      <w:lang w:val="en-GB"/>
    </w:rPr>
  </w:style>
  <w:style w:type="paragraph" w:customStyle="1" w:styleId="63">
    <w:name w:val="Default"/>
    <w:qFormat/>
    <w:uiPriority w:val="0"/>
    <w:pPr>
      <w:autoSpaceDE w:val="0"/>
      <w:autoSpaceDN w:val="0"/>
      <w:adjustRightInd w:val="0"/>
      <w:spacing w:after="120" w:line="259" w:lineRule="auto"/>
    </w:pPr>
    <w:rPr>
      <w:rFonts w:ascii="Arial" w:hAnsi="Arial" w:eastAsia="宋体" w:cs="Arial"/>
      <w:color w:val="000000"/>
      <w:sz w:val="24"/>
      <w:szCs w:val="24"/>
      <w:lang w:val="en-US" w:eastAsia="en-US" w:bidi="ar-SA"/>
    </w:rPr>
  </w:style>
  <w:style w:type="paragraph" w:customStyle="1" w:styleId="64">
    <w:name w:val="Proposal"/>
    <w:basedOn w:val="17"/>
    <w:qFormat/>
    <w:uiPriority w:val="0"/>
    <w:pPr>
      <w:numPr>
        <w:ilvl w:val="0"/>
        <w:numId w:val="4"/>
      </w:numPr>
      <w:tabs>
        <w:tab w:val="left" w:pos="1701"/>
      </w:tabs>
      <w:autoSpaceDE/>
      <w:autoSpaceDN/>
      <w:adjustRightInd/>
      <w:snapToGrid/>
    </w:pPr>
    <w:rPr>
      <w:rFonts w:ascii="Arial" w:hAnsi="Arial" w:eastAsiaTheme="minorHAnsi"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13E95-0D4C-4545-9035-4CC2B6D8F54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9</Pages>
  <Words>2883</Words>
  <Characters>16435</Characters>
  <Lines>136</Lines>
  <Paragraphs>38</Paragraphs>
  <TotalTime>1</TotalTime>
  <ScaleCrop>false</ScaleCrop>
  <LinksUpToDate>false</LinksUpToDate>
  <CharactersWithSpaces>19280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2020-05-21T02:41:00Z</dcterms:created>
  <dc:creator>min zhang</dc:creator>
  <cp:lastModifiedBy>Ziyang ZTE</cp:lastModifiedBy>
  <cp:lastPrinted>2007-06-18T22:08:00Z</cp:lastPrinted>
  <dcterms:modified xsi:type="dcterms:W3CDTF">2020-05-21T02:55:06Z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