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6D38A561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</w:t>
      </w:r>
      <w:r w:rsidR="005A263D">
        <w:rPr>
          <w:sz w:val="22"/>
          <w:szCs w:val="22"/>
        </w:rPr>
        <w:t>3</w:t>
      </w:r>
      <w:r w:rsidR="00F34B13" w:rsidRPr="00F34B13">
        <w:rPr>
          <w:sz w:val="22"/>
          <w:szCs w:val="22"/>
        </w:rPr>
        <w:t>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45B89F98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 for email thread </w:t>
      </w:r>
      <w:r w:rsidR="001F0F11" w:rsidRPr="001F0F11">
        <w:t>[100b-e-NR-eMIMO-MB2-0</w:t>
      </w:r>
      <w:r w:rsidR="005A263D">
        <w:t>3</w:t>
      </w:r>
      <w:r w:rsidR="001F0F11" w:rsidRPr="001F0F11">
        <w:t>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1E1676F8" w:rsidR="007E6FF6" w:rsidRDefault="007D146C" w:rsidP="007E6FF6">
      <w:pPr>
        <w:pStyle w:val="Heading1"/>
      </w:pPr>
      <w:r>
        <w:t>Text Proposal</w:t>
      </w:r>
    </w:p>
    <w:p w14:paraId="17990951" w14:textId="220113EA" w:rsidR="005A263D" w:rsidRDefault="005A263D" w:rsidP="005A263D">
      <w:pPr>
        <w:pStyle w:val="Heading2"/>
      </w:pPr>
      <w:r>
        <w:t>Alignment between 38.213 and 38.321</w:t>
      </w:r>
    </w:p>
    <w:p w14:paraId="65072D95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Reason for changes</w:t>
      </w:r>
    </w:p>
    <w:p w14:paraId="5F6CA011" w14:textId="2A5992A0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In TS 38.321, one bit field is included in SCell BFR MAC CE, i.e., candidate beam availability indication (AC), to indicate whether </w:t>
      </w:r>
      <m:oMath>
        <m:sSub>
          <m:sSubPr>
            <m:ctrlPr>
              <w:rPr>
                <w:rFonts w:ascii="Cambria Math" w:hAnsi="Cambria Math"/>
                <w:i/>
                <w:iCs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q</m:t>
            </m:r>
          </m:e>
          <m:sub>
            <m:r>
              <m:rPr>
                <m:nor/>
              </m:rPr>
              <w:rPr>
                <w:iCs/>
                <w:sz w:val="20"/>
                <w:szCs w:val="20"/>
              </w:rPr>
              <m:t>new</m:t>
            </m:r>
            <m:ctrlPr>
              <w:rPr>
                <w:rFonts w:ascii="Cambria Math" w:hAnsi="Cambria Math"/>
                <w:iCs/>
                <w:sz w:val="20"/>
                <w:szCs w:val="20"/>
              </w:rPr>
            </m:ctrlPr>
          </m:sub>
        </m:sSub>
      </m:oMath>
      <w:r w:rsidRPr="000178DA">
        <w:rPr>
          <w:kern w:val="2"/>
          <w:sz w:val="20"/>
          <w:szCs w:val="20"/>
          <w:lang w:val="en-GB"/>
        </w:rPr>
        <w:t xml:space="preserve"> is available or not for a corresponding failed SCell, which is different from </w:t>
      </w:r>
      <w:proofErr w:type="spellStart"/>
      <w:r w:rsidRPr="000178DA">
        <w:rPr>
          <w:kern w:val="2"/>
          <w:sz w:val="20"/>
          <w:szCs w:val="20"/>
          <w:lang w:val="en-GB"/>
        </w:rPr>
        <w:t>PCell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and </w:t>
      </w:r>
      <w:proofErr w:type="spellStart"/>
      <w:r w:rsidRPr="000178DA">
        <w:rPr>
          <w:kern w:val="2"/>
          <w:sz w:val="20"/>
          <w:szCs w:val="20"/>
          <w:lang w:val="en-GB"/>
        </w:rPr>
        <w:t>PSCell</w:t>
      </w:r>
      <w:proofErr w:type="spellEnd"/>
      <w:r w:rsidRPr="000178DA">
        <w:rPr>
          <w:kern w:val="2"/>
          <w:sz w:val="20"/>
          <w:szCs w:val="20"/>
          <w:lang w:val="en-GB"/>
        </w:rPr>
        <w:t xml:space="preserve"> BFR. However, current specification TS 38.213 missed such information. </w:t>
      </w:r>
    </w:p>
    <w:p w14:paraId="495AC204" w14:textId="77777777" w:rsidR="005A263D" w:rsidRPr="000178DA" w:rsidRDefault="005A263D" w:rsidP="005A263D">
      <w:pPr>
        <w:rPr>
          <w:iCs/>
          <w:sz w:val="20"/>
          <w:szCs w:val="20"/>
        </w:rPr>
      </w:pPr>
    </w:p>
    <w:p w14:paraId="65459E71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Summary of changes</w:t>
      </w:r>
    </w:p>
    <w:p w14:paraId="3ADC2EF7" w14:textId="39D1EEA4" w:rsidR="005A263D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kern w:val="2"/>
          <w:sz w:val="20"/>
          <w:szCs w:val="20"/>
          <w:lang w:val="en-GB"/>
        </w:rPr>
        <w:t xml:space="preserve">Align SCell BFR MAC CE description in TS 38.213 with TS 38.321. Add candidate beam availability indication information provided by the PHY layer. </w:t>
      </w:r>
    </w:p>
    <w:p w14:paraId="45BCE59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</w:p>
    <w:p w14:paraId="2C02925F" w14:textId="77777777" w:rsidR="005A263D" w:rsidRPr="000178DA" w:rsidRDefault="005A263D" w:rsidP="005A263D">
      <w:pPr>
        <w:rPr>
          <w:kern w:val="2"/>
          <w:sz w:val="20"/>
          <w:szCs w:val="20"/>
          <w:u w:val="single"/>
          <w:lang w:val="en-GB"/>
        </w:rPr>
      </w:pPr>
      <w:r w:rsidRPr="000178DA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79B61BC7" w14:textId="77777777" w:rsidR="005A263D" w:rsidRPr="000178DA" w:rsidRDefault="005A263D" w:rsidP="005A263D">
      <w:pPr>
        <w:rPr>
          <w:kern w:val="2"/>
          <w:sz w:val="20"/>
          <w:szCs w:val="20"/>
          <w:lang w:val="en-GB"/>
        </w:rPr>
      </w:pPr>
      <w:r w:rsidRPr="000178DA">
        <w:rPr>
          <w:iCs/>
          <w:sz w:val="20"/>
          <w:szCs w:val="20"/>
        </w:rPr>
        <w:t>PHY layer may not provide candidate beam availability indication information to MAC layer.</w:t>
      </w:r>
    </w:p>
    <w:p w14:paraId="5A549641" w14:textId="77777777" w:rsidR="005A263D" w:rsidRPr="000178DA" w:rsidRDefault="005A263D" w:rsidP="005A263D">
      <w:pPr>
        <w:rPr>
          <w:b/>
          <w:i/>
          <w:kern w:val="2"/>
          <w:sz w:val="20"/>
          <w:szCs w:val="20"/>
          <w:lang w:val="en-GB"/>
        </w:rPr>
      </w:pPr>
    </w:p>
    <w:p w14:paraId="1903F0DD" w14:textId="21F6D923" w:rsidR="005A263D" w:rsidRPr="005A263D" w:rsidRDefault="005A263D" w:rsidP="005A263D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5A263D">
        <w:rPr>
          <w:b/>
          <w:bCs/>
          <w:sz w:val="24"/>
          <w:szCs w:val="24"/>
        </w:rPr>
        <w:t>TP 2.1 for 38.213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6"/>
      </w:tblGrid>
      <w:tr w:rsidR="005A263D" w:rsidRPr="00673F53" w14:paraId="09D5AF0F" w14:textId="77777777" w:rsidTr="00E25F5A">
        <w:tc>
          <w:tcPr>
            <w:tcW w:w="9307" w:type="dxa"/>
          </w:tcPr>
          <w:p w14:paraId="473C068E" w14:textId="77777777" w:rsidR="005A263D" w:rsidRPr="00821C7A" w:rsidRDefault="005A263D" w:rsidP="00E25F5A">
            <w:pPr>
              <w:jc w:val="center"/>
              <w:rPr>
                <w:b/>
                <w:sz w:val="20"/>
                <w:szCs w:val="20"/>
                <w:highlight w:val="cyan"/>
                <w:u w:val="single"/>
              </w:rPr>
            </w:pPr>
            <w:r w:rsidRPr="00821C7A">
              <w:rPr>
                <w:color w:val="FF0000"/>
                <w:sz w:val="20"/>
                <w:szCs w:val="20"/>
              </w:rPr>
              <w:t>&lt; Start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  <w:p w14:paraId="64D45F3C" w14:textId="77777777" w:rsidR="005A263D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42565EFB" w14:textId="77777777" w:rsidR="005A263D" w:rsidRPr="000A36BA" w:rsidRDefault="005A263D" w:rsidP="00E25F5A">
            <w:pPr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ins w:id="0" w:author="Huawei" w:date="2020-04-10T11:12:00Z"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For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 xml:space="preserve"> or the </w:t>
              </w:r>
              <w:proofErr w:type="spellStart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PSCell</w:t>
              </w:r>
              <w:proofErr w:type="spellEnd"/>
              <w:r w:rsidRPr="001074F5">
                <w:rPr>
                  <w:rFonts w:eastAsia="DengXian"/>
                  <w:sz w:val="20"/>
                  <w:szCs w:val="20"/>
                  <w:lang w:val="en-GB"/>
                </w:rPr>
                <w:t>, u</w:t>
              </w:r>
            </w:ins>
            <w:del w:id="1" w:author="Huawei" w:date="2020-04-10T11:12:00Z">
              <w:r w:rsidRPr="001074F5" w:rsidDel="001074F5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r w:rsidRPr="000A36BA">
              <w:rPr>
                <w:rFonts w:eastAsia="DengXian"/>
                <w:sz w:val="20"/>
                <w:szCs w:val="20"/>
                <w:lang w:val="en-GB"/>
              </w:rPr>
              <w:t>pon request from higher layers, the UE provides to higher layers the periodic CSI-RS configuration indexes and/or SS/PBCH block indexes</w:t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A36BA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0A36BA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67C86887" wp14:editId="0E5EFA55">
                  <wp:extent cx="180975" cy="180975"/>
                  <wp:effectExtent l="0" t="0" r="9525" b="952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0A36BA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A36BA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0A36BA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threshold. </w:t>
            </w:r>
          </w:p>
          <w:p w14:paraId="0686A964" w14:textId="32670300" w:rsidR="005A263D" w:rsidRPr="00C8262F" w:rsidRDefault="005A263D" w:rsidP="00E25F5A">
            <w:pPr>
              <w:spacing w:after="180"/>
              <w:rPr>
                <w:rFonts w:eastAsia="DengXian"/>
                <w:iCs/>
                <w:sz w:val="20"/>
                <w:szCs w:val="20"/>
                <w:lang w:val="en-GB"/>
              </w:rPr>
            </w:pPr>
            <w:ins w:id="2" w:author="Huawei" w:date="2020-04-10T11:13:00Z">
              <w:r w:rsidRPr="009D5134">
                <w:rPr>
                  <w:sz w:val="20"/>
                  <w:szCs w:val="20"/>
                </w:rPr>
                <w:t xml:space="preserve">For the </w:t>
              </w:r>
              <w:proofErr w:type="spellStart"/>
              <w:r w:rsidRPr="009D5134">
                <w:rPr>
                  <w:sz w:val="20"/>
                  <w:szCs w:val="20"/>
                </w:rPr>
                <w:t>SCell</w:t>
              </w:r>
              <w:proofErr w:type="spellEnd"/>
              <w:r w:rsidRPr="009D5134">
                <w:rPr>
                  <w:sz w:val="20"/>
                  <w:szCs w:val="20"/>
                </w:rPr>
                <w:t>, u</w:t>
              </w:r>
            </w:ins>
            <w:del w:id="3" w:author="Huawei" w:date="2020-04-10T11:13:00Z">
              <w:r w:rsidRPr="009D5134" w:rsidDel="009D5134">
                <w:rPr>
                  <w:rFonts w:eastAsia="DengXian"/>
                  <w:sz w:val="20"/>
                  <w:szCs w:val="20"/>
                  <w:lang w:val="en-GB"/>
                </w:rPr>
                <w:delText>U</w:delText>
              </w:r>
            </w:del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pon</w:t>
            </w:r>
            <w:proofErr w:type="spellEnd"/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 request from higher layers, the UE provides to higher layers </w:t>
            </w:r>
            <w:ins w:id="4" w:author="Huawei" w:date="2020-04-10T11:13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whether there is at least one periodic CSI-RS configuration index and/or SS/PBCH block index</w:t>
              </w:r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from the set </w:t>
              </w:r>
              <w:r w:rsidRPr="009D5134">
                <w:rPr>
                  <w:rFonts w:eastAsia="DengXian"/>
                  <w:iCs/>
                  <w:noProof/>
                  <w:position w:val="-10"/>
                  <w:sz w:val="20"/>
                  <w:szCs w:val="20"/>
                  <w:rPrChange w:id="5">
                    <w:rPr>
                      <w:noProof/>
                    </w:rPr>
                  </w:rPrChange>
                </w:rPr>
                <w:drawing>
                  <wp:inline distT="0" distB="0" distL="0" distR="0" wp14:anchorId="6CB648F2" wp14:editId="2819635A">
                    <wp:extent cx="180975" cy="180975"/>
                    <wp:effectExtent l="0" t="0" r="9525" b="9525"/>
                    <wp:docPr id="11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with corresponding L1-RSRP measurements that are larger than or equal to the </w:t>
              </w:r>
              <w:proofErr w:type="spellStart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Q</w:t>
              </w:r>
              <w:r w:rsidRPr="009D5134">
                <w:rPr>
                  <w:rFonts w:eastAsia="DengXian"/>
                  <w:sz w:val="20"/>
                  <w:szCs w:val="20"/>
                  <w:vertAlign w:val="subscript"/>
                  <w:lang w:val="en-GB"/>
                </w:rPr>
                <w:t>in,LR</w:t>
              </w:r>
              <w:proofErr w:type="spellEnd"/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 xml:space="preserve"> threshold, and</w:t>
              </w:r>
              <w:r w:rsidRPr="00C8262F">
                <w:rPr>
                  <w:rFonts w:eastAsia="DengXian"/>
                  <w:iCs/>
                  <w:sz w:val="20"/>
                  <w:szCs w:val="20"/>
                  <w:lang w:val="en-GB"/>
                </w:rPr>
                <w:t xml:space="preserve"> </w:t>
              </w:r>
            </w:ins>
            <w:r w:rsidRPr="00C8262F">
              <w:rPr>
                <w:rFonts w:eastAsia="DengXian"/>
                <w:sz w:val="20"/>
                <w:szCs w:val="20"/>
                <w:lang w:val="en-GB"/>
              </w:rPr>
              <w:t>the periodic CSI-RS configuration indexes and/or SS/PBCH block indexes</w:t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C8262F">
              <w:rPr>
                <w:rFonts w:eastAsia="DengXian"/>
                <w:sz w:val="20"/>
                <w:szCs w:val="20"/>
                <w:lang w:val="en-GB"/>
              </w:rPr>
              <w:t xml:space="preserve">from the set </w:t>
            </w:r>
            <w:r w:rsidRPr="00C8262F">
              <w:rPr>
                <w:rFonts w:eastAsia="DengXian"/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1053BD9" wp14:editId="70D5F0F6">
                  <wp:extent cx="180975" cy="180975"/>
                  <wp:effectExtent l="0" t="0" r="9525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and the corresponding L1-RSRP measurements that are larger than or equal to the </w:t>
            </w:r>
            <w:proofErr w:type="spellStart"/>
            <w:r w:rsidRPr="00C8262F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C8262F">
              <w:rPr>
                <w:rFonts w:eastAsia="DengXian"/>
                <w:sz w:val="20"/>
                <w:szCs w:val="20"/>
                <w:vertAlign w:val="subscript"/>
                <w:lang w:val="en-GB"/>
              </w:rPr>
              <w:t>in,LR</w:t>
            </w:r>
            <w:proofErr w:type="spellEnd"/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 threshold</w:t>
            </w:r>
            <w:ins w:id="6" w:author="Huawei" w:date="2020-04-10T11:13:00Z">
              <w:r w:rsidRPr="009D5134">
                <w:rPr>
                  <w:rFonts w:eastAsia="DengXian"/>
                  <w:iCs/>
                  <w:sz w:val="20"/>
                  <w:szCs w:val="20"/>
                  <w:lang w:val="en-GB"/>
                </w:rPr>
                <w:t>, if any</w:t>
              </w:r>
            </w:ins>
            <w:r w:rsidRPr="00C8262F">
              <w:rPr>
                <w:rFonts w:eastAsia="DengXian"/>
                <w:iCs/>
                <w:sz w:val="20"/>
                <w:szCs w:val="20"/>
                <w:lang w:val="en-GB"/>
              </w:rPr>
              <w:t xml:space="preserve">. </w:t>
            </w:r>
            <w:ins w:id="7" w:author="Jaehoon Chung (LGE)" w:date="2020-04-09T08:19:00Z">
              <w:r w:rsidRPr="009F77F1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9F77F1">
                <w:rPr>
                  <w:sz w:val="20"/>
                  <w:szCs w:val="20"/>
                </w:rPr>
                <w:t>CSI-RS configuration indexes and/or SS/PBCH block indexes</w:t>
              </w:r>
              <w:r w:rsidRPr="009F77F1">
                <w:rPr>
                  <w:iCs/>
                  <w:sz w:val="20"/>
                  <w:szCs w:val="20"/>
                </w:rPr>
                <w:t xml:space="preserve"> are found </w:t>
              </w:r>
              <w:r w:rsidRPr="009F77F1">
                <w:rPr>
                  <w:sz w:val="20"/>
                  <w:szCs w:val="20"/>
                </w:rPr>
                <w:t xml:space="preserve">from the set </w:t>
              </w:r>
              <w:r w:rsidRPr="009F77F1">
                <w:rPr>
                  <w:iCs/>
                  <w:noProof/>
                  <w:position w:val="-10"/>
                  <w:sz w:val="20"/>
                  <w:szCs w:val="20"/>
                  <w:rPrChange w:id="8">
                    <w:rPr>
                      <w:noProof/>
                    </w:rPr>
                  </w:rPrChange>
                </w:rPr>
                <w:drawing>
                  <wp:inline distT="0" distB="0" distL="0" distR="0" wp14:anchorId="34EAD843" wp14:editId="30776433">
                    <wp:extent cx="180975" cy="180975"/>
                    <wp:effectExtent l="0" t="0" r="9525" b="9525"/>
                    <wp:docPr id="5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9F77F1">
                <w:rPr>
                  <w:sz w:val="20"/>
                  <w:szCs w:val="20"/>
                </w:rPr>
                <w:t xml:space="preserve">, where </w:t>
              </w:r>
              <w:r w:rsidRPr="009F77F1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9F77F1">
                <w:rPr>
                  <w:sz w:val="20"/>
                  <w:szCs w:val="20"/>
                </w:rPr>
                <w:t>Q</w:t>
              </w:r>
              <w:r w:rsidRPr="009F77F1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9F77F1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9F77F1">
              <w:rPr>
                <w:iCs/>
                <w:sz w:val="20"/>
                <w:szCs w:val="20"/>
              </w:rPr>
              <w:t xml:space="preserve"> </w:t>
            </w:r>
          </w:p>
          <w:p w14:paraId="771D0B82" w14:textId="77777777" w:rsidR="005A263D" w:rsidRPr="00222566" w:rsidRDefault="005A263D" w:rsidP="00E25F5A">
            <w:pPr>
              <w:keepNext/>
              <w:keepLines/>
              <w:spacing w:before="120"/>
              <w:jc w:val="center"/>
              <w:outlineLvl w:val="3"/>
              <w:rPr>
                <w:color w:val="FF0000"/>
                <w:sz w:val="20"/>
                <w:szCs w:val="20"/>
                <w:lang w:val="en-GB"/>
              </w:rPr>
            </w:pPr>
            <w:r w:rsidRPr="00821C7A">
              <w:rPr>
                <w:color w:val="FF0000"/>
                <w:sz w:val="20"/>
                <w:szCs w:val="20"/>
                <w:lang w:val="en-GB"/>
              </w:rPr>
              <w:t>&lt; Unchanged parts are omitted &gt;</w:t>
            </w:r>
          </w:p>
          <w:p w14:paraId="304F848C" w14:textId="77777777" w:rsidR="005A263D" w:rsidRPr="00010471" w:rsidRDefault="005A263D" w:rsidP="00E25F5A">
            <w:pPr>
              <w:tabs>
                <w:tab w:val="left" w:pos="2116"/>
              </w:tabs>
              <w:spacing w:after="180"/>
              <w:rPr>
                <w:rFonts w:eastAsia="DengXian"/>
                <w:sz w:val="20"/>
                <w:szCs w:val="20"/>
                <w:lang w:val="en-GB"/>
              </w:rPr>
            </w:pP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A UE can be provided, by </w:t>
            </w:r>
            <w:proofErr w:type="spellStart"/>
            <w:r w:rsidRPr="00010471">
              <w:rPr>
                <w:rFonts w:eastAsia="DengXian"/>
                <w:i/>
                <w:color w:val="000000"/>
                <w:sz w:val="20"/>
                <w:szCs w:val="20"/>
                <w:lang w:val="en-GB"/>
              </w:rPr>
              <w:t>schedulingRequestIDForBFR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a configuration for PUCCH transmission with a link recovery request (LRR) as described in Clause 9.2.4. The UE can transmit in a first PUSCH </w:t>
            </w:r>
            <w:del w:id="9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at least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one MAC CE providing </w:t>
            </w:r>
            <w:del w:id="10" w:author="Huawei" w:date="2020-04-10T11:14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one </w:delText>
              </w:r>
            </w:del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index</w:t>
            </w:r>
            <w:ins w:id="11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(es)</w:t>
              </w:r>
            </w:ins>
            <w:r w:rsidRPr="009D5134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>for at least one corresponding SCell</w:t>
            </w:r>
            <w:ins w:id="12" w:author="Huawei" w:date="2020-04-10T11:14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>(s)</w:t>
              </w:r>
            </w:ins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 with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radio link quality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worse than </w:t>
            </w:r>
            <w:proofErr w:type="spellStart"/>
            <w:r w:rsidRPr="00010471">
              <w:rPr>
                <w:rFonts w:eastAsia="DengXian"/>
                <w:sz w:val="20"/>
                <w:szCs w:val="20"/>
                <w:lang w:val="en-GB"/>
              </w:rPr>
              <w:t>Q</w:t>
            </w:r>
            <w:r w:rsidRPr="00010471">
              <w:rPr>
                <w:rFonts w:eastAsia="DengXian"/>
                <w:sz w:val="20"/>
                <w:szCs w:val="20"/>
                <w:vertAlign w:val="subscript"/>
                <w:lang w:val="en-GB"/>
              </w:rPr>
              <w:t>out,LR</w:t>
            </w:r>
            <w:proofErr w:type="spellEnd"/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, </w:t>
            </w:r>
            <w:ins w:id="13" w:author="Huawei" w:date="2020-04-10T11:15:00Z">
              <w:r w:rsidRPr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t xml:space="preserve">candidate beam availability indication for corresponding SCell(s), and </w:t>
              </w:r>
            </w:ins>
            <w:del w:id="14" w:author="Huawei" w:date="2020-04-10T11:16:00Z">
              <w:r w:rsidRPr="009D5134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>an</w:delText>
              </w:r>
              <w:r w:rsidRPr="00010471" w:rsidDel="009D5134">
                <w:rPr>
                  <w:rFonts w:eastAsia="DengXian"/>
                  <w:iCs/>
                  <w:noProof/>
                  <w:sz w:val="20"/>
                  <w:szCs w:val="20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sz w:val="20"/>
                <w:szCs w:val="20"/>
                <w:lang w:val="en-GB"/>
              </w:rPr>
              <w:t>index</w:t>
            </w:r>
            <w:ins w:id="15" w:author="Huawei" w:date="2020-04-10T11:15:00Z">
              <w:r w:rsidRPr="009D5134">
                <w:rPr>
                  <w:rFonts w:eastAsia="DengXian"/>
                  <w:sz w:val="20"/>
                  <w:szCs w:val="20"/>
                  <w:lang w:val="en-GB"/>
                </w:rPr>
                <w:t>(es)</w:t>
              </w:r>
            </w:ins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DengXian" w:hAnsi="Cambria Math"/>
                      <w:i/>
                      <w:iCs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DengXian"/>
                      <w:sz w:val="20"/>
                      <w:szCs w:val="20"/>
                      <w:lang w:val="en-GB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ascii="Cambria Math" w:eastAsia="DengXian"/>
                      <w:iCs/>
                      <w:sz w:val="20"/>
                      <w:szCs w:val="20"/>
                      <w:lang w:val="en-GB"/>
                    </w:rPr>
                    <m:t>new</m:t>
                  </m:r>
                  <m:ctrlPr>
                    <w:rPr>
                      <w:rFonts w:ascii="Cambria Math" w:eastAsia="DengXian" w:hAnsi="Cambria Math"/>
                      <w:iCs/>
                      <w:sz w:val="20"/>
                      <w:szCs w:val="20"/>
                      <w:lang w:val="en-GB"/>
                    </w:rPr>
                  </m:ctrlPr>
                </m:sub>
              </m:sSub>
            </m:oMath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 xml:space="preserve">for a periodic CSI-RS configuration or for a SS/PBCH block </w:t>
            </w:r>
            <w:r w:rsidRPr="00010471">
              <w:rPr>
                <w:rFonts w:eastAsia="DengXian"/>
                <w:iCs/>
                <w:noProof/>
                <w:sz w:val="20"/>
                <w:szCs w:val="20"/>
                <w:lang w:val="en-GB"/>
              </w:rPr>
              <w:t xml:space="preserve">provided 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by higher layers, as described in </w:t>
            </w:r>
            <w:r w:rsidRPr="00010471">
              <w:rPr>
                <w:rFonts w:eastAsia="DengXian"/>
                <w:sz w:val="20"/>
                <w:szCs w:val="20"/>
                <w:lang w:val="en-GB"/>
              </w:rPr>
              <w:t>[11, TS 38.321]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,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1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lastRenderedPageBreak/>
              <w:t xml:space="preserve">corresponding SCell. </w:t>
            </w:r>
          </w:p>
          <w:p w14:paraId="759CAE52" w14:textId="77777777" w:rsidR="005A263D" w:rsidRPr="00821C7A" w:rsidRDefault="005A263D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821C7A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16D87A3A" w14:textId="77777777" w:rsidR="005A263D" w:rsidRPr="005779EF" w:rsidRDefault="005A263D" w:rsidP="00E25F5A">
            <w:pPr>
              <w:jc w:val="center"/>
            </w:pPr>
            <w:r w:rsidRPr="00821C7A">
              <w:rPr>
                <w:color w:val="FF0000"/>
                <w:sz w:val="20"/>
                <w:szCs w:val="20"/>
              </w:rPr>
              <w:t>&lt; End of text proposal on TS 38.213 v16.</w:t>
            </w:r>
            <w:r>
              <w:rPr>
                <w:color w:val="FF0000"/>
                <w:sz w:val="20"/>
                <w:szCs w:val="20"/>
              </w:rPr>
              <w:t>1</w:t>
            </w:r>
            <w:r w:rsidRPr="00821C7A">
              <w:rPr>
                <w:color w:val="FF0000"/>
                <w:sz w:val="20"/>
                <w:szCs w:val="20"/>
              </w:rPr>
              <w:t xml:space="preserve">.0 </w:t>
            </w:r>
            <w:r>
              <w:rPr>
                <w:color w:val="FF0000"/>
                <w:sz w:val="20"/>
                <w:szCs w:val="20"/>
              </w:rPr>
              <w:t>S</w:t>
            </w:r>
            <w:r w:rsidRPr="00821C7A">
              <w:rPr>
                <w:color w:val="FF0000"/>
                <w:sz w:val="20"/>
                <w:szCs w:val="20"/>
              </w:rPr>
              <w:t>ection 6&gt;</w:t>
            </w:r>
          </w:p>
        </w:tc>
      </w:tr>
    </w:tbl>
    <w:p w14:paraId="65A97776" w14:textId="77777777" w:rsidR="005A263D" w:rsidRDefault="005A263D" w:rsidP="005A263D">
      <w:pPr>
        <w:rPr>
          <w:highlight w:val="cyan"/>
          <w:lang w:val="en-GB"/>
        </w:rPr>
      </w:pPr>
    </w:p>
    <w:p w14:paraId="17202AC1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3EA41970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814EB2E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658F1EF9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4D1F25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870B581" w14:textId="2BA5A477" w:rsidR="009945F1" w:rsidRPr="00C26245" w:rsidRDefault="003F3915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56EFEB35" w14:textId="0CA337FC" w:rsidR="009945F1" w:rsidRPr="003F3915" w:rsidRDefault="003F3915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3F3915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4675F28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EFAD3C3" w14:textId="3895E171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379ABDF3" w14:textId="314018DA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8719EE"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 w:rsidRPr="008719EE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 in principle</w:t>
            </w:r>
          </w:p>
        </w:tc>
      </w:tr>
      <w:tr w:rsidR="00F756F8" w:rsidRPr="00C26245" w14:paraId="04BAD40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EEAEE49" w14:textId="7BBCF93D" w:rsidR="00F756F8" w:rsidRPr="00F756F8" w:rsidRDefault="00F756F8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F756F8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6E7B5515" w14:textId="18383E6E" w:rsidR="00AE706B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 in principle. The sentence “Otherwise, …” in the second paragraph can be refined.</w:t>
            </w:r>
            <w:r w:rsidR="007413B1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</w:t>
            </w:r>
          </w:p>
          <w:p w14:paraId="0D8DFECA" w14:textId="78C66771" w:rsidR="00F756F8" w:rsidRDefault="007413B1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Proposal:</w:t>
            </w:r>
          </w:p>
          <w:p w14:paraId="75C43F3C" w14:textId="19454BF3" w:rsidR="00F756F8" w:rsidRPr="008719EE" w:rsidRDefault="00F756F8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iCs/>
                <w:sz w:val="20"/>
                <w:szCs w:val="20"/>
              </w:rPr>
              <w:t>“</w:t>
            </w:r>
            <w:r w:rsidRPr="009F77F1">
              <w:rPr>
                <w:iCs/>
                <w:sz w:val="20"/>
                <w:szCs w:val="20"/>
              </w:rPr>
              <w:t>Otherwise, the UE provides to higher layers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F756F8">
              <w:rPr>
                <w:iCs/>
                <w:color w:val="FF0000"/>
                <w:sz w:val="20"/>
                <w:szCs w:val="20"/>
              </w:rPr>
              <w:t>an indication</w:t>
            </w:r>
            <w:r w:rsidRPr="009F77F1">
              <w:rPr>
                <w:iCs/>
                <w:sz w:val="20"/>
                <w:szCs w:val="20"/>
              </w:rPr>
              <w:t xml:space="preserve"> that</w:t>
            </w:r>
            <w:r w:rsidR="00AE706B">
              <w:rPr>
                <w:iCs/>
                <w:sz w:val="20"/>
                <w:szCs w:val="20"/>
              </w:rPr>
              <w:t xml:space="preserve"> </w:t>
            </w:r>
            <w:r w:rsidR="00AE706B" w:rsidRPr="00AE706B">
              <w:rPr>
                <w:iCs/>
                <w:color w:val="FF0000"/>
                <w:sz w:val="20"/>
                <w:szCs w:val="20"/>
              </w:rPr>
              <w:t>there is</w:t>
            </w:r>
            <w:r w:rsidRPr="009F77F1">
              <w:rPr>
                <w:iCs/>
                <w:sz w:val="20"/>
                <w:szCs w:val="20"/>
              </w:rPr>
              <w:t xml:space="preserve"> no </w:t>
            </w:r>
            <w:r w:rsidRPr="009F77F1">
              <w:rPr>
                <w:sz w:val="20"/>
                <w:szCs w:val="20"/>
              </w:rPr>
              <w:t>CSI-RS configuration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sz w:val="20"/>
                <w:szCs w:val="20"/>
              </w:rPr>
              <w:t xml:space="preserve"> </w:t>
            </w:r>
            <w:r w:rsidRPr="007413B1">
              <w:rPr>
                <w:strike/>
                <w:color w:val="FF0000"/>
                <w:sz w:val="20"/>
                <w:szCs w:val="20"/>
              </w:rPr>
              <w:t>and/</w:t>
            </w:r>
            <w:r w:rsidRPr="009F77F1">
              <w:rPr>
                <w:sz w:val="20"/>
                <w:szCs w:val="20"/>
              </w:rPr>
              <w:t>or SS/PBCH block index</w:t>
            </w:r>
            <w:r w:rsidRPr="007413B1">
              <w:rPr>
                <w:strike/>
                <w:color w:val="FF0000"/>
                <w:sz w:val="20"/>
                <w:szCs w:val="20"/>
              </w:rPr>
              <w:t>es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 xml:space="preserve">are found </w:t>
            </w:r>
            <w:r w:rsidRPr="00AE706B">
              <w:rPr>
                <w:strike/>
                <w:color w:val="FF0000"/>
                <w:sz w:val="20"/>
                <w:szCs w:val="20"/>
              </w:rPr>
              <w:t>from</w:t>
            </w:r>
            <w:r w:rsidR="00AE706B">
              <w:rPr>
                <w:sz w:val="20"/>
                <w:szCs w:val="20"/>
              </w:rPr>
              <w:t xml:space="preserve"> </w:t>
            </w:r>
            <w:r w:rsidR="00AE706B" w:rsidRPr="00AE706B">
              <w:rPr>
                <w:color w:val="FF0000"/>
                <w:sz w:val="20"/>
                <w:szCs w:val="20"/>
              </w:rPr>
              <w:t>in</w:t>
            </w:r>
            <w:r w:rsidRPr="009F77F1">
              <w:rPr>
                <w:sz w:val="20"/>
                <w:szCs w:val="20"/>
              </w:rPr>
              <w:t xml:space="preserve"> the set </w:t>
            </w:r>
            <w:r w:rsidRPr="009F77F1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EF359EB" wp14:editId="48CD6948">
                  <wp:extent cx="180975" cy="180975"/>
                  <wp:effectExtent l="0" t="0" r="9525" b="9525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06B">
              <w:rPr>
                <w:strike/>
                <w:color w:val="FF0000"/>
                <w:sz w:val="20"/>
                <w:szCs w:val="20"/>
              </w:rPr>
              <w:t>, where</w:t>
            </w:r>
            <w:r w:rsidR="00AE706B" w:rsidRPr="00AE706B">
              <w:rPr>
                <w:color w:val="FF0000"/>
                <w:sz w:val="20"/>
                <w:szCs w:val="20"/>
              </w:rPr>
              <w:t>with</w:t>
            </w:r>
            <w:r w:rsidRPr="009F77F1">
              <w:rPr>
                <w:sz w:val="20"/>
                <w:szCs w:val="20"/>
              </w:rPr>
              <w:t xml:space="preserve"> </w:t>
            </w:r>
            <w:r w:rsidRPr="009F77F1">
              <w:rPr>
                <w:iCs/>
                <w:sz w:val="20"/>
                <w:szCs w:val="20"/>
              </w:rPr>
              <w:t>corresponding L1-RSRP measurement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s</w:t>
            </w:r>
            <w:r w:rsidRPr="009F77F1">
              <w:rPr>
                <w:iCs/>
                <w:sz w:val="20"/>
                <w:szCs w:val="20"/>
              </w:rPr>
              <w:t xml:space="preserve"> </w:t>
            </w:r>
            <w:r w:rsidRPr="00AE706B">
              <w:rPr>
                <w:iCs/>
                <w:strike/>
                <w:color w:val="FF0000"/>
                <w:sz w:val="20"/>
                <w:szCs w:val="20"/>
              </w:rPr>
              <w:t>are</w:t>
            </w:r>
            <w:r w:rsidRPr="009F77F1">
              <w:rPr>
                <w:iCs/>
                <w:sz w:val="20"/>
                <w:szCs w:val="20"/>
              </w:rPr>
              <w:t xml:space="preserve"> larger than or equal to the </w:t>
            </w:r>
            <w:proofErr w:type="spellStart"/>
            <w:r w:rsidRPr="009F77F1">
              <w:rPr>
                <w:sz w:val="20"/>
                <w:szCs w:val="20"/>
              </w:rPr>
              <w:t>Q</w:t>
            </w:r>
            <w:r w:rsidRPr="009F77F1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9F77F1">
              <w:rPr>
                <w:iCs/>
                <w:sz w:val="20"/>
                <w:szCs w:val="20"/>
              </w:rPr>
              <w:t xml:space="preserve"> threshold</w:t>
            </w:r>
            <w:r>
              <w:rPr>
                <w:iCs/>
                <w:sz w:val="20"/>
                <w:szCs w:val="20"/>
              </w:rPr>
              <w:t>.”</w:t>
            </w:r>
          </w:p>
        </w:tc>
      </w:tr>
      <w:tr w:rsidR="009949C7" w:rsidRPr="00C26245" w14:paraId="53A33BAA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672AA9E" w14:textId="3834C66B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8085B4B" w14:textId="16D01081" w:rsidR="009949C7" w:rsidRPr="00A942FA" w:rsidRDefault="009949C7" w:rsidP="00F756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 w:rsidRPr="00A942FA">
              <w:rPr>
                <w:rFonts w:eastAsiaTheme="minorEastAsia"/>
                <w:kern w:val="2"/>
                <w:sz w:val="20"/>
                <w:szCs w:val="20"/>
              </w:rPr>
              <w:t>The change of “</w:t>
            </w:r>
            <w:ins w:id="17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18">
                    <w:rPr>
                      <w:noProof/>
                    </w:rPr>
                  </w:rPrChange>
                </w:rPr>
                <w:drawing>
                  <wp:inline distT="0" distB="0" distL="0" distR="0" wp14:anchorId="4715D857" wp14:editId="2C195347">
                    <wp:extent cx="180975" cy="180975"/>
                    <wp:effectExtent l="0" t="0" r="9525" b="9525"/>
                    <wp:docPr id="1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 w:rsidRPr="00A942FA">
              <w:rPr>
                <w:rFonts w:eastAsiaTheme="minorEastAsia"/>
                <w:kern w:val="2"/>
                <w:sz w:val="20"/>
                <w:szCs w:val="20"/>
              </w:rPr>
              <w:t>” is redundant. The others are fine.</w:t>
            </w:r>
          </w:p>
        </w:tc>
      </w:tr>
      <w:tr w:rsidR="00E42056" w:rsidRPr="00C26245" w14:paraId="1C1225A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68F56F0" w14:textId="15987703" w:rsidR="00E42056" w:rsidRPr="007C05E9" w:rsidRDefault="00E4205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586E526E" w14:textId="77777777" w:rsidR="000D7846" w:rsidRDefault="00E42056" w:rsidP="00F756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Support in principle. Agree with ZTE that the part “</w:t>
            </w:r>
            <w:ins w:id="19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0">
                    <w:rPr>
                      <w:noProof/>
                    </w:rPr>
                  </w:rPrChange>
                </w:rPr>
                <w:drawing>
                  <wp:inline distT="0" distB="0" distL="0" distR="0" wp14:anchorId="773F4DF9" wp14:editId="529F31AE">
                    <wp:extent cx="180975" cy="180975"/>
                    <wp:effectExtent l="0" t="0" r="9525" b="9525"/>
                    <wp:docPr id="3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” sounds like redundant</w:t>
            </w:r>
            <w:r w:rsidR="00F67E19">
              <w:rPr>
                <w:rFonts w:eastAsiaTheme="minorEastAsia"/>
                <w:kern w:val="2"/>
                <w:sz w:val="20"/>
                <w:szCs w:val="20"/>
              </w:rPr>
              <w:t xml:space="preserve">, since the UE already indicates to higher layer whether there is such qualified RS or not. </w:t>
            </w:r>
          </w:p>
          <w:p w14:paraId="04070331" w14:textId="7F3CB9AB" w:rsidR="00E42056" w:rsidRPr="00A942FA" w:rsidRDefault="00F67E19" w:rsidP="000D78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In addition,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for the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>2</w:t>
            </w:r>
            <w:r w:rsidR="000D7846" w:rsidRPr="000D7846">
              <w:rPr>
                <w:rFonts w:eastAsiaTheme="minorEastAsia"/>
                <w:kern w:val="2"/>
                <w:sz w:val="20"/>
                <w:szCs w:val="20"/>
                <w:vertAlign w:val="superscript"/>
              </w:rPr>
              <w:t>nd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para</w:t>
            </w:r>
            <w:r w:rsidR="000D7846">
              <w:rPr>
                <w:rFonts w:eastAsiaTheme="minorEastAsia"/>
                <w:kern w:val="2"/>
                <w:sz w:val="20"/>
                <w:szCs w:val="20"/>
              </w:rPr>
              <w:t xml:space="preserve">graph, we first need to decide to specify either for each SCell or SCell(s). </w:t>
            </w:r>
          </w:p>
        </w:tc>
      </w:tr>
      <w:tr w:rsidR="00693424" w:rsidRPr="00C26245" w14:paraId="0019537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4F13B65" w14:textId="73AE9B62" w:rsidR="00693424" w:rsidRPr="007C05E9" w:rsidRDefault="00693424" w:rsidP="00693424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0C8BEB40" w14:textId="77777777" w:rsidR="00693424" w:rsidRPr="004A5B3B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16"/>
              </w:rPr>
            </w:pPr>
            <w:r>
              <w:rPr>
                <w:rFonts w:eastAsiaTheme="minorEastAsia"/>
                <w:kern w:val="2"/>
                <w:szCs w:val="16"/>
              </w:rPr>
              <w:t xml:space="preserve">Similar view as ZTE and </w:t>
            </w:r>
            <w:proofErr w:type="spellStart"/>
            <w:r>
              <w:rPr>
                <w:rFonts w:eastAsiaTheme="minorEastAsia"/>
                <w:kern w:val="2"/>
                <w:szCs w:val="16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Cs w:val="16"/>
              </w:rPr>
              <w:t xml:space="preserve">, </w:t>
            </w:r>
            <w:r w:rsidRPr="004A5B3B">
              <w:rPr>
                <w:rFonts w:eastAsiaTheme="minorEastAsia"/>
                <w:kern w:val="2"/>
                <w:szCs w:val="16"/>
              </w:rPr>
              <w:t>The part of “</w:t>
            </w:r>
            <w:ins w:id="21" w:author="Jaehoon Chung (LGE)" w:date="2020-04-09T08:19:00Z">
              <w:r w:rsidRPr="004A5B3B">
                <w:rPr>
                  <w:iCs/>
                  <w:szCs w:val="16"/>
                </w:rPr>
                <w:t xml:space="preserve">Otherwise, the UE provides to higher layers that no </w:t>
              </w:r>
              <w:r w:rsidRPr="004A5B3B">
                <w:rPr>
                  <w:szCs w:val="16"/>
                </w:rPr>
                <w:t>CSI-RS configuration indexes and/or SS/PBCH block indexes</w:t>
              </w:r>
              <w:r w:rsidRPr="004A5B3B">
                <w:rPr>
                  <w:iCs/>
                  <w:szCs w:val="16"/>
                </w:rPr>
                <w:t xml:space="preserve"> are found </w:t>
              </w:r>
              <w:r w:rsidRPr="004A5B3B">
                <w:rPr>
                  <w:szCs w:val="16"/>
                </w:rPr>
                <w:t xml:space="preserve">from the set </w:t>
              </w:r>
              <w:r w:rsidRPr="004A5B3B">
                <w:rPr>
                  <w:noProof/>
                  <w:position w:val="-10"/>
                  <w:szCs w:val="20"/>
                  <w:lang w:val="en-US" w:eastAsia="zh-CN"/>
                  <w:rPrChange w:id="22">
                    <w:rPr>
                      <w:noProof/>
                      <w:lang w:val="en-US" w:eastAsia="zh-CN"/>
                    </w:rPr>
                  </w:rPrChange>
                </w:rPr>
                <w:drawing>
                  <wp:inline distT="0" distB="0" distL="0" distR="0" wp14:anchorId="3ECB7CE5" wp14:editId="1F8334A3">
                    <wp:extent cx="180975" cy="180975"/>
                    <wp:effectExtent l="0" t="0" r="9525" b="9525"/>
                    <wp:docPr id="6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4A5B3B">
                <w:rPr>
                  <w:szCs w:val="16"/>
                </w:rPr>
                <w:t xml:space="preserve">, where </w:t>
              </w:r>
              <w:r w:rsidRPr="004A5B3B">
                <w:rPr>
                  <w:iCs/>
                  <w:szCs w:val="16"/>
                </w:rPr>
                <w:t xml:space="preserve">corresponding L1-RSRP measurements are larger than or equal to the </w:t>
              </w:r>
              <w:proofErr w:type="spellStart"/>
              <w:r w:rsidRPr="004A5B3B">
                <w:rPr>
                  <w:szCs w:val="16"/>
                </w:rPr>
                <w:t>Q</w:t>
              </w:r>
              <w:r w:rsidRPr="004A5B3B">
                <w:rPr>
                  <w:szCs w:val="16"/>
                  <w:vertAlign w:val="subscript"/>
                </w:rPr>
                <w:t>in,LR</w:t>
              </w:r>
              <w:proofErr w:type="spellEnd"/>
              <w:r w:rsidRPr="004A5B3B">
                <w:rPr>
                  <w:iCs/>
                  <w:szCs w:val="16"/>
                </w:rPr>
                <w:t xml:space="preserve"> threshold</w:t>
              </w:r>
            </w:ins>
            <w:r w:rsidRPr="004A5B3B">
              <w:rPr>
                <w:rFonts w:eastAsiaTheme="minorEastAsia"/>
                <w:kern w:val="2"/>
                <w:szCs w:val="16"/>
              </w:rPr>
              <w:t>” is redundant.</w:t>
            </w:r>
          </w:p>
          <w:p w14:paraId="15808FCC" w14:textId="00340101" w:rsidR="00693424" w:rsidRPr="00693424" w:rsidRDefault="00693424" w:rsidP="00693424">
            <w:pPr>
              <w:pStyle w:val="ListParagraph"/>
              <w:numPr>
                <w:ilvl w:val="0"/>
                <w:numId w:val="46"/>
              </w:numPr>
              <w:ind w:leftChars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Cs w:val="20"/>
              </w:rPr>
            </w:pPr>
            <w:r w:rsidRPr="00693424">
              <w:rPr>
                <w:rFonts w:eastAsiaTheme="minorEastAsia"/>
                <w:kern w:val="2"/>
                <w:szCs w:val="20"/>
              </w:rPr>
              <w:t xml:space="preserve">Wording change suggestion: </w:t>
            </w:r>
            <w:r w:rsidRPr="00693424">
              <w:rPr>
                <w:rFonts w:eastAsiaTheme="minorEastAsia"/>
                <w:color w:val="FF0000"/>
                <w:kern w:val="2"/>
                <w:szCs w:val="20"/>
              </w:rPr>
              <w:t xml:space="preserve">indication of presence of </w:t>
            </w:r>
            <w:ins w:id="23" w:author="Huawei" w:date="2020-04-10T11:15:00Z"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candidate beam </w:t>
              </w:r>
              <w:r w:rsidRPr="00693424">
                <w:rPr>
                  <w:rFonts w:eastAsia="DengXian"/>
                  <w:iCs/>
                  <w:strike/>
                  <w:noProof/>
                  <w:szCs w:val="20"/>
                </w:rPr>
                <w:t>availability indication</w:t>
              </w:r>
              <w:r w:rsidRPr="00693424">
                <w:rPr>
                  <w:rFonts w:eastAsia="DengXian"/>
                  <w:iCs/>
                  <w:noProof/>
                  <w:szCs w:val="20"/>
                </w:rPr>
                <w:t xml:space="preserve"> for corresponding SCell(s),</w:t>
              </w:r>
            </w:ins>
          </w:p>
        </w:tc>
      </w:tr>
      <w:tr w:rsidR="00E24ECC" w:rsidRPr="00C26245" w14:paraId="0285D31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1D68BF" w14:textId="62FF571E" w:rsidR="00E24ECC" w:rsidRPr="00E24ECC" w:rsidRDefault="00E24ECC" w:rsidP="00693424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LGE</w:t>
            </w:r>
          </w:p>
        </w:tc>
        <w:tc>
          <w:tcPr>
            <w:tcW w:w="6321" w:type="dxa"/>
          </w:tcPr>
          <w:p w14:paraId="03482A27" w14:textId="71631EB7" w:rsidR="00E24ECC" w:rsidRPr="00E24ECC" w:rsidRDefault="00E24ECC" w:rsidP="00E24E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 w:rsidRPr="00E24ECC">
              <w:rPr>
                <w:rFonts w:eastAsiaTheme="minorEastAsia" w:hint="eastAsia"/>
                <w:kern w:val="2"/>
                <w:sz w:val="20"/>
                <w:szCs w:val="20"/>
              </w:rPr>
              <w:t>Support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. Further refinement from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or ZTE is also fine.</w:t>
            </w:r>
          </w:p>
        </w:tc>
      </w:tr>
      <w:tr w:rsidR="00EB69F7" w:rsidRPr="00C26245" w14:paraId="042BA896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4EE9E49" w14:textId="30780CC1" w:rsidR="00EB69F7" w:rsidRPr="00E24ECC" w:rsidRDefault="00EB69F7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088E0C60" w14:textId="77777777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For first </w:t>
            </w:r>
            <w:r w:rsidRPr="003B75E6">
              <w:rPr>
                <w:rFonts w:eastAsiaTheme="minorEastAsia"/>
                <w:kern w:val="2"/>
                <w:sz w:val="20"/>
                <w:szCs w:val="20"/>
              </w:rPr>
              <w:t>paragraph</w:t>
            </w:r>
            <w:r>
              <w:rPr>
                <w:rFonts w:eastAsiaTheme="minorEastAsia"/>
                <w:kern w:val="2"/>
                <w:sz w:val="20"/>
                <w:szCs w:val="20"/>
              </w:rPr>
              <w:t>,</w:t>
            </w:r>
            <w:r w:rsidRPr="003B75E6">
              <w:rPr>
                <w:rFonts w:eastAsiaTheme="minorEastAsia" w:hint="eastAsia"/>
                <w:kern w:val="2"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>a</w:t>
            </w:r>
            <w:r w:rsidRPr="001F6768">
              <w:rPr>
                <w:rFonts w:eastAsiaTheme="minorEastAsia" w:hint="eastAsia"/>
                <w:kern w:val="2"/>
                <w:sz w:val="20"/>
                <w:szCs w:val="20"/>
              </w:rPr>
              <w:t>gree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 xml:space="preserve"> th</w:t>
            </w:r>
            <w:r>
              <w:rPr>
                <w:rFonts w:eastAsiaTheme="minorEastAsia"/>
                <w:kern w:val="2"/>
                <w:sz w:val="20"/>
                <w:szCs w:val="20"/>
              </w:rPr>
              <w:t>at the part “</w:t>
            </w:r>
            <w:ins w:id="24" w:author="Jaehoon Chung (LGE)" w:date="2020-04-09T08:19:00Z">
              <w:r w:rsidRPr="00A942FA">
                <w:rPr>
                  <w:iCs/>
                  <w:sz w:val="20"/>
                  <w:szCs w:val="20"/>
                </w:rPr>
                <w:t xml:space="preserve">Otherwise, the UE provides to higher layers that no </w:t>
              </w:r>
              <w:r w:rsidRPr="00A942FA">
                <w:rPr>
                  <w:sz w:val="20"/>
                  <w:szCs w:val="20"/>
                </w:rPr>
                <w:t>CSI-RS configuration indexes and/or SS/PBCH block indexes</w:t>
              </w:r>
              <w:r w:rsidRPr="00A942FA">
                <w:rPr>
                  <w:iCs/>
                  <w:sz w:val="20"/>
                  <w:szCs w:val="20"/>
                </w:rPr>
                <w:t xml:space="preserve"> are found </w:t>
              </w:r>
              <w:r w:rsidRPr="00A942FA">
                <w:rPr>
                  <w:sz w:val="20"/>
                  <w:szCs w:val="20"/>
                </w:rPr>
                <w:t xml:space="preserve">from the set </w:t>
              </w:r>
              <w:r w:rsidRPr="00A942FA">
                <w:rPr>
                  <w:iCs/>
                  <w:noProof/>
                  <w:position w:val="-10"/>
                  <w:sz w:val="20"/>
                  <w:szCs w:val="20"/>
                  <w:rPrChange w:id="25">
                    <w:rPr>
                      <w:noProof/>
                    </w:rPr>
                  </w:rPrChange>
                </w:rPr>
                <w:drawing>
                  <wp:inline distT="0" distB="0" distL="0" distR="0" wp14:anchorId="065338F2" wp14:editId="41BC4AF8">
                    <wp:extent cx="180975" cy="180975"/>
                    <wp:effectExtent l="0" t="0" r="9525" b="9525"/>
                    <wp:docPr id="7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942FA">
                <w:rPr>
                  <w:sz w:val="20"/>
                  <w:szCs w:val="20"/>
                </w:rPr>
                <w:t xml:space="preserve">, where </w:t>
              </w:r>
              <w:r w:rsidRPr="00A942FA">
                <w:rPr>
                  <w:iCs/>
                  <w:sz w:val="20"/>
                  <w:szCs w:val="20"/>
                </w:rPr>
                <w:t xml:space="preserve">corresponding L1-RSRP measurements are larger than or equal to the </w:t>
              </w:r>
              <w:proofErr w:type="spellStart"/>
              <w:r w:rsidRPr="00A942FA">
                <w:rPr>
                  <w:sz w:val="20"/>
                  <w:szCs w:val="20"/>
                </w:rPr>
                <w:t>Q</w:t>
              </w:r>
              <w:r w:rsidRPr="00A942FA">
                <w:rPr>
                  <w:sz w:val="20"/>
                  <w:szCs w:val="20"/>
                  <w:vertAlign w:val="subscript"/>
                </w:rPr>
                <w:t>in,LR</w:t>
              </w:r>
              <w:proofErr w:type="spellEnd"/>
              <w:r w:rsidRPr="00A942FA">
                <w:rPr>
                  <w:iCs/>
                  <w:sz w:val="20"/>
                  <w:szCs w:val="20"/>
                </w:rPr>
                <w:t xml:space="preserve"> threshold. </w:t>
              </w:r>
            </w:ins>
            <w:r w:rsidRPr="00A942FA">
              <w:rPr>
                <w:iCs/>
                <w:sz w:val="20"/>
                <w:szCs w:val="20"/>
              </w:rPr>
              <w:t xml:space="preserve"> 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” is </w:t>
            </w:r>
            <w:r w:rsidRPr="001F6768">
              <w:rPr>
                <w:rFonts w:eastAsiaTheme="minorEastAsia"/>
                <w:kern w:val="2"/>
                <w:sz w:val="20"/>
                <w:szCs w:val="20"/>
              </w:rPr>
              <w:t>redundant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and can be deleted.</w:t>
            </w:r>
          </w:p>
          <w:p w14:paraId="713B1F46" w14:textId="4C7D848F" w:rsidR="00EB69F7" w:rsidRPr="00E24ECC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For second paragraph, wording change suggestion: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 xml:space="preserve"> if any, for</w:t>
            </w:r>
            <w:r w:rsidRPr="009D5134">
              <w:rPr>
                <w:rFonts w:eastAsia="DengXian"/>
                <w:iCs/>
                <w:sz w:val="20"/>
                <w:szCs w:val="20"/>
                <w:lang w:val="en-GB"/>
              </w:rPr>
              <w:t xml:space="preserve"> </w:t>
            </w:r>
            <w:del w:id="26" w:author="Huawei" w:date="2020-04-10T11:15:00Z">
              <w:r w:rsidRPr="009D5134" w:rsidDel="009D5134">
                <w:rPr>
                  <w:rFonts w:eastAsia="DengXian"/>
                  <w:iCs/>
                  <w:sz w:val="20"/>
                  <w:szCs w:val="20"/>
                  <w:lang w:val="en-GB"/>
                </w:rPr>
                <w:delText>a</w:delText>
              </w:r>
              <w:r w:rsidRPr="009D5134" w:rsidDel="009D5134">
                <w:rPr>
                  <w:rFonts w:eastAsia="DengXian"/>
                  <w:iCs/>
                  <w:strike/>
                  <w:sz w:val="20"/>
                  <w:szCs w:val="20"/>
                  <w:u w:val="single"/>
                  <w:lang w:val="en-GB"/>
                </w:rPr>
                <w:delText xml:space="preserve"> </w:delText>
              </w:r>
            </w:del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corresponding SCell</w:t>
            </w:r>
            <w:r w:rsidRPr="003B75E6">
              <w:rPr>
                <w:rFonts w:eastAsia="DengXian"/>
                <w:iCs/>
                <w:color w:val="FF0000"/>
                <w:sz w:val="20"/>
                <w:szCs w:val="20"/>
                <w:u w:val="single"/>
                <w:lang w:val="en-GB"/>
              </w:rPr>
              <w:t>(s)</w:t>
            </w:r>
            <w:r w:rsidRPr="00010471">
              <w:rPr>
                <w:rFonts w:eastAsia="DengXian"/>
                <w:iCs/>
                <w:sz w:val="20"/>
                <w:szCs w:val="20"/>
                <w:lang w:val="en-GB"/>
              </w:rPr>
              <w:t>.</w:t>
            </w:r>
          </w:p>
        </w:tc>
      </w:tr>
      <w:tr w:rsidR="00426F7A" w:rsidRPr="00C26245" w14:paraId="3069B61B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D1E0AE0" w14:textId="51469EAE" w:rsidR="00426F7A" w:rsidRPr="003749D8" w:rsidRDefault="008C53FB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4941801" w14:textId="55B01962" w:rsidR="00426F7A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first change. </w:t>
            </w:r>
            <w:r>
              <w:rPr>
                <w:rFonts w:eastAsiaTheme="minorEastAsia"/>
                <w:kern w:val="2"/>
                <w:sz w:val="20"/>
                <w:szCs w:val="20"/>
              </w:rPr>
              <w:br/>
              <w:t>Agree with ZTE that</w:t>
            </w:r>
            <w:r w:rsidRPr="004A5B3B">
              <w:rPr>
                <w:rFonts w:eastAsiaTheme="minorEastAsia"/>
                <w:kern w:val="2"/>
                <w:szCs w:val="16"/>
              </w:rPr>
              <w:t xml:space="preserve"> </w:t>
            </w:r>
            <w:r w:rsidRPr="008C53FB">
              <w:rPr>
                <w:rFonts w:eastAsiaTheme="minorEastAsia"/>
                <w:kern w:val="2"/>
                <w:sz w:val="20"/>
                <w:szCs w:val="12"/>
              </w:rPr>
              <w:t>“</w:t>
            </w:r>
            <w:ins w:id="27" w:author="Jaehoon Chung (LGE)" w:date="2020-04-09T08:19:00Z">
              <w:r w:rsidRPr="008C53FB">
                <w:rPr>
                  <w:iCs/>
                  <w:sz w:val="20"/>
                  <w:szCs w:val="12"/>
                </w:rPr>
                <w:t xml:space="preserve">Otherwise, the UE provides to higher layers that no </w:t>
              </w:r>
              <w:r w:rsidRPr="008C53FB">
                <w:rPr>
                  <w:sz w:val="20"/>
                  <w:szCs w:val="12"/>
                </w:rPr>
                <w:t>CSI-RS configuration indexes and/or SS/PBCH block indexes</w:t>
              </w:r>
              <w:r w:rsidRPr="008C53FB">
                <w:rPr>
                  <w:iCs/>
                  <w:sz w:val="20"/>
                  <w:szCs w:val="12"/>
                </w:rPr>
                <w:t xml:space="preserve"> are found </w:t>
              </w:r>
              <w:r w:rsidRPr="008C53FB">
                <w:rPr>
                  <w:sz w:val="20"/>
                  <w:szCs w:val="12"/>
                </w:rPr>
                <w:t xml:space="preserve">from the set </w:t>
              </w:r>
              <w:r w:rsidRPr="008C53FB">
                <w:rPr>
                  <w:noProof/>
                  <w:position w:val="-10"/>
                  <w:sz w:val="20"/>
                  <w:szCs w:val="16"/>
                  <w:rPrChange w:id="28">
                    <w:rPr>
                      <w:noProof/>
                    </w:rPr>
                  </w:rPrChange>
                </w:rPr>
                <w:drawing>
                  <wp:inline distT="0" distB="0" distL="0" distR="0" wp14:anchorId="10D75131" wp14:editId="2F527E59">
                    <wp:extent cx="180975" cy="180975"/>
                    <wp:effectExtent l="0" t="0" r="9525" b="9525"/>
                    <wp:docPr id="9" name="그림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80975" cy="180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8C53FB">
                <w:rPr>
                  <w:sz w:val="20"/>
                  <w:szCs w:val="12"/>
                </w:rPr>
                <w:t xml:space="preserve">, where </w:t>
              </w:r>
              <w:r w:rsidRPr="008C53FB">
                <w:rPr>
                  <w:iCs/>
                  <w:sz w:val="20"/>
                  <w:szCs w:val="12"/>
                </w:rPr>
                <w:t xml:space="preserve">corresponding L1-RSRP measurements are larger than or equal to the </w:t>
              </w:r>
              <w:proofErr w:type="spellStart"/>
              <w:r w:rsidRPr="008C53FB">
                <w:rPr>
                  <w:sz w:val="20"/>
                  <w:szCs w:val="12"/>
                </w:rPr>
                <w:t>Q</w:t>
              </w:r>
              <w:r w:rsidRPr="008C53FB">
                <w:rPr>
                  <w:sz w:val="20"/>
                  <w:szCs w:val="12"/>
                  <w:vertAlign w:val="subscript"/>
                </w:rPr>
                <w:t>in,LR</w:t>
              </w:r>
              <w:proofErr w:type="spellEnd"/>
              <w:r w:rsidRPr="008C53FB">
                <w:rPr>
                  <w:iCs/>
                  <w:sz w:val="20"/>
                  <w:szCs w:val="12"/>
                </w:rPr>
                <w:t xml:space="preserve"> threshold</w:t>
              </w:r>
            </w:ins>
            <w:r w:rsidRPr="008C53FB">
              <w:rPr>
                <w:rFonts w:eastAsiaTheme="minorEastAsia"/>
                <w:kern w:val="2"/>
                <w:sz w:val="20"/>
                <w:szCs w:val="12"/>
              </w:rPr>
              <w:t>” is redundant.</w:t>
            </w:r>
          </w:p>
        </w:tc>
      </w:tr>
      <w:tr w:rsidR="00A27256" w:rsidRPr="00C26245" w14:paraId="71032B1D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1FCBC1D" w14:textId="2199F45E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5AC97F04" w14:textId="1F00CD88" w:rsidR="00A27256" w:rsidRDefault="007A1FB4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W</w:t>
            </w:r>
            <w:r w:rsidR="00A27256">
              <w:rPr>
                <w:rFonts w:eastAsiaTheme="minorEastAsia"/>
                <w:kern w:val="2"/>
                <w:sz w:val="20"/>
                <w:szCs w:val="20"/>
              </w:rPr>
              <w:t xml:space="preserve">e think most of the changes are clear in RAN2 spec. However we are not against clarification in RAN1 spec if majority of companies are for it. </w:t>
            </w:r>
            <w:r w:rsidR="005C6AB1">
              <w:rPr>
                <w:rFonts w:eastAsiaTheme="minorEastAsia"/>
                <w:kern w:val="2"/>
                <w:sz w:val="20"/>
                <w:szCs w:val="20"/>
              </w:rPr>
              <w:t>And share other comment that the sentence “Otherwise …” seems redundant.</w:t>
            </w:r>
          </w:p>
          <w:p w14:paraId="27C94FB2" w14:textId="59EAA9F1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</w:p>
        </w:tc>
      </w:tr>
      <w:tr w:rsidR="00771A92" w:rsidRPr="00C26245" w14:paraId="0EAD37F9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681F36" w14:textId="0BD4C0A1" w:rsidR="00771A92" w:rsidRDefault="00771A92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Qualcomm</w:t>
            </w:r>
          </w:p>
        </w:tc>
        <w:tc>
          <w:tcPr>
            <w:tcW w:w="6321" w:type="dxa"/>
          </w:tcPr>
          <w:p w14:paraId="3082380E" w14:textId="52CA055E" w:rsidR="00771A92" w:rsidRDefault="00771A92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Support in principle. “Otherwise, …” seems redundant. </w:t>
            </w:r>
            <w:bookmarkStart w:id="29" w:name="_GoBack"/>
            <w:bookmarkEnd w:id="29"/>
          </w:p>
        </w:tc>
      </w:tr>
    </w:tbl>
    <w:p w14:paraId="64D1F2BE" w14:textId="6E5F9A08" w:rsidR="005A263D" w:rsidRPr="00F756F8" w:rsidRDefault="005A263D" w:rsidP="005A263D">
      <w:pPr>
        <w:pStyle w:val="0Maintext"/>
        <w:spacing w:after="120" w:afterAutospacing="0" w:line="240" w:lineRule="auto"/>
        <w:ind w:firstLine="0"/>
        <w:rPr>
          <w:lang w:val="en-US"/>
        </w:rPr>
      </w:pPr>
    </w:p>
    <w:p w14:paraId="655A41CE" w14:textId="1D95AA34" w:rsidR="005A263D" w:rsidRDefault="005A263D" w:rsidP="005A263D">
      <w:pPr>
        <w:pStyle w:val="Heading2"/>
      </w:pPr>
      <w:r>
        <w:lastRenderedPageBreak/>
        <w:t>Editorial changes for abbreviation</w:t>
      </w:r>
    </w:p>
    <w:p w14:paraId="2FFE987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552CCD9F" w14:textId="153E6EDC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Abbreviation NDI is not defined in 38.213</w:t>
      </w:r>
    </w:p>
    <w:p w14:paraId="32D94147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53AA0594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CA4CEDD" w14:textId="5B50A7C4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Clarify abbreviation NDI</w:t>
      </w:r>
    </w:p>
    <w:p w14:paraId="19A0D4CC" w14:textId="77777777" w:rsidR="009945F1" w:rsidRDefault="009945F1" w:rsidP="009945F1">
      <w:pPr>
        <w:jc w:val="both"/>
        <w:rPr>
          <w:sz w:val="20"/>
          <w:szCs w:val="20"/>
        </w:rPr>
      </w:pPr>
    </w:p>
    <w:p w14:paraId="4A1047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7840D4A" w14:textId="7B4D8238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>The indication of NDI in 38.213 is unclear.</w:t>
      </w:r>
    </w:p>
    <w:p w14:paraId="67899C5F" w14:textId="77777777" w:rsidR="009945F1" w:rsidRPr="009945F1" w:rsidRDefault="009945F1" w:rsidP="009945F1">
      <w:pPr>
        <w:jc w:val="both"/>
        <w:rPr>
          <w:sz w:val="20"/>
          <w:szCs w:val="20"/>
        </w:rPr>
      </w:pPr>
    </w:p>
    <w:p w14:paraId="529B736C" w14:textId="57BEA31A" w:rsidR="005A263D" w:rsidRPr="009945F1" w:rsidRDefault="005A263D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2.2</w:t>
      </w:r>
      <w:r w:rsidR="009945F1" w:rsidRPr="009945F1">
        <w:rPr>
          <w:b/>
          <w:bCs/>
          <w:sz w:val="24"/>
          <w:szCs w:val="24"/>
        </w:rPr>
        <w:t xml:space="preserve"> for 38.213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5A263D" w14:paraId="469BF30F" w14:textId="77777777" w:rsidTr="00E25F5A">
        <w:tc>
          <w:tcPr>
            <w:tcW w:w="9576" w:type="dxa"/>
          </w:tcPr>
          <w:p w14:paraId="30A7CC2E" w14:textId="77777777" w:rsidR="005A263D" w:rsidRDefault="005A263D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purposes of the present document, the abbreviations given in TR 21.905 [1] and the following apply. An abbreviation defined in the present document takes precedence over the definition of the same abbreviation, if any, in [1, TR 21.905].</w:t>
            </w:r>
          </w:p>
          <w:p w14:paraId="3050C14D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  <w:p w14:paraId="2514707B" w14:textId="77777777" w:rsidR="005A263D" w:rsidRDefault="005A263D" w:rsidP="00E25F5A">
            <w:pPr>
              <w:pStyle w:val="EW"/>
            </w:pPr>
            <w:r>
              <w:t>GSCN</w:t>
            </w:r>
            <w:r>
              <w:tab/>
              <w:t>Global synchronization channel number</w:t>
            </w:r>
          </w:p>
          <w:p w14:paraId="1C2BD96E" w14:textId="77777777" w:rsidR="005A263D" w:rsidRDefault="005A263D" w:rsidP="00E25F5A">
            <w:pPr>
              <w:pStyle w:val="EW"/>
            </w:pPr>
            <w:r>
              <w:t>HARQ-ACK</w:t>
            </w:r>
            <w:r>
              <w:tab/>
              <w:t xml:space="preserve">Hybrid automatic repeat request acknowledgement </w:t>
            </w:r>
          </w:p>
          <w:p w14:paraId="59411405" w14:textId="77777777" w:rsidR="005A263D" w:rsidRDefault="005A263D" w:rsidP="00E25F5A">
            <w:pPr>
              <w:pStyle w:val="EW"/>
            </w:pPr>
            <w:r>
              <w:t>MCG</w:t>
            </w:r>
            <w:r>
              <w:tab/>
              <w:t>Master cell group</w:t>
            </w:r>
          </w:p>
          <w:p w14:paraId="30A9F376" w14:textId="77777777" w:rsidR="005A263D" w:rsidRDefault="005A263D" w:rsidP="00E25F5A">
            <w:pPr>
              <w:pStyle w:val="EW"/>
              <w:rPr>
                <w:ins w:id="30" w:author="Bo" w:date="2020-02-10T17:01:00Z"/>
              </w:rPr>
            </w:pPr>
            <w:r>
              <w:t>MCS</w:t>
            </w:r>
            <w:r>
              <w:tab/>
              <w:t xml:space="preserve">Modulation and coding scheme </w:t>
            </w:r>
          </w:p>
          <w:p w14:paraId="02EDC213" w14:textId="77777777" w:rsidR="005A263D" w:rsidRDefault="005A263D" w:rsidP="00E25F5A">
            <w:pPr>
              <w:pStyle w:val="EW"/>
              <w:rPr>
                <w:ins w:id="31" w:author="ZTE" w:date="2020-02-10T18:42:00Z"/>
              </w:rPr>
            </w:pPr>
            <w:ins w:id="32" w:author="ZTE" w:date="2020-02-10T18:42:00Z">
              <w:r>
                <w:t xml:space="preserve">NDI </w:t>
              </w:r>
              <w:r>
                <w:tab/>
                <w:t>N</w:t>
              </w:r>
              <w:r>
                <w:rPr>
                  <w:rFonts w:eastAsia="SimSun"/>
                  <w:lang w:eastAsia="zh-CN"/>
                </w:rPr>
                <w:t>ew data indicator</w:t>
              </w:r>
            </w:ins>
          </w:p>
          <w:p w14:paraId="763AFBF6" w14:textId="77777777" w:rsidR="005A263D" w:rsidRDefault="005A263D" w:rsidP="00E25F5A">
            <w:pPr>
              <w:pStyle w:val="EW"/>
            </w:pPr>
            <w:r>
              <w:t>NE-DC</w:t>
            </w:r>
            <w:r>
              <w:tab/>
              <w:t>E-UTRA NR dual connectivity with MCG using NR and SCG using E-UTRA</w:t>
            </w:r>
          </w:p>
          <w:p w14:paraId="4FE0FAE3" w14:textId="77777777" w:rsidR="005A263D" w:rsidRDefault="005A263D" w:rsidP="00E25F5A">
            <w:pPr>
              <w:pStyle w:val="EW"/>
            </w:pPr>
            <w:r>
              <w:t>NR-DC</w:t>
            </w:r>
            <w:r>
              <w:tab/>
              <w:t xml:space="preserve">NR </w:t>
            </w:r>
            <w:proofErr w:type="spellStart"/>
            <w:r>
              <w:t>NR</w:t>
            </w:r>
            <w:proofErr w:type="spellEnd"/>
            <w:r>
              <w:t xml:space="preserve"> dual connectivity</w:t>
            </w:r>
          </w:p>
          <w:p w14:paraId="0505C43D" w14:textId="77777777" w:rsidR="005A263D" w:rsidRDefault="005A263D" w:rsidP="00E25F5A">
            <w:pPr>
              <w:pStyle w:val="EW"/>
            </w:pPr>
            <w:r>
              <w:t>PBCH</w:t>
            </w:r>
            <w:r>
              <w:tab/>
              <w:t>Physical broadcast channel</w:t>
            </w:r>
          </w:p>
          <w:p w14:paraId="49460F9B" w14:textId="77777777" w:rsidR="005A263D" w:rsidRDefault="005A263D" w:rsidP="00E25F5A">
            <w:pPr>
              <w:pStyle w:val="EW"/>
            </w:pPr>
            <w:r>
              <w:t>PCell</w:t>
            </w:r>
            <w:r>
              <w:tab/>
              <w:t>Primary cell</w:t>
            </w:r>
          </w:p>
          <w:p w14:paraId="1FD19709" w14:textId="77777777" w:rsidR="005A263D" w:rsidRDefault="005A263D" w:rsidP="00E25F5A">
            <w:pPr>
              <w:spacing w:beforeLines="50" w:before="120" w:afterLines="50" w:after="120"/>
              <w:jc w:val="center"/>
              <w:rPr>
                <w:sz w:val="16"/>
                <w:szCs w:val="20"/>
              </w:rPr>
            </w:pPr>
            <w:r>
              <w:rPr>
                <w:rFonts w:hint="eastAsia"/>
                <w:color w:val="FF0000"/>
                <w:szCs w:val="32"/>
              </w:rPr>
              <w:t>&lt;Unchanged part omitted&gt;</w:t>
            </w:r>
          </w:p>
        </w:tc>
      </w:tr>
    </w:tbl>
    <w:p w14:paraId="1A7711C2" w14:textId="7075A220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493F0DB" w14:textId="77777777" w:rsidR="009945F1" w:rsidRPr="00C26245" w:rsidRDefault="009945F1" w:rsidP="009945F1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9945F1" w:rsidRPr="00C26245" w14:paraId="4BB4D833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8BC96B" w14:textId="77777777" w:rsidR="009945F1" w:rsidRPr="00C26245" w:rsidRDefault="009945F1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4FBAC8C4" w14:textId="77777777" w:rsidR="009945F1" w:rsidRPr="00C26245" w:rsidRDefault="009945F1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9945F1" w:rsidRPr="00C26245" w14:paraId="1B6A40F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D703ED" w14:textId="0C7E3BDA" w:rsidR="009945F1" w:rsidRPr="00C26245" w:rsidRDefault="00E80A98" w:rsidP="00E25F5A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1ABE8E6A" w14:textId="61CACF18" w:rsidR="009945F1" w:rsidRPr="00E80A98" w:rsidRDefault="00E80A9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 w:rsidRPr="00E80A98">
              <w:rPr>
                <w:kern w:val="2"/>
                <w:sz w:val="20"/>
                <w:szCs w:val="20"/>
              </w:rPr>
              <w:t>Support</w:t>
            </w:r>
          </w:p>
        </w:tc>
      </w:tr>
      <w:tr w:rsidR="009945F1" w:rsidRPr="00C26245" w14:paraId="7DC8B04B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64B1002" w14:textId="76D487B9" w:rsidR="009945F1" w:rsidRPr="008719EE" w:rsidRDefault="008719EE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18B1F31F" w14:textId="49EDF2CC" w:rsidR="009945F1" w:rsidRPr="008719EE" w:rsidRDefault="008719EE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upport</w:t>
            </w:r>
          </w:p>
        </w:tc>
      </w:tr>
      <w:tr w:rsidR="00AE706B" w:rsidRPr="00C26245" w14:paraId="2202359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A9DC88" w14:textId="7BD0BD31" w:rsidR="00AE706B" w:rsidRPr="00AE706B" w:rsidRDefault="00AE706B" w:rsidP="00E25F5A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207E229A" w14:textId="5E4796FA" w:rsidR="00AE706B" w:rsidRDefault="00AE706B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9949C7" w:rsidRPr="00C26245" w14:paraId="15EED8BF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94EEB9" w14:textId="06FDC58C" w:rsidR="009949C7" w:rsidRPr="009949C7" w:rsidRDefault="009949C7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5997218C" w14:textId="50903B23" w:rsidR="009949C7" w:rsidRDefault="009949C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0D7846" w:rsidRPr="00C26245" w14:paraId="1D7F0E9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A72EA71" w14:textId="272E00E3" w:rsidR="000D7846" w:rsidRPr="007C05E9" w:rsidRDefault="000D7846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1598AF05" w14:textId="3597ADA9" w:rsidR="000D7846" w:rsidRDefault="000D7846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693424" w:rsidRPr="00C26245" w14:paraId="5DB93394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A4E78FF" w14:textId="1D7DFAAD" w:rsidR="00693424" w:rsidRPr="007C05E9" w:rsidRDefault="00693424" w:rsidP="00E25F5A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3F849E49" w14:textId="17FF4D4B" w:rsidR="00693424" w:rsidRDefault="00693424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24ECC" w:rsidRPr="00C26245" w14:paraId="0BF53D54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EE6B6A2" w14:textId="5A3E844C" w:rsidR="00E24ECC" w:rsidRPr="00E24ECC" w:rsidRDefault="00E24ECC" w:rsidP="00E25F5A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03F93F12" w14:textId="2B664E13" w:rsidR="00E24ECC" w:rsidRDefault="00E24ECC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Cs/>
                <w:kern w:val="2"/>
                <w:sz w:val="20"/>
                <w:szCs w:val="20"/>
                <w:lang w:eastAsia="ko-KR"/>
              </w:rPr>
              <w:t>Support</w:t>
            </w:r>
          </w:p>
        </w:tc>
      </w:tr>
      <w:tr w:rsidR="00EB69F7" w:rsidRPr="00C26245" w14:paraId="0101D8C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18760E2" w14:textId="2BCD4CE8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749D8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749D8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19CA20E" w14:textId="7E0C22D0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bCs/>
                <w:kern w:val="2"/>
                <w:sz w:val="20"/>
                <w:szCs w:val="20"/>
              </w:rPr>
              <w:t>S</w:t>
            </w:r>
            <w:r>
              <w:rPr>
                <w:rFonts w:eastAsiaTheme="minorEastAsia"/>
                <w:bCs/>
                <w:kern w:val="2"/>
                <w:sz w:val="20"/>
                <w:szCs w:val="20"/>
              </w:rPr>
              <w:t>upport</w:t>
            </w:r>
          </w:p>
        </w:tc>
      </w:tr>
      <w:tr w:rsidR="008C53FB" w:rsidRPr="00C26245" w14:paraId="10B0E2B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E9EE8C3" w14:textId="678BB562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315478F3" w14:textId="5D3CD85E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  <w:tr w:rsidR="00A27256" w:rsidRPr="00C26245" w14:paraId="38A490A3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7B448FB" w14:textId="1C4D83F3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0A60A4F2" w14:textId="64CBC6BC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Cs/>
                <w:kern w:val="2"/>
                <w:sz w:val="20"/>
                <w:szCs w:val="20"/>
              </w:rPr>
            </w:pPr>
            <w:r>
              <w:rPr>
                <w:rFonts w:eastAsiaTheme="minorEastAsia"/>
                <w:bCs/>
                <w:kern w:val="2"/>
                <w:sz w:val="20"/>
                <w:szCs w:val="20"/>
              </w:rPr>
              <w:t>Support</w:t>
            </w:r>
          </w:p>
        </w:tc>
      </w:tr>
    </w:tbl>
    <w:p w14:paraId="6BD9A4ED" w14:textId="77777777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504BD657" w14:textId="7DC50BE4" w:rsidR="009945F1" w:rsidRDefault="009945F1" w:rsidP="009945F1">
      <w:pPr>
        <w:pStyle w:val="Heading2"/>
      </w:pPr>
      <w:r>
        <w:t>BFD/CBD RS in activated SCell</w:t>
      </w:r>
    </w:p>
    <w:p w14:paraId="23AB6C4D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78BF2364" w14:textId="77777777" w:rsidR="009945F1" w:rsidRPr="000D0179" w:rsidRDefault="009945F1" w:rsidP="009945F1">
      <w:pPr>
        <w:rPr>
          <w:kern w:val="2"/>
          <w:sz w:val="20"/>
          <w:szCs w:val="20"/>
          <w:lang w:val="en-GB"/>
        </w:rPr>
      </w:pP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n TS38.213 section 6, for SCell BFR procedure, the UE assesses the radio link quality according to BFD RS, e.g. periodic CSI-RS resource or SSB. </w:t>
      </w:r>
      <w:r w:rsidRPr="000D0179">
        <w:rPr>
          <w:kern w:val="2"/>
          <w:sz w:val="20"/>
          <w:szCs w:val="20"/>
          <w:lang w:val="en-GB"/>
        </w:rPr>
        <w:t>W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hen beam failure is declared, the UE measures and determines the new beam according to candidate beam RS. </w:t>
      </w:r>
      <w:r w:rsidRPr="000D0179">
        <w:rPr>
          <w:kern w:val="2"/>
          <w:sz w:val="20"/>
          <w:szCs w:val="20"/>
          <w:lang w:val="en-GB"/>
        </w:rPr>
        <w:t>I</w:t>
      </w:r>
      <w:r w:rsidRPr="000D0179">
        <w:rPr>
          <w:rFonts w:hint="eastAsia"/>
          <w:kern w:val="2"/>
          <w:sz w:val="20"/>
          <w:szCs w:val="20"/>
          <w:lang w:val="en-GB"/>
        </w:rPr>
        <w:t xml:space="preserve">t needs to be clarified that the BFD RS and candidate beam RS measurement </w:t>
      </w:r>
      <w:proofErr w:type="spellStart"/>
      <w:r w:rsidRPr="000D0179">
        <w:rPr>
          <w:rFonts w:hint="eastAsia"/>
          <w:kern w:val="2"/>
          <w:sz w:val="20"/>
          <w:szCs w:val="20"/>
          <w:lang w:val="en-GB"/>
        </w:rPr>
        <w:t>behavior</w:t>
      </w:r>
      <w:proofErr w:type="spellEnd"/>
      <w:r w:rsidRPr="000D0179">
        <w:rPr>
          <w:rFonts w:hint="eastAsia"/>
          <w:kern w:val="2"/>
          <w:sz w:val="20"/>
          <w:szCs w:val="20"/>
          <w:lang w:val="en-GB"/>
        </w:rPr>
        <w:t xml:space="preserve"> are for the activated SCell. </w:t>
      </w:r>
    </w:p>
    <w:p w14:paraId="325C0AC9" w14:textId="77777777" w:rsidR="009945F1" w:rsidRPr="009945F1" w:rsidRDefault="009945F1" w:rsidP="009945F1">
      <w:pPr>
        <w:jc w:val="both"/>
        <w:rPr>
          <w:sz w:val="20"/>
          <w:szCs w:val="20"/>
          <w:lang w:val="en-GB"/>
        </w:rPr>
      </w:pPr>
    </w:p>
    <w:p w14:paraId="1016812A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4A65DEF5" w14:textId="2290B681" w:rsidR="009945F1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Clarify BFD RS and CBD RS should be in </w:t>
      </w:r>
      <w:proofErr w:type="spellStart"/>
      <w:r>
        <w:rPr>
          <w:sz w:val="20"/>
          <w:szCs w:val="20"/>
        </w:rPr>
        <w:t>PCell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PSCell</w:t>
      </w:r>
      <w:proofErr w:type="spellEnd"/>
      <w:r>
        <w:rPr>
          <w:sz w:val="20"/>
          <w:szCs w:val="20"/>
        </w:rPr>
        <w:t xml:space="preserve"> or activated </w:t>
      </w:r>
      <w:proofErr w:type="spellStart"/>
      <w:r>
        <w:rPr>
          <w:sz w:val="20"/>
          <w:szCs w:val="20"/>
        </w:rPr>
        <w:t>SCell</w:t>
      </w:r>
      <w:proofErr w:type="spellEnd"/>
    </w:p>
    <w:p w14:paraId="41272768" w14:textId="77777777" w:rsidR="009945F1" w:rsidRDefault="009945F1" w:rsidP="009945F1">
      <w:pPr>
        <w:jc w:val="both"/>
        <w:rPr>
          <w:sz w:val="20"/>
          <w:szCs w:val="20"/>
        </w:rPr>
      </w:pPr>
    </w:p>
    <w:p w14:paraId="161FA8C9" w14:textId="77777777" w:rsidR="009945F1" w:rsidRPr="00F041A8" w:rsidRDefault="009945F1" w:rsidP="009945F1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579ADEFD" w14:textId="480DF814" w:rsidR="009945F1" w:rsidRPr="007D146C" w:rsidRDefault="009945F1" w:rsidP="009945F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It is unclear whether BFD RS and CBD RS could be in inactive SCell or not as well as </w:t>
      </w:r>
      <w:proofErr w:type="spellStart"/>
      <w:r>
        <w:rPr>
          <w:sz w:val="20"/>
          <w:szCs w:val="20"/>
        </w:rPr>
        <w:t>relavant</w:t>
      </w:r>
      <w:proofErr w:type="spellEnd"/>
      <w:r>
        <w:rPr>
          <w:sz w:val="20"/>
          <w:szCs w:val="20"/>
        </w:rPr>
        <w:t xml:space="preserve"> UE behavior for BFD/CBD RS in inactive </w:t>
      </w:r>
      <w:proofErr w:type="spellStart"/>
      <w:r>
        <w:rPr>
          <w:sz w:val="20"/>
          <w:szCs w:val="20"/>
        </w:rPr>
        <w:t>SCells</w:t>
      </w:r>
      <w:proofErr w:type="spellEnd"/>
      <w:r>
        <w:rPr>
          <w:sz w:val="20"/>
          <w:szCs w:val="20"/>
        </w:rPr>
        <w:t>.</w:t>
      </w:r>
    </w:p>
    <w:p w14:paraId="67DCFB8E" w14:textId="77777777" w:rsidR="009945F1" w:rsidRPr="009945F1" w:rsidRDefault="009945F1" w:rsidP="009945F1">
      <w:pPr>
        <w:rPr>
          <w:kern w:val="2"/>
          <w:sz w:val="20"/>
          <w:szCs w:val="20"/>
          <w:u w:val="single"/>
        </w:rPr>
      </w:pPr>
    </w:p>
    <w:p w14:paraId="6314D222" w14:textId="30CE4DE0" w:rsidR="009945F1" w:rsidRPr="009945F1" w:rsidRDefault="009945F1" w:rsidP="009945F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9945F1">
        <w:rPr>
          <w:b/>
          <w:bCs/>
          <w:sz w:val="24"/>
          <w:szCs w:val="24"/>
        </w:rPr>
        <w:t>TP 2.3 for 38.213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9945F1" w:rsidRPr="000D0179" w14:paraId="5B1FDFA5" w14:textId="77777777" w:rsidTr="00E25F5A">
        <w:tc>
          <w:tcPr>
            <w:tcW w:w="9286" w:type="dxa"/>
            <w:shd w:val="clear" w:color="auto" w:fill="auto"/>
          </w:tcPr>
          <w:p w14:paraId="3D11CD12" w14:textId="77777777" w:rsidR="009945F1" w:rsidRPr="000D0179" w:rsidRDefault="009945F1" w:rsidP="00E25F5A">
            <w:pPr>
              <w:rPr>
                <w:rFonts w:eastAsia="SimSun"/>
                <w:b/>
                <w:sz w:val="20"/>
                <w:szCs w:val="20"/>
              </w:rPr>
            </w:pPr>
            <w:r w:rsidRPr="000D0179">
              <w:rPr>
                <w:rFonts w:eastAsia="SimSun" w:hint="eastAsia"/>
                <w:b/>
                <w:sz w:val="20"/>
                <w:szCs w:val="20"/>
              </w:rPr>
              <w:t>TS38.214</w:t>
            </w:r>
          </w:p>
          <w:p w14:paraId="6EF50FF1" w14:textId="77777777" w:rsidR="009945F1" w:rsidRPr="000D0179" w:rsidRDefault="009945F1" w:rsidP="00E25F5A">
            <w:pPr>
              <w:pStyle w:val="Heading4"/>
              <w:rPr>
                <w:rFonts w:eastAsia="SimSun"/>
                <w:color w:val="000000"/>
                <w:sz w:val="20"/>
                <w:szCs w:val="20"/>
              </w:rPr>
            </w:pPr>
            <w:r w:rsidRPr="000D0179">
              <w:rPr>
                <w:color w:val="000000"/>
                <w:sz w:val="20"/>
                <w:szCs w:val="20"/>
              </w:rPr>
              <w:t>6</w:t>
            </w:r>
            <w:r w:rsidRPr="000D0179">
              <w:rPr>
                <w:color w:val="000000"/>
                <w:sz w:val="20"/>
                <w:szCs w:val="20"/>
              </w:rPr>
              <w:tab/>
            </w:r>
            <w:r w:rsidRPr="000D0179">
              <w:rPr>
                <w:rFonts w:eastAsia="SimSun" w:hint="eastAsia"/>
                <w:color w:val="000000"/>
                <w:sz w:val="20"/>
                <w:szCs w:val="20"/>
              </w:rPr>
              <w:t>Link recovery procedures</w:t>
            </w:r>
          </w:p>
          <w:p w14:paraId="4A7179AD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  <w:p w14:paraId="7E55B5B0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 xml:space="preserve">The physical layer in the UE assesses the radio link quality according to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70D3AED4" wp14:editId="03E6FED2">
                  <wp:extent cx="182880" cy="182880"/>
                  <wp:effectExtent l="0" t="0" r="0" b="0"/>
                  <wp:docPr id="33" name="Pictur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of resource configurations against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sz w:val="20"/>
                <w:szCs w:val="20"/>
              </w:rPr>
              <w:t xml:space="preserve">. For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4FCA5EE2" wp14:editId="21A6DE78">
                  <wp:extent cx="182880" cy="182880"/>
                  <wp:effectExtent l="0" t="0" r="0" b="0"/>
                  <wp:docPr id="34" name="Pictur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, the UE </w:t>
            </w:r>
            <w:r w:rsidRPr="000D0179">
              <w:rPr>
                <w:sz w:val="20"/>
                <w:szCs w:val="20"/>
              </w:rPr>
              <w:t xml:space="preserve">assesses the 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</w:t>
            </w:r>
            <w:r w:rsidRPr="000D0179">
              <w:rPr>
                <w:rFonts w:eastAsia="SimSun" w:hint="eastAsia"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only according to periodic </w:t>
            </w:r>
            <w:r w:rsidRPr="000D0179">
              <w:rPr>
                <w:iCs/>
                <w:sz w:val="20"/>
                <w:szCs w:val="20"/>
              </w:rPr>
              <w:t xml:space="preserve">CSI-RS resource configurations, or SS/PBCH blocks </w:t>
            </w:r>
            <w:r w:rsidRPr="000D0179">
              <w:rPr>
                <w:iCs/>
                <w:color w:val="00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PCell</w:t>
            </w:r>
            <w:proofErr w:type="spellEnd"/>
            <w:r w:rsidRPr="000D0179">
              <w:rPr>
                <w:iCs/>
                <w:color w:val="00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iCs/>
                <w:color w:val="000000"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 that</w:t>
            </w:r>
            <w:r w:rsidRPr="000D0179">
              <w:rPr>
                <w:sz w:val="20"/>
                <w:szCs w:val="20"/>
              </w:rPr>
              <w:t xml:space="preserve"> are quasi co-located, as described in [6, TS 38.214], with the DM-RS of PDCCH receptions monitored by the UE.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0D0179">
              <w:rPr>
                <w:sz w:val="20"/>
                <w:szCs w:val="20"/>
              </w:rPr>
              <w:t xml:space="preserve"> threshold to the L1-RSRP measurement obtained from a SS/PBCH block. The UE applies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0D0179">
              <w:rPr>
                <w:sz w:val="20"/>
                <w:szCs w:val="20"/>
              </w:rPr>
              <w:t xml:space="preserve"> threshold to the L1-RSRP measurement obtained for a CSI-RS resource after scaling a respective CSI-RS reception power with a value provided by </w:t>
            </w:r>
            <w:proofErr w:type="spellStart"/>
            <w:r w:rsidRPr="000D0179">
              <w:rPr>
                <w:i/>
                <w:sz w:val="20"/>
                <w:szCs w:val="20"/>
              </w:rPr>
              <w:t>powerControlOffsetSS</w:t>
            </w:r>
            <w:proofErr w:type="spellEnd"/>
            <w:r w:rsidRPr="000D0179">
              <w:rPr>
                <w:sz w:val="20"/>
                <w:szCs w:val="20"/>
              </w:rPr>
              <w:t xml:space="preserve">. </w:t>
            </w:r>
          </w:p>
          <w:p w14:paraId="39282A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rFonts w:eastAsia="DengXian"/>
                <w:sz w:val="20"/>
                <w:szCs w:val="20"/>
              </w:rPr>
              <w:t xml:space="preserve">In non-DRX mode operation, </w:t>
            </w:r>
            <w:r w:rsidRPr="000D0179">
              <w:rPr>
                <w:sz w:val="20"/>
                <w:szCs w:val="20"/>
              </w:rPr>
              <w:t xml:space="preserve">the physical layer in the UE provides an indication to higher layers when the radio link quality for all corresponding resource configurations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9B15752" wp14:editId="436FA155">
                  <wp:extent cx="182880" cy="182880"/>
                  <wp:effectExtent l="0" t="0" r="0" b="0"/>
                  <wp:docPr id="35" name="Pictur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sz w:val="20"/>
                <w:szCs w:val="20"/>
              </w:rPr>
              <w:t xml:space="preserve">. The physical layer informs the higher layers when the </w:t>
            </w:r>
            <w:r w:rsidRPr="000D0179">
              <w:rPr>
                <w:iCs/>
                <w:sz w:val="20"/>
                <w:szCs w:val="20"/>
              </w:rPr>
              <w:t xml:space="preserve">radio link quality </w:t>
            </w:r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sz w:val="20"/>
                <w:szCs w:val="20"/>
              </w:rPr>
              <w:t xml:space="preserve">is worse than the threshold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sz w:val="20"/>
                <w:szCs w:val="20"/>
              </w:rPr>
              <w:t xml:space="preserve"> with a periodicity determined by the maximum between the shortest periodicity among the periodic CSI-RS configurations, and/or SS/PBCH blocks </w:t>
            </w:r>
            <w:r w:rsidRPr="000D0179">
              <w:rPr>
                <w:iCs/>
                <w:sz w:val="20"/>
                <w:szCs w:val="20"/>
              </w:rPr>
              <w:t xml:space="preserve">on the </w:t>
            </w:r>
            <w:proofErr w:type="spellStart"/>
            <w:r w:rsidRPr="000D0179">
              <w:rPr>
                <w:iCs/>
                <w:sz w:val="20"/>
                <w:szCs w:val="20"/>
              </w:rPr>
              <w:t>PCell</w:t>
            </w:r>
            <w:proofErr w:type="spellEnd"/>
            <w:r w:rsidRPr="000D0179">
              <w:rPr>
                <w:iCs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iCs/>
                <w:sz w:val="20"/>
                <w:szCs w:val="20"/>
              </w:rPr>
              <w:t>PSCell</w:t>
            </w:r>
            <w:proofErr w:type="spellEnd"/>
            <w:r w:rsidRPr="000D0179">
              <w:rPr>
                <w:iCs/>
                <w:sz w:val="20"/>
                <w:szCs w:val="20"/>
              </w:rPr>
              <w:t>,</w:t>
            </w:r>
            <w:r w:rsidRPr="000D0179">
              <w:rPr>
                <w:sz w:val="20"/>
                <w:szCs w:val="20"/>
              </w:rPr>
              <w:t xml:space="preserve"> in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2C8D0ABA" wp14:editId="39E15B09">
                  <wp:extent cx="182880" cy="182880"/>
                  <wp:effectExtent l="0" t="0" r="0" b="0"/>
                  <wp:docPr id="36" name="Pictur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that the UE uses to assess the radio link quality and 2 msec.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In DRX mode operation, the physical layer </w:t>
            </w:r>
            <w:r w:rsidRPr="000D0179">
              <w:rPr>
                <w:sz w:val="20"/>
                <w:szCs w:val="20"/>
              </w:rPr>
              <w:t xml:space="preserve">provides an indication to higher layers </w:t>
            </w:r>
            <w:r w:rsidRPr="000D0179">
              <w:rPr>
                <w:rFonts w:eastAsia="DengXian"/>
                <w:iCs/>
                <w:sz w:val="20"/>
                <w:szCs w:val="20"/>
              </w:rPr>
              <w:t xml:space="preserve">when the radio link quality is worse than the threshold </w:t>
            </w:r>
            <w:proofErr w:type="spellStart"/>
            <w:r w:rsidRPr="000D0179">
              <w:rPr>
                <w:rFonts w:eastAsia="DengXian"/>
                <w:iCs/>
                <w:sz w:val="20"/>
                <w:szCs w:val="20"/>
              </w:rPr>
              <w:t>Q</w:t>
            </w:r>
            <w:r w:rsidRPr="000D0179">
              <w:rPr>
                <w:rFonts w:eastAsia="DengXian"/>
                <w:iCs/>
                <w:sz w:val="20"/>
                <w:szCs w:val="20"/>
                <w:vertAlign w:val="subscript"/>
              </w:rPr>
              <w:t>out,LR</w:t>
            </w:r>
            <w:proofErr w:type="spellEnd"/>
            <w:r w:rsidRPr="000D0179">
              <w:rPr>
                <w:rFonts w:eastAsia="DengXian"/>
                <w:iCs/>
                <w:sz w:val="20"/>
                <w:szCs w:val="20"/>
              </w:rPr>
              <w:t xml:space="preserve"> with a periodicity determined as described in [10, TS 38.133].</w:t>
            </w:r>
          </w:p>
          <w:p w14:paraId="5504C2F5" w14:textId="77777777" w:rsidR="009945F1" w:rsidRPr="000D0179" w:rsidRDefault="009945F1" w:rsidP="00E25F5A">
            <w:pPr>
              <w:rPr>
                <w:sz w:val="20"/>
                <w:szCs w:val="20"/>
              </w:rPr>
            </w:pPr>
            <w:r w:rsidRPr="000D0179">
              <w:rPr>
                <w:sz w:val="20"/>
                <w:szCs w:val="20"/>
              </w:rPr>
              <w:t>Upon request from higher layers, the UE provides to higher layers the periodic CSI-RS configuration indexes and/or SS/PBCH block indexes</w:t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sz w:val="20"/>
                <w:szCs w:val="20"/>
              </w:rPr>
              <w:t xml:space="preserve">from the set </w:t>
            </w:r>
            <w:r w:rsidRPr="000D0179">
              <w:rPr>
                <w:iCs/>
                <w:noProof/>
                <w:position w:val="-10"/>
                <w:sz w:val="20"/>
                <w:szCs w:val="20"/>
              </w:rPr>
              <w:drawing>
                <wp:inline distT="0" distB="0" distL="0" distR="0" wp14:anchorId="156E3D77" wp14:editId="4138C5DD">
                  <wp:extent cx="182880" cy="182880"/>
                  <wp:effectExtent l="0" t="0" r="0" b="0"/>
                  <wp:docPr id="37" name="Pictur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0179">
              <w:rPr>
                <w:iCs/>
                <w:sz w:val="20"/>
                <w:szCs w:val="20"/>
              </w:rPr>
              <w:t xml:space="preserve"> </w:t>
            </w:r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on </w:t>
            </w:r>
            <w:r w:rsidRPr="000D0179">
              <w:rPr>
                <w:color w:val="FF0000"/>
                <w:sz w:val="20"/>
                <w:szCs w:val="20"/>
              </w:rPr>
              <w:t xml:space="preserve">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PCell</w:t>
            </w:r>
            <w:proofErr w:type="spellEnd"/>
            <w:r w:rsidRPr="000D0179">
              <w:rPr>
                <w:color w:val="FF0000"/>
                <w:sz w:val="20"/>
                <w:szCs w:val="20"/>
              </w:rPr>
              <w:t xml:space="preserve"> or the </w:t>
            </w:r>
            <w:proofErr w:type="spellStart"/>
            <w:r w:rsidRPr="000D0179">
              <w:rPr>
                <w:color w:val="FF0000"/>
                <w:sz w:val="20"/>
                <w:szCs w:val="20"/>
              </w:rPr>
              <w:t>PScell</w:t>
            </w:r>
            <w:proofErr w:type="spellEnd"/>
            <w:r w:rsidRPr="000D0179">
              <w:rPr>
                <w:rFonts w:eastAsia="SimSun" w:hint="eastAsia"/>
                <w:iCs/>
                <w:color w:val="FF0000"/>
                <w:sz w:val="20"/>
                <w:szCs w:val="20"/>
              </w:rPr>
              <w:t xml:space="preserve"> or the activated SCell(s) </w:t>
            </w:r>
            <w:r w:rsidRPr="000D0179">
              <w:rPr>
                <w:iCs/>
                <w:sz w:val="20"/>
                <w:szCs w:val="20"/>
              </w:rPr>
              <w:t xml:space="preserve">and the corresponding L1-RSRP measurements that are larger than or equal to the </w:t>
            </w:r>
            <w:proofErr w:type="spellStart"/>
            <w:r w:rsidRPr="000D0179">
              <w:rPr>
                <w:sz w:val="20"/>
                <w:szCs w:val="20"/>
              </w:rPr>
              <w:t>Q</w:t>
            </w:r>
            <w:r w:rsidRPr="000D0179">
              <w:rPr>
                <w:sz w:val="20"/>
                <w:szCs w:val="20"/>
                <w:vertAlign w:val="subscript"/>
              </w:rPr>
              <w:t>in,LR</w:t>
            </w:r>
            <w:proofErr w:type="spellEnd"/>
            <w:r w:rsidRPr="000D0179">
              <w:rPr>
                <w:iCs/>
                <w:sz w:val="20"/>
                <w:szCs w:val="20"/>
              </w:rPr>
              <w:t xml:space="preserve"> threshold. </w:t>
            </w:r>
          </w:p>
          <w:p w14:paraId="32B8158F" w14:textId="77777777" w:rsidR="009945F1" w:rsidRPr="000D0179" w:rsidRDefault="009945F1" w:rsidP="00E25F5A">
            <w:pPr>
              <w:jc w:val="center"/>
              <w:rPr>
                <w:rFonts w:eastAsia="SimSun"/>
                <w:sz w:val="20"/>
                <w:szCs w:val="20"/>
              </w:rPr>
            </w:pPr>
            <w:r w:rsidRPr="000D0179">
              <w:rPr>
                <w:rFonts w:eastAsia="SimSun"/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0C1DDB60" w14:textId="3BCCC05E" w:rsidR="005A263D" w:rsidRDefault="005A263D" w:rsidP="007D146C">
      <w:pPr>
        <w:rPr>
          <w:kern w:val="2"/>
          <w:sz w:val="20"/>
          <w:szCs w:val="20"/>
          <w:u w:val="single"/>
          <w:lang w:val="en-GB"/>
        </w:rPr>
      </w:pPr>
    </w:p>
    <w:p w14:paraId="38FCAB7E" w14:textId="77777777" w:rsidR="009945F1" w:rsidRDefault="009945F1" w:rsidP="007D146C">
      <w:pPr>
        <w:rPr>
          <w:kern w:val="2"/>
          <w:sz w:val="20"/>
          <w:szCs w:val="20"/>
          <w:u w:val="single"/>
          <w:lang w:val="en-GB"/>
        </w:rPr>
      </w:pPr>
    </w:p>
    <w:p w14:paraId="400BFC45" w14:textId="127F446C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GridTable4-Accent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6CA76E59" w:rsidR="00C26245" w:rsidRPr="00C26245" w:rsidRDefault="003F3915" w:rsidP="00186AA2">
            <w:pPr>
              <w:rPr>
                <w:b w:val="0"/>
                <w:kern w:val="2"/>
                <w:sz w:val="20"/>
                <w:szCs w:val="20"/>
              </w:rPr>
            </w:pPr>
            <w:r>
              <w:rPr>
                <w:b w:val="0"/>
                <w:kern w:val="2"/>
                <w:sz w:val="20"/>
                <w:szCs w:val="20"/>
              </w:rPr>
              <w:t>MediaTek</w:t>
            </w:r>
          </w:p>
        </w:tc>
        <w:tc>
          <w:tcPr>
            <w:tcW w:w="6321" w:type="dxa"/>
          </w:tcPr>
          <w:p w14:paraId="450B18CA" w14:textId="0357912B" w:rsidR="00C26245" w:rsidRPr="003F3915" w:rsidRDefault="003F3915" w:rsidP="003F39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Not support. W</w:t>
            </w:r>
            <w:r w:rsidRPr="003F3915">
              <w:rPr>
                <w:kern w:val="2"/>
                <w:sz w:val="20"/>
                <w:szCs w:val="20"/>
              </w:rPr>
              <w:t>e think this is not necessary.</w:t>
            </w:r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41333F7A" w:rsidR="00C26245" w:rsidRPr="008719EE" w:rsidRDefault="008719E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N</w:t>
            </w:r>
            <w: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okia/NSB</w:t>
            </w:r>
          </w:p>
        </w:tc>
        <w:tc>
          <w:tcPr>
            <w:tcW w:w="6321" w:type="dxa"/>
          </w:tcPr>
          <w:p w14:paraId="0D47E70A" w14:textId="2C65D0DA" w:rsidR="00C26245" w:rsidRPr="008719EE" w:rsidRDefault="008719EE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Not support. Good for further clarification, but would not be necessary</w:t>
            </w:r>
          </w:p>
        </w:tc>
      </w:tr>
      <w:tr w:rsidR="00AE706B" w:rsidRPr="00C26245" w14:paraId="07512705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A4DDEA" w14:textId="33A2555D" w:rsidR="00AE706B" w:rsidRPr="00AE706B" w:rsidRDefault="00AE706B" w:rsidP="00186AA2">
            <w:pPr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</w:pPr>
            <w:proofErr w:type="spellStart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>Convida</w:t>
            </w:r>
            <w:proofErr w:type="spellEnd"/>
            <w:r w:rsidRPr="00AE706B">
              <w:rPr>
                <w:rFonts w:eastAsia="Malgun Gothic"/>
                <w:b w:val="0"/>
                <w:bCs w:val="0"/>
                <w:kern w:val="2"/>
                <w:sz w:val="20"/>
                <w:szCs w:val="20"/>
                <w:lang w:eastAsia="ko-KR"/>
              </w:rPr>
              <w:t xml:space="preserve"> Wireless</w:t>
            </w:r>
          </w:p>
        </w:tc>
        <w:tc>
          <w:tcPr>
            <w:tcW w:w="6321" w:type="dxa"/>
          </w:tcPr>
          <w:p w14:paraId="12E21BCC" w14:textId="64EFA0C6" w:rsidR="00AE706B" w:rsidRDefault="00AE706B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Not </w:t>
            </w:r>
            <w:r w:rsidR="00BE4633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necessary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. The activation/deactivation of 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BFD/BFR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on an SCell that is activated/deactivated/dormant can be described by RAN2 in 38.321</w:t>
            </w:r>
            <w:r w:rsidR="00AB651A"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 xml:space="preserve"> (e.g. section 5.9)</w:t>
            </w:r>
            <w:r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  <w:t>.</w:t>
            </w:r>
          </w:p>
        </w:tc>
      </w:tr>
      <w:tr w:rsidR="009949C7" w:rsidRPr="00C26245" w14:paraId="6D7F1CD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DAA1CED" w14:textId="40830EFF" w:rsidR="009949C7" w:rsidRPr="009949C7" w:rsidRDefault="009949C7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9949C7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ZTE</w:t>
            </w:r>
          </w:p>
        </w:tc>
        <w:tc>
          <w:tcPr>
            <w:tcW w:w="6321" w:type="dxa"/>
          </w:tcPr>
          <w:p w14:paraId="2224813F" w14:textId="08620390" w:rsidR="009949C7" w:rsidRDefault="009949C7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bCs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 w:hint="eastAsia"/>
                <w:kern w:val="2"/>
                <w:sz w:val="20"/>
                <w:szCs w:val="20"/>
              </w:rPr>
              <w:t>We</w:t>
            </w:r>
            <w:r>
              <w:rPr>
                <w:rFonts w:eastAsiaTheme="minorEastAsia"/>
                <w:kern w:val="2"/>
                <w:sz w:val="20"/>
                <w:szCs w:val="20"/>
              </w:rPr>
              <w:t xml:space="preserve"> share the same views with MTK, Nokia and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Wireless.</w:t>
            </w:r>
          </w:p>
        </w:tc>
      </w:tr>
      <w:tr w:rsidR="00934CAE" w:rsidRPr="00C26245" w14:paraId="5A0EE35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AD953A6" w14:textId="2FCB37F6" w:rsidR="00934CAE" w:rsidRPr="007C05E9" w:rsidRDefault="00934CAE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7C05E9"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  <w:t>Sony</w:t>
            </w:r>
          </w:p>
        </w:tc>
        <w:tc>
          <w:tcPr>
            <w:tcW w:w="6321" w:type="dxa"/>
          </w:tcPr>
          <w:p w14:paraId="2E6B00EA" w14:textId="0453AC06" w:rsidR="00934CAE" w:rsidRDefault="00934CAE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support. Agree with </w:t>
            </w:r>
            <w:proofErr w:type="spellStart"/>
            <w:r>
              <w:rPr>
                <w:rFonts w:eastAsiaTheme="minorEastAsia"/>
                <w:kern w:val="2"/>
                <w:sz w:val="20"/>
                <w:szCs w:val="20"/>
              </w:rPr>
              <w:t>Convida</w:t>
            </w:r>
            <w:proofErr w:type="spellEnd"/>
            <w:r>
              <w:rPr>
                <w:rFonts w:eastAsiaTheme="minorEastAsia"/>
                <w:kern w:val="2"/>
                <w:sz w:val="20"/>
                <w:szCs w:val="20"/>
              </w:rPr>
              <w:t xml:space="preserve"> that 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 xml:space="preserve">it should be in RAN2’s </w:t>
            </w:r>
            <w:r w:rsidR="007C05E9">
              <w:rPr>
                <w:rFonts w:eastAsiaTheme="minorEastAsia" w:hint="eastAsia"/>
                <w:kern w:val="2"/>
                <w:sz w:val="20"/>
                <w:szCs w:val="20"/>
              </w:rPr>
              <w:t>S</w:t>
            </w:r>
            <w:r w:rsidR="007C05E9">
              <w:rPr>
                <w:rFonts w:eastAsiaTheme="minorEastAsia"/>
                <w:kern w:val="2"/>
                <w:sz w:val="20"/>
                <w:szCs w:val="20"/>
              </w:rPr>
              <w:t>pec, if the status of SCell is to be mentioned.</w:t>
            </w:r>
          </w:p>
        </w:tc>
      </w:tr>
      <w:tr w:rsidR="00693424" w:rsidRPr="00C26245" w14:paraId="3512208C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A67B5F" w14:textId="77E4087A" w:rsidR="00693424" w:rsidRPr="007C05E9" w:rsidRDefault="00693424" w:rsidP="00186AA2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>OPPO</w:t>
            </w:r>
          </w:p>
        </w:tc>
        <w:tc>
          <w:tcPr>
            <w:tcW w:w="6321" w:type="dxa"/>
          </w:tcPr>
          <w:p w14:paraId="52D79F96" w14:textId="0BADB29F" w:rsidR="00693424" w:rsidRDefault="00693424" w:rsidP="007C05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Seems not necessary</w:t>
            </w:r>
          </w:p>
        </w:tc>
      </w:tr>
      <w:tr w:rsidR="00E24ECC" w:rsidRPr="00C26245" w14:paraId="6F0A06BA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76B84E" w14:textId="6EB1077A" w:rsidR="00E24ECC" w:rsidRPr="00E24ECC" w:rsidRDefault="00E24ECC" w:rsidP="00186AA2">
            <w:pPr>
              <w:rPr>
                <w:rFonts w:eastAsia="Malgun Gothic"/>
                <w:b w:val="0"/>
                <w:kern w:val="2"/>
                <w:sz w:val="20"/>
                <w:szCs w:val="20"/>
                <w:lang w:eastAsia="ko-KR"/>
              </w:rPr>
            </w:pPr>
            <w:r w:rsidRPr="00E24ECC">
              <w:rPr>
                <w:rFonts w:eastAsia="Malgun Gothic" w:hint="eastAsia"/>
                <w:b w:val="0"/>
                <w:kern w:val="2"/>
                <w:sz w:val="20"/>
                <w:szCs w:val="20"/>
                <w:lang w:eastAsia="ko-KR"/>
              </w:rPr>
              <w:t>LGE</w:t>
            </w:r>
          </w:p>
        </w:tc>
        <w:tc>
          <w:tcPr>
            <w:tcW w:w="6321" w:type="dxa"/>
          </w:tcPr>
          <w:p w14:paraId="4089518B" w14:textId="53A54E93" w:rsidR="00E24ECC" w:rsidRPr="00E24ECC" w:rsidRDefault="00E24ECC" w:rsidP="007C05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="Malgun Gothic" w:hint="eastAsia"/>
                <w:kern w:val="2"/>
                <w:sz w:val="20"/>
                <w:szCs w:val="20"/>
                <w:lang w:eastAsia="ko-KR"/>
              </w:rPr>
              <w:t xml:space="preserve">No strong view on changing the spec is necessary. </w:t>
            </w:r>
            <w:r>
              <w:rPr>
                <w:rFonts w:eastAsia="Malgun Gothic"/>
                <w:kern w:val="2"/>
                <w:sz w:val="20"/>
                <w:szCs w:val="20"/>
                <w:lang w:eastAsia="ko-KR"/>
              </w:rPr>
              <w:t xml:space="preserve">But it is good for clarification as this is related to the LS with regard to dormant BWP. </w:t>
            </w:r>
          </w:p>
        </w:tc>
      </w:tr>
      <w:tr w:rsidR="00EB69F7" w:rsidRPr="00C26245" w14:paraId="237ECCC7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BBB2D9" w14:textId="44EB6B7F" w:rsidR="00EB69F7" w:rsidRPr="00E24ECC" w:rsidRDefault="00EB69F7" w:rsidP="00EB69F7">
            <w:pPr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 w:rsidRPr="00315676">
              <w:rPr>
                <w:rFonts w:eastAsiaTheme="minorEastAsia" w:hint="eastAsia"/>
                <w:b w:val="0"/>
                <w:bCs w:val="0"/>
                <w:kern w:val="2"/>
                <w:sz w:val="20"/>
                <w:szCs w:val="20"/>
              </w:rPr>
              <w:t>D</w:t>
            </w:r>
            <w:r w:rsidRPr="00315676"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OCOMO</w:t>
            </w:r>
          </w:p>
        </w:tc>
        <w:tc>
          <w:tcPr>
            <w:tcW w:w="6321" w:type="dxa"/>
          </w:tcPr>
          <w:p w14:paraId="5CC8EED2" w14:textId="1687C0D4" w:rsidR="00EB69F7" w:rsidRDefault="00EB69F7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Malgun Gothic"/>
                <w:kern w:val="2"/>
                <w:sz w:val="20"/>
                <w:szCs w:val="20"/>
                <w:lang w:eastAsia="ko-KR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</w:t>
            </w:r>
            <w:r w:rsidRPr="00315676">
              <w:rPr>
                <w:rFonts w:eastAsiaTheme="minorEastAsia"/>
                <w:kern w:val="2"/>
                <w:sz w:val="20"/>
                <w:szCs w:val="20"/>
              </w:rPr>
              <w:t>ot necessary</w:t>
            </w:r>
            <w:r>
              <w:rPr>
                <w:rFonts w:eastAsiaTheme="minorEastAsia"/>
                <w:kern w:val="2"/>
                <w:sz w:val="20"/>
                <w:szCs w:val="20"/>
              </w:rPr>
              <w:t>. RAN2 spec. can describe the status of SCell (</w:t>
            </w:r>
            <w:r w:rsidRPr="00CE3A56">
              <w:rPr>
                <w:rFonts w:eastAsiaTheme="minorEastAsia"/>
                <w:kern w:val="2"/>
                <w:sz w:val="20"/>
                <w:szCs w:val="20"/>
              </w:rPr>
              <w:t>activated/deactivated/dormant</w:t>
            </w:r>
            <w:r>
              <w:rPr>
                <w:rFonts w:eastAsiaTheme="minorEastAsia"/>
                <w:kern w:val="2"/>
                <w:sz w:val="20"/>
                <w:szCs w:val="20"/>
              </w:rPr>
              <w:t>) for BFD and BFR.</w:t>
            </w:r>
          </w:p>
        </w:tc>
      </w:tr>
      <w:tr w:rsidR="008C53FB" w:rsidRPr="00C26245" w14:paraId="6840B49D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F1C643D" w14:textId="7FD41B3D" w:rsidR="008C53FB" w:rsidRPr="008C53FB" w:rsidRDefault="008C53FB" w:rsidP="00EB69F7">
            <w:pP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</w:pPr>
            <w:r>
              <w:rPr>
                <w:rFonts w:eastAsiaTheme="minorEastAsia"/>
                <w:b w:val="0"/>
                <w:bCs w:val="0"/>
                <w:kern w:val="2"/>
                <w:sz w:val="20"/>
                <w:szCs w:val="20"/>
              </w:rPr>
              <w:t>Ericsson</w:t>
            </w:r>
          </w:p>
        </w:tc>
        <w:tc>
          <w:tcPr>
            <w:tcW w:w="6321" w:type="dxa"/>
          </w:tcPr>
          <w:p w14:paraId="0F3E68A1" w14:textId="2075D1D8" w:rsidR="008C53FB" w:rsidRDefault="008C53FB" w:rsidP="00EB69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Not necessary</w:t>
            </w:r>
          </w:p>
        </w:tc>
      </w:tr>
      <w:tr w:rsidR="00A27256" w:rsidRPr="00C26245" w14:paraId="7F5F22B5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F6C1269" w14:textId="7FC374B5" w:rsidR="00A27256" w:rsidRDefault="00A27256" w:rsidP="00EB69F7">
            <w:pPr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>CATT</w:t>
            </w:r>
          </w:p>
        </w:tc>
        <w:tc>
          <w:tcPr>
            <w:tcW w:w="6321" w:type="dxa"/>
          </w:tcPr>
          <w:p w14:paraId="400AF4D3" w14:textId="086146CF" w:rsidR="00A27256" w:rsidRDefault="00A27256" w:rsidP="00EB69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r>
              <w:rPr>
                <w:rFonts w:eastAsiaTheme="minorEastAsia"/>
                <w:kern w:val="2"/>
                <w:sz w:val="20"/>
                <w:szCs w:val="20"/>
              </w:rPr>
              <w:t xml:space="preserve">Not necessary. </w:t>
            </w:r>
          </w:p>
        </w:tc>
      </w:tr>
    </w:tbl>
    <w:p w14:paraId="6BC7E729" w14:textId="77777777" w:rsidR="00C26245" w:rsidRPr="009949C7" w:rsidRDefault="00C26245" w:rsidP="00186AA2">
      <w:pPr>
        <w:rPr>
          <w:b/>
          <w:kern w:val="2"/>
          <w:sz w:val="20"/>
          <w:szCs w:val="20"/>
        </w:rPr>
      </w:pPr>
    </w:p>
    <w:sectPr w:rsidR="00C26245" w:rsidRPr="009949C7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CA70E" w14:textId="77777777" w:rsidR="00F9298F" w:rsidRDefault="00F9298F" w:rsidP="006C6EB8">
      <w:r>
        <w:separator/>
      </w:r>
    </w:p>
  </w:endnote>
  <w:endnote w:type="continuationSeparator" w:id="0">
    <w:p w14:paraId="2D323131" w14:textId="77777777" w:rsidR="00F9298F" w:rsidRDefault="00F9298F" w:rsidP="006C6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19568" w14:textId="77777777" w:rsidR="00F9298F" w:rsidRDefault="00F9298F" w:rsidP="006C6EB8">
      <w:r>
        <w:separator/>
      </w:r>
    </w:p>
  </w:footnote>
  <w:footnote w:type="continuationSeparator" w:id="0">
    <w:p w14:paraId="12AE73D4" w14:textId="77777777" w:rsidR="00F9298F" w:rsidRDefault="00F9298F" w:rsidP="006C6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2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D3879"/>
    <w:multiLevelType w:val="hybridMultilevel"/>
    <w:tmpl w:val="A3A0A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30"/>
  </w:num>
  <w:num w:numId="6">
    <w:abstractNumId w:val="31"/>
  </w:num>
  <w:num w:numId="7">
    <w:abstractNumId w:val="2"/>
  </w:num>
  <w:num w:numId="8">
    <w:abstractNumId w:val="13"/>
  </w:num>
  <w:num w:numId="9">
    <w:abstractNumId w:val="8"/>
  </w:num>
  <w:num w:numId="10">
    <w:abstractNumId w:val="4"/>
  </w:num>
  <w:num w:numId="11">
    <w:abstractNumId w:val="16"/>
  </w:num>
  <w:num w:numId="12">
    <w:abstractNumId w:val="15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1"/>
  </w:num>
  <w:num w:numId="15">
    <w:abstractNumId w:val="19"/>
  </w:num>
  <w:num w:numId="16">
    <w:abstractNumId w:val="18"/>
  </w:num>
  <w:num w:numId="17">
    <w:abstractNumId w:val="28"/>
  </w:num>
  <w:num w:numId="18">
    <w:abstractNumId w:val="5"/>
  </w:num>
  <w:num w:numId="19">
    <w:abstractNumId w:val="27"/>
  </w:num>
  <w:num w:numId="20">
    <w:abstractNumId w:val="22"/>
  </w:num>
  <w:num w:numId="21">
    <w:abstractNumId w:val="14"/>
  </w:num>
  <w:num w:numId="22">
    <w:abstractNumId w:val="24"/>
  </w:num>
  <w:num w:numId="23">
    <w:abstractNumId w:val="20"/>
  </w:num>
  <w:num w:numId="24">
    <w:abstractNumId w:val="12"/>
  </w:num>
  <w:num w:numId="25">
    <w:abstractNumId w:val="6"/>
  </w:num>
  <w:num w:numId="26">
    <w:abstractNumId w:val="26"/>
  </w:num>
  <w:num w:numId="27">
    <w:abstractNumId w:val="33"/>
  </w:num>
  <w:num w:numId="28">
    <w:abstractNumId w:val="7"/>
  </w:num>
  <w:num w:numId="29">
    <w:abstractNumId w:val="17"/>
  </w:num>
  <w:num w:numId="30">
    <w:abstractNumId w:val="11"/>
  </w:num>
  <w:num w:numId="31">
    <w:abstractNumId w:val="23"/>
  </w:num>
  <w:num w:numId="32">
    <w:abstractNumId w:val="25"/>
  </w:num>
  <w:num w:numId="33">
    <w:abstractNumId w:val="29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3"/>
  </w:num>
  <w:num w:numId="45">
    <w:abstractNumId w:val="3"/>
  </w:num>
  <w:num w:numId="46">
    <w:abstractNumId w:val="3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EB7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C550D"/>
    <w:rsid w:val="000D0179"/>
    <w:rsid w:val="000D0F78"/>
    <w:rsid w:val="000D2660"/>
    <w:rsid w:val="000D7846"/>
    <w:rsid w:val="000F0E73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D4551"/>
    <w:rsid w:val="001E62A2"/>
    <w:rsid w:val="001F0F11"/>
    <w:rsid w:val="001F1442"/>
    <w:rsid w:val="00203A0D"/>
    <w:rsid w:val="002134C9"/>
    <w:rsid w:val="0022367D"/>
    <w:rsid w:val="00232779"/>
    <w:rsid w:val="0024790C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609F"/>
    <w:rsid w:val="0030554A"/>
    <w:rsid w:val="003105DC"/>
    <w:rsid w:val="003262D0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3F3915"/>
    <w:rsid w:val="00417FC9"/>
    <w:rsid w:val="00421F46"/>
    <w:rsid w:val="004269D7"/>
    <w:rsid w:val="00426F7A"/>
    <w:rsid w:val="0043219E"/>
    <w:rsid w:val="00446F00"/>
    <w:rsid w:val="00461B15"/>
    <w:rsid w:val="0046565C"/>
    <w:rsid w:val="004A41EF"/>
    <w:rsid w:val="004B3124"/>
    <w:rsid w:val="004B4332"/>
    <w:rsid w:val="004B67D4"/>
    <w:rsid w:val="004B74CC"/>
    <w:rsid w:val="004C4A14"/>
    <w:rsid w:val="00505476"/>
    <w:rsid w:val="005062CA"/>
    <w:rsid w:val="00517ADD"/>
    <w:rsid w:val="0053782C"/>
    <w:rsid w:val="00556671"/>
    <w:rsid w:val="005660BE"/>
    <w:rsid w:val="0057794A"/>
    <w:rsid w:val="0059417B"/>
    <w:rsid w:val="00596063"/>
    <w:rsid w:val="005A263D"/>
    <w:rsid w:val="005A2D41"/>
    <w:rsid w:val="005B1AD1"/>
    <w:rsid w:val="005B6997"/>
    <w:rsid w:val="005C6AB1"/>
    <w:rsid w:val="005D45F7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57D6"/>
    <w:rsid w:val="00693424"/>
    <w:rsid w:val="006A45D6"/>
    <w:rsid w:val="006A57C0"/>
    <w:rsid w:val="006C4E0D"/>
    <w:rsid w:val="006C6EB8"/>
    <w:rsid w:val="006D54CF"/>
    <w:rsid w:val="006E6598"/>
    <w:rsid w:val="006F0EC9"/>
    <w:rsid w:val="00702262"/>
    <w:rsid w:val="00707829"/>
    <w:rsid w:val="00732388"/>
    <w:rsid w:val="0073426D"/>
    <w:rsid w:val="007413B1"/>
    <w:rsid w:val="00751E2A"/>
    <w:rsid w:val="0075517A"/>
    <w:rsid w:val="00770366"/>
    <w:rsid w:val="00771A92"/>
    <w:rsid w:val="0078114E"/>
    <w:rsid w:val="00787397"/>
    <w:rsid w:val="00791B84"/>
    <w:rsid w:val="007A1FB4"/>
    <w:rsid w:val="007A2709"/>
    <w:rsid w:val="007B7DBB"/>
    <w:rsid w:val="007C05E9"/>
    <w:rsid w:val="007D146C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719EE"/>
    <w:rsid w:val="00882A4D"/>
    <w:rsid w:val="00887C4A"/>
    <w:rsid w:val="0089138A"/>
    <w:rsid w:val="00894787"/>
    <w:rsid w:val="008A0861"/>
    <w:rsid w:val="008A25E9"/>
    <w:rsid w:val="008A5F33"/>
    <w:rsid w:val="008A65A1"/>
    <w:rsid w:val="008B24BF"/>
    <w:rsid w:val="008C53FB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4CAE"/>
    <w:rsid w:val="009351FA"/>
    <w:rsid w:val="00963928"/>
    <w:rsid w:val="00977119"/>
    <w:rsid w:val="00983F09"/>
    <w:rsid w:val="00985108"/>
    <w:rsid w:val="00985F99"/>
    <w:rsid w:val="00993596"/>
    <w:rsid w:val="009945F1"/>
    <w:rsid w:val="009949C7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27256"/>
    <w:rsid w:val="00A3375F"/>
    <w:rsid w:val="00A34A24"/>
    <w:rsid w:val="00A352F0"/>
    <w:rsid w:val="00A41EE3"/>
    <w:rsid w:val="00A805B9"/>
    <w:rsid w:val="00A80DF8"/>
    <w:rsid w:val="00A85170"/>
    <w:rsid w:val="00A86777"/>
    <w:rsid w:val="00A912B4"/>
    <w:rsid w:val="00A93DEE"/>
    <w:rsid w:val="00A942FA"/>
    <w:rsid w:val="00A95A78"/>
    <w:rsid w:val="00AB062C"/>
    <w:rsid w:val="00AB26E1"/>
    <w:rsid w:val="00AB651A"/>
    <w:rsid w:val="00AD1997"/>
    <w:rsid w:val="00AE706B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E4633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3532"/>
    <w:rsid w:val="00C66A4A"/>
    <w:rsid w:val="00C671CF"/>
    <w:rsid w:val="00C70860"/>
    <w:rsid w:val="00C76799"/>
    <w:rsid w:val="00C84FE2"/>
    <w:rsid w:val="00CB1134"/>
    <w:rsid w:val="00CB3368"/>
    <w:rsid w:val="00CB39B6"/>
    <w:rsid w:val="00CB5D21"/>
    <w:rsid w:val="00CC6381"/>
    <w:rsid w:val="00CC78C0"/>
    <w:rsid w:val="00CC7E2F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55D46"/>
    <w:rsid w:val="00D61E47"/>
    <w:rsid w:val="00D623A6"/>
    <w:rsid w:val="00D71D08"/>
    <w:rsid w:val="00D86908"/>
    <w:rsid w:val="00D9083F"/>
    <w:rsid w:val="00DB165F"/>
    <w:rsid w:val="00DB1A36"/>
    <w:rsid w:val="00DB481F"/>
    <w:rsid w:val="00DE33B6"/>
    <w:rsid w:val="00DF0066"/>
    <w:rsid w:val="00DF7F91"/>
    <w:rsid w:val="00E00694"/>
    <w:rsid w:val="00E10633"/>
    <w:rsid w:val="00E11B95"/>
    <w:rsid w:val="00E12E1E"/>
    <w:rsid w:val="00E23636"/>
    <w:rsid w:val="00E24ECC"/>
    <w:rsid w:val="00E337D4"/>
    <w:rsid w:val="00E42056"/>
    <w:rsid w:val="00E55EB5"/>
    <w:rsid w:val="00E56A0E"/>
    <w:rsid w:val="00E60394"/>
    <w:rsid w:val="00E80518"/>
    <w:rsid w:val="00E80A98"/>
    <w:rsid w:val="00E852C2"/>
    <w:rsid w:val="00EA73C1"/>
    <w:rsid w:val="00EB69F7"/>
    <w:rsid w:val="00EB6E53"/>
    <w:rsid w:val="00EC0F55"/>
    <w:rsid w:val="00EC2A35"/>
    <w:rsid w:val="00EC31F3"/>
    <w:rsid w:val="00EE18CC"/>
    <w:rsid w:val="00EF7114"/>
    <w:rsid w:val="00F01BD8"/>
    <w:rsid w:val="00F041A8"/>
    <w:rsid w:val="00F05BCC"/>
    <w:rsid w:val="00F12DB9"/>
    <w:rsid w:val="00F17D02"/>
    <w:rsid w:val="00F34B13"/>
    <w:rsid w:val="00F37734"/>
    <w:rsid w:val="00F419A6"/>
    <w:rsid w:val="00F43CD1"/>
    <w:rsid w:val="00F471B5"/>
    <w:rsid w:val="00F67E19"/>
    <w:rsid w:val="00F70F55"/>
    <w:rsid w:val="00F756F8"/>
    <w:rsid w:val="00F763E7"/>
    <w:rsid w:val="00F87CB0"/>
    <w:rsid w:val="00F9298F"/>
    <w:rsid w:val="00FA0560"/>
    <w:rsid w:val="00FA48C3"/>
    <w:rsid w:val="00FD0ACB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43883"/>
  <w15:docId w15:val="{FEFBBDA6-2E16-4986-A71A-EDF43B884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列出段落 Char,列出段落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GridTable4-Accent21">
    <w:name w:val="Grid Table 4 - Accent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E24EC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24EC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1530</Words>
  <Characters>8722</Characters>
  <Application>Microsoft Office Word</Application>
  <DocSecurity>0</DocSecurity>
  <Lines>72</Lines>
  <Paragraphs>20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Yan Zhou</cp:lastModifiedBy>
  <cp:revision>3</cp:revision>
  <dcterms:created xsi:type="dcterms:W3CDTF">2020-04-21T11:49:00Z</dcterms:created>
  <dcterms:modified xsi:type="dcterms:W3CDTF">2020-04-21T23:29:00Z</dcterms:modified>
</cp:coreProperties>
</file>