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00199" w14:textId="354B91D3" w:rsidR="00C7742F" w:rsidRDefault="00504FF3">
      <w:pPr>
        <w:tabs>
          <w:tab w:val="right" w:pos="9216"/>
        </w:tabs>
        <w:spacing w:after="0"/>
        <w:jc w:val="left"/>
        <w:rPr>
          <w:rFonts w:asciiTheme="minorHAnsi" w:hAnsiTheme="minorHAnsi" w:cstheme="minorHAnsi"/>
          <w:b/>
          <w:kern w:val="2"/>
          <w:lang w:eastAsia="zh-CN"/>
        </w:rPr>
      </w:pPr>
      <w:r>
        <w:rPr>
          <w:noProof/>
          <w:lang w:val="fr-FR" w:eastAsia="fr-FR"/>
        </w:rPr>
        <mc:AlternateContent>
          <mc:Choice Requires="wps">
            <w:drawing>
              <wp:anchor distT="0" distB="0" distL="113030" distR="114300" simplePos="0" relativeHeight="2" behindDoc="0" locked="0" layoutInCell="1" allowOverlap="1" wp14:anchorId="38DCD0CD" wp14:editId="0A432B4F">
                <wp:simplePos x="0" y="0"/>
                <wp:positionH relativeFrom="column">
                  <wp:posOffset>0</wp:posOffset>
                </wp:positionH>
                <wp:positionV relativeFrom="paragraph">
                  <wp:posOffset>635</wp:posOffset>
                </wp:positionV>
                <wp:extent cx="1905" cy="1905"/>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miter/>
                        </a:ln>
                      </wps:spPr>
                      <wps:style>
                        <a:lnRef idx="0">
                          <a:scrgbClr r="0" g="0" b="0"/>
                        </a:lnRef>
                        <a:fillRef idx="0">
                          <a:scrgbClr r="0" g="0" b="0"/>
                        </a:fillRef>
                        <a:effectRef idx="0">
                          <a:scrgbClr r="0" g="0" b="0"/>
                        </a:effectRef>
                        <a:fontRef idx="minor"/>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mc:Fallback>
        </mc:AlternateContent>
      </w:r>
      <w:r>
        <w:rPr>
          <w:rFonts w:asciiTheme="minorHAnsi" w:hAnsiTheme="minorHAnsi" w:cstheme="minorHAnsi"/>
          <w:b/>
          <w:kern w:val="2"/>
          <w:lang w:eastAsia="zh-CN"/>
        </w:rPr>
        <w:t>3GPP TSG RAN WG1 Meeting #100</w:t>
      </w:r>
      <w:r w:rsidR="004D3759">
        <w:rPr>
          <w:rFonts w:asciiTheme="minorHAnsi" w:hAnsiTheme="minorHAnsi" w:cstheme="minorHAnsi"/>
          <w:b/>
          <w:kern w:val="2"/>
          <w:lang w:eastAsia="zh-CN"/>
        </w:rPr>
        <w:t>B</w:t>
      </w:r>
      <w:r>
        <w:rPr>
          <w:rFonts w:asciiTheme="minorHAnsi" w:hAnsiTheme="minorHAnsi" w:cstheme="minorHAnsi"/>
          <w:b/>
          <w:kern w:val="2"/>
          <w:lang w:eastAsia="zh-CN"/>
        </w:rPr>
        <w:t>-e</w:t>
      </w:r>
      <w:r>
        <w:rPr>
          <w:rFonts w:asciiTheme="minorHAnsi" w:hAnsiTheme="minorHAnsi" w:cstheme="minorHAnsi"/>
          <w:b/>
          <w:kern w:val="2"/>
          <w:lang w:eastAsia="zh-CN"/>
        </w:rPr>
        <w:tab/>
        <w:t>R1-200</w:t>
      </w:r>
      <w:r w:rsidR="004D3759">
        <w:rPr>
          <w:rFonts w:asciiTheme="minorHAnsi" w:hAnsiTheme="minorHAnsi" w:cstheme="minorHAnsi"/>
          <w:b/>
          <w:kern w:val="2"/>
          <w:lang w:eastAsia="zh-CN"/>
        </w:rPr>
        <w:t>1965</w:t>
      </w:r>
    </w:p>
    <w:p w14:paraId="23DA01E2" w14:textId="0A897A6C" w:rsidR="00C7742F" w:rsidRDefault="00504FF3">
      <w:pPr>
        <w:jc w:val="left"/>
        <w:rPr>
          <w:rFonts w:asciiTheme="minorHAnsi" w:hAnsiTheme="minorHAnsi" w:cstheme="minorHAnsi"/>
          <w:b/>
          <w:kern w:val="2"/>
          <w:lang w:eastAsia="zh-CN"/>
        </w:rPr>
      </w:pPr>
      <w:r>
        <w:rPr>
          <w:rFonts w:asciiTheme="minorHAnsi" w:hAnsiTheme="minorHAnsi" w:cstheme="minorHAnsi"/>
          <w:b/>
          <w:kern w:val="2"/>
          <w:lang w:eastAsia="zh-CN"/>
        </w:rPr>
        <w:t>E-Meeting</w:t>
      </w:r>
      <w:r w:rsidR="004D3759">
        <w:rPr>
          <w:rFonts w:asciiTheme="minorHAnsi" w:hAnsiTheme="minorHAnsi" w:cstheme="minorHAnsi"/>
          <w:b/>
          <w:kern w:val="2"/>
          <w:lang w:eastAsia="zh-CN"/>
        </w:rPr>
        <w:t xml:space="preserve"> April 20 – 30</w:t>
      </w:r>
      <w:r>
        <w:rPr>
          <w:rFonts w:asciiTheme="minorHAnsi" w:hAnsiTheme="minorHAnsi" w:cstheme="minorHAnsi"/>
          <w:b/>
          <w:kern w:val="2"/>
          <w:lang w:eastAsia="zh-CN"/>
        </w:rPr>
        <w:t>, 2020</w:t>
      </w:r>
    </w:p>
    <w:p w14:paraId="7D86F086" w14:textId="77777777" w:rsidR="00C7742F" w:rsidRDefault="00C7742F">
      <w:pPr>
        <w:pBdr>
          <w:top w:val="single" w:sz="4" w:space="1" w:color="000000"/>
        </w:pBdr>
        <w:spacing w:after="0"/>
        <w:jc w:val="left"/>
        <w:rPr>
          <w:rFonts w:asciiTheme="minorHAnsi" w:hAnsiTheme="minorHAnsi" w:cstheme="minorHAnsi"/>
          <w:b/>
          <w:kern w:val="2"/>
          <w:lang w:eastAsia="zh-CN"/>
        </w:rPr>
      </w:pPr>
    </w:p>
    <w:p w14:paraId="3CC64914"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Agenda Item:</w:t>
      </w:r>
      <w:r>
        <w:rPr>
          <w:rFonts w:asciiTheme="minorHAnsi" w:hAnsiTheme="minorHAnsi" w:cstheme="minorHAnsi"/>
          <w:b/>
          <w:kern w:val="2"/>
          <w:lang w:eastAsia="zh-CN"/>
        </w:rPr>
        <w:tab/>
        <w:t>7.2.4.5</w:t>
      </w:r>
    </w:p>
    <w:p w14:paraId="1DEE5C9C"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r>
      <w:r>
        <w:rPr>
          <w:rFonts w:asciiTheme="minorHAnsi" w:hAnsiTheme="minorHAnsi" w:cstheme="minorHAnsi"/>
          <w:b/>
        </w:rPr>
        <w:t>TCL Communication</w:t>
      </w:r>
    </w:p>
    <w:p w14:paraId="5C638611"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Physical Layer Procedures for Sidelink</w:t>
      </w:r>
    </w:p>
    <w:p w14:paraId="711B1942"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 xml:space="preserve">Discussion and decision  </w:t>
      </w:r>
    </w:p>
    <w:p w14:paraId="37A4E613" w14:textId="77777777" w:rsidR="00C7742F" w:rsidRDefault="00C7742F">
      <w:pPr>
        <w:pBdr>
          <w:bottom w:val="single" w:sz="4" w:space="1" w:color="000000"/>
        </w:pBdr>
        <w:spacing w:after="0"/>
        <w:jc w:val="left"/>
        <w:rPr>
          <w:rFonts w:asciiTheme="minorHAnsi" w:hAnsiTheme="minorHAnsi" w:cstheme="minorHAnsi"/>
          <w:b/>
          <w:kern w:val="2"/>
          <w:lang w:eastAsia="zh-CN"/>
        </w:rPr>
      </w:pPr>
    </w:p>
    <w:p w14:paraId="4C1B2C5C" w14:textId="77777777" w:rsidR="00C7742F" w:rsidRDefault="00504FF3">
      <w:pPr>
        <w:pStyle w:val="Heading1"/>
        <w:numPr>
          <w:ilvl w:val="0"/>
          <w:numId w:val="3"/>
        </w:numPr>
        <w:rPr>
          <w:rFonts w:asciiTheme="minorHAnsi" w:hAnsiTheme="minorHAnsi" w:cstheme="minorHAnsi"/>
          <w:sz w:val="22"/>
          <w:szCs w:val="22"/>
        </w:rPr>
      </w:pPr>
      <w:bookmarkStart w:id="0" w:name="_Ref124589705"/>
      <w:bookmarkStart w:id="1" w:name="_Ref129681862"/>
      <w:r>
        <w:rPr>
          <w:rFonts w:asciiTheme="minorHAnsi" w:hAnsiTheme="minorHAnsi" w:cstheme="minorHAnsi"/>
          <w:sz w:val="22"/>
          <w:szCs w:val="22"/>
        </w:rPr>
        <w:t>In</w:t>
      </w:r>
      <w:bookmarkEnd w:id="0"/>
      <w:bookmarkEnd w:id="1"/>
      <w:r>
        <w:rPr>
          <w:rFonts w:asciiTheme="minorHAnsi" w:hAnsiTheme="minorHAnsi" w:cstheme="minorHAnsi"/>
          <w:sz w:val="22"/>
          <w:szCs w:val="22"/>
        </w:rPr>
        <w:t>troduction</w:t>
      </w:r>
    </w:p>
    <w:p w14:paraId="4981ADDF" w14:textId="77777777" w:rsidR="00C7742F" w:rsidRDefault="00504FF3">
      <w:pPr>
        <w:rPr>
          <w:rFonts w:asciiTheme="minorHAnsi" w:hAnsiTheme="minorHAnsi" w:cstheme="minorHAnsi"/>
        </w:rPr>
      </w:pPr>
      <w:r>
        <w:rPr>
          <w:rFonts w:asciiTheme="minorHAnsi" w:hAnsiTheme="minorHAnsi" w:cstheme="minorHAnsi"/>
        </w:rPr>
        <w:t>This document discusses various items in the agenda item of sidelink physical layer procedures.</w:t>
      </w:r>
    </w:p>
    <w:p w14:paraId="0EF825CC" w14:textId="193F66FB" w:rsidR="00C7742F" w:rsidRDefault="00504FF3">
      <w:pPr>
        <w:rPr>
          <w:rFonts w:asciiTheme="minorHAnsi" w:hAnsiTheme="minorHAnsi" w:cstheme="minorHAnsi"/>
        </w:rPr>
      </w:pPr>
      <w:r>
        <w:rPr>
          <w:rFonts w:asciiTheme="minorHAnsi" w:hAnsiTheme="minorHAnsi" w:cstheme="minorHAnsi"/>
        </w:rPr>
        <w:t>The important agreements from the previous 3GPP meeting are noted down in the relevant sub-items before presenting our views and proposals in those topics.</w:t>
      </w:r>
    </w:p>
    <w:p w14:paraId="305E7510" w14:textId="77777777" w:rsidR="00773222" w:rsidRDefault="00773222">
      <w:pPr>
        <w:rPr>
          <w:rFonts w:asciiTheme="minorHAnsi" w:hAnsiTheme="minorHAnsi" w:cstheme="minorHAnsi"/>
        </w:rPr>
      </w:pPr>
      <w:bookmarkStart w:id="2" w:name="_GoBack"/>
      <w:bookmarkEnd w:id="2"/>
    </w:p>
    <w:p w14:paraId="60CEB828" w14:textId="77777777" w:rsidR="00C7742F" w:rsidRDefault="00504FF3">
      <w:pPr>
        <w:pStyle w:val="Heading1"/>
        <w:numPr>
          <w:ilvl w:val="0"/>
          <w:numId w:val="3"/>
        </w:numPr>
        <w:rPr>
          <w:rFonts w:asciiTheme="minorHAnsi" w:hAnsiTheme="minorHAnsi" w:cstheme="minorHAnsi"/>
          <w:sz w:val="22"/>
          <w:szCs w:val="22"/>
          <w:lang w:eastAsia="zh-CN"/>
        </w:rPr>
      </w:pPr>
      <w:r>
        <w:rPr>
          <w:rFonts w:asciiTheme="minorHAnsi" w:hAnsiTheme="minorHAnsi" w:cstheme="minorHAnsi"/>
          <w:sz w:val="22"/>
          <w:szCs w:val="22"/>
          <w:lang w:eastAsia="zh-CN"/>
        </w:rPr>
        <w:t>HARQ Groupcast Feedback Indication using 2</w:t>
      </w:r>
      <w:r>
        <w:rPr>
          <w:rFonts w:asciiTheme="minorHAnsi" w:hAnsiTheme="minorHAnsi" w:cstheme="minorHAnsi"/>
          <w:sz w:val="22"/>
          <w:szCs w:val="22"/>
          <w:vertAlign w:val="superscript"/>
          <w:lang w:eastAsia="zh-CN"/>
        </w:rPr>
        <w:t>nd</w:t>
      </w:r>
      <w:r>
        <w:rPr>
          <w:rFonts w:asciiTheme="minorHAnsi" w:hAnsiTheme="minorHAnsi" w:cstheme="minorHAnsi"/>
          <w:sz w:val="22"/>
          <w:szCs w:val="22"/>
          <w:lang w:eastAsia="zh-CN"/>
        </w:rPr>
        <w:t xml:space="preserve"> Stage SCI Format</w:t>
      </w:r>
    </w:p>
    <w:p w14:paraId="757BC772"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t>Following agreement shortlisted 2 options on how to indicate HARQ groupcast feedback options in 2nd stage SCI:</w:t>
      </w:r>
    </w:p>
    <w:p w14:paraId="289F565A" w14:textId="77777777" w:rsidR="00C7742F" w:rsidRDefault="00504FF3">
      <w:pPr>
        <w:rPr>
          <w:b/>
          <w:bCs/>
          <w:szCs w:val="20"/>
        </w:rPr>
      </w:pPr>
      <w:r>
        <w:rPr>
          <w:szCs w:val="20"/>
          <w:highlight w:val="green"/>
        </w:rPr>
        <w:t>Agreements R1#99</w:t>
      </w:r>
      <w:r>
        <w:rPr>
          <w:b/>
          <w:bCs/>
          <w:szCs w:val="20"/>
        </w:rPr>
        <w:t>:</w:t>
      </w:r>
    </w:p>
    <w:p w14:paraId="03C090F1" w14:textId="77777777" w:rsidR="00C7742F" w:rsidRDefault="00504FF3">
      <w:pPr>
        <w:pStyle w:val="ListParagraph"/>
        <w:numPr>
          <w:ilvl w:val="0"/>
          <w:numId w:val="6"/>
        </w:numPr>
        <w:snapToGrid/>
        <w:spacing w:after="180"/>
        <w:contextualSpacing/>
        <w:jc w:val="left"/>
        <w:textAlignment w:val="baseline"/>
      </w:pPr>
      <w:r>
        <w:t>2</w:t>
      </w:r>
      <w:r>
        <w:rPr>
          <w:vertAlign w:val="superscript"/>
        </w:rPr>
        <w:t>nd</w:t>
      </w:r>
      <w:r>
        <w:t xml:space="preserve"> stage SCI format for groupcast HARQ feedback option 1 and option 2. To down-select during the week:</w:t>
      </w:r>
    </w:p>
    <w:p w14:paraId="0D8523A7" w14:textId="77777777" w:rsidR="00C7742F" w:rsidRDefault="00504FF3">
      <w:pPr>
        <w:pStyle w:val="ListParagraph"/>
        <w:numPr>
          <w:ilvl w:val="1"/>
          <w:numId w:val="6"/>
        </w:numPr>
        <w:snapToGrid/>
        <w:spacing w:after="180"/>
        <w:contextualSpacing/>
        <w:jc w:val="left"/>
        <w:textAlignment w:val="baseline"/>
      </w:pPr>
      <w:r>
        <w:t>Option 1: The same 2</w:t>
      </w:r>
      <w:r>
        <w:rPr>
          <w:vertAlign w:val="superscript"/>
        </w:rPr>
        <w:t>nd</w:t>
      </w:r>
      <w:r>
        <w:t xml:space="preserve"> stage SCI format is used for groupcast HARQ feedback option 1 and option 2.</w:t>
      </w:r>
    </w:p>
    <w:p w14:paraId="47B576B0" w14:textId="77777777" w:rsidR="00C7742F" w:rsidRDefault="00504FF3">
      <w:pPr>
        <w:pStyle w:val="ListParagraph"/>
        <w:numPr>
          <w:ilvl w:val="2"/>
          <w:numId w:val="6"/>
        </w:numPr>
        <w:snapToGrid/>
        <w:spacing w:after="180"/>
        <w:contextualSpacing/>
        <w:jc w:val="left"/>
        <w:textAlignment w:val="baseline"/>
      </w:pPr>
      <w:r>
        <w:t>SCI indicator to indicate between groupcast Option 1 and groupcast Option 2 is in the 2nd-stage SCI.</w:t>
      </w:r>
    </w:p>
    <w:p w14:paraId="1797208C" w14:textId="77777777" w:rsidR="00C7742F" w:rsidRDefault="00504FF3">
      <w:pPr>
        <w:pStyle w:val="ListParagraph"/>
        <w:numPr>
          <w:ilvl w:val="1"/>
          <w:numId w:val="6"/>
        </w:numPr>
        <w:snapToGrid/>
        <w:spacing w:after="180"/>
        <w:contextualSpacing/>
        <w:jc w:val="left"/>
        <w:textAlignment w:val="baseline"/>
      </w:pPr>
      <w:r>
        <w:t>Option 2: Different 2</w:t>
      </w:r>
      <w:r>
        <w:rPr>
          <w:vertAlign w:val="superscript"/>
        </w:rPr>
        <w:t>nd</w:t>
      </w:r>
      <w:r>
        <w:t xml:space="preserve"> stage SCI formats are used in groupcast HARQ feedback option 1 and option 2.</w:t>
      </w:r>
    </w:p>
    <w:p w14:paraId="1BC84FD6" w14:textId="77777777" w:rsidR="00C7742F" w:rsidRDefault="00504FF3">
      <w:pPr>
        <w:pStyle w:val="ListParagraph"/>
        <w:numPr>
          <w:ilvl w:val="2"/>
          <w:numId w:val="6"/>
        </w:numPr>
        <w:snapToGrid/>
        <w:spacing w:after="180"/>
        <w:contextualSpacing/>
        <w:jc w:val="left"/>
        <w:textAlignment w:val="baseline"/>
      </w:pPr>
      <w:r>
        <w:t>1</w:t>
      </w:r>
      <w:r>
        <w:rPr>
          <w:vertAlign w:val="superscript"/>
        </w:rPr>
        <w:t>st</w:t>
      </w:r>
      <w:r>
        <w:t xml:space="preserve"> stage SCI indicates which format is used.</w:t>
      </w:r>
    </w:p>
    <w:p w14:paraId="6EAB8853" w14:textId="77777777" w:rsidR="00C7742F" w:rsidRDefault="00C7742F">
      <w:pPr>
        <w:rPr>
          <w:rFonts w:asciiTheme="minorHAnsi" w:hAnsiTheme="minorHAnsi" w:cstheme="minorHAnsi"/>
          <w:bCs/>
          <w:lang w:eastAsia="zh-CN"/>
        </w:rPr>
      </w:pPr>
    </w:p>
    <w:p w14:paraId="4599D236"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t>We believe that there should be different formats for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stage SCI, and these formats are indicated in the 1</w:t>
      </w:r>
      <w:r>
        <w:rPr>
          <w:rFonts w:asciiTheme="minorHAnsi" w:hAnsiTheme="minorHAnsi" w:cstheme="minorHAnsi"/>
          <w:bCs/>
          <w:vertAlign w:val="superscript"/>
          <w:lang w:eastAsia="zh-CN"/>
        </w:rPr>
        <w:t>st</w:t>
      </w:r>
      <w:r>
        <w:rPr>
          <w:rFonts w:asciiTheme="minorHAnsi" w:hAnsiTheme="minorHAnsi" w:cstheme="minorHAnsi"/>
          <w:bCs/>
          <w:lang w:eastAsia="zh-CN"/>
        </w:rPr>
        <w:t xml:space="preserve"> stage SCI. Thus, the solution mentioned in Option 2 is more elegant compared to Option 1. In addition to handling the case of Groupcast feedback option 1 and option 2, this has additional advantage of forward compatibility and may be useful in many different situations where different bitfields may be required in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stage SCI.</w:t>
      </w:r>
    </w:p>
    <w:p w14:paraId="39223769" w14:textId="77777777" w:rsidR="00C7742F" w:rsidRDefault="00504FF3">
      <w:pPr>
        <w:jc w:val="left"/>
        <w:rPr>
          <w:rFonts w:asciiTheme="minorHAnsi" w:hAnsiTheme="minorHAnsi" w:cstheme="minorHAnsi"/>
          <w:bCs/>
          <w:lang w:eastAsia="zh-CN"/>
        </w:rPr>
      </w:pPr>
      <w:r>
        <w:rPr>
          <w:rFonts w:asciiTheme="minorHAnsi" w:hAnsiTheme="minorHAnsi" w:cstheme="minorHAnsi"/>
          <w:b/>
          <w:u w:val="single"/>
          <w:lang w:eastAsia="zh-CN"/>
        </w:rPr>
        <w:t>Proposal 1:</w:t>
      </w:r>
      <w:r>
        <w:rPr>
          <w:rFonts w:asciiTheme="minorHAnsi" w:hAnsiTheme="minorHAnsi" w:cstheme="minorHAnsi"/>
          <w:bCs/>
          <w:lang w:eastAsia="zh-CN"/>
        </w:rPr>
        <w:br/>
        <w:t>Support Option 2 in the above agreement.</w:t>
      </w:r>
      <w:bookmarkStart w:id="3" w:name="_Hlk32501833"/>
      <w:bookmarkEnd w:id="3"/>
    </w:p>
    <w:p w14:paraId="70B49028" w14:textId="77777777" w:rsidR="00C7742F" w:rsidRDefault="00C7742F">
      <w:pPr>
        <w:rPr>
          <w:rFonts w:asciiTheme="minorHAnsi" w:hAnsiTheme="minorHAnsi" w:cstheme="minorHAnsi"/>
          <w:bCs/>
          <w:lang w:eastAsia="zh-CN"/>
        </w:rPr>
      </w:pPr>
    </w:p>
    <w:p w14:paraId="5A0B46A4"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t>It has been agreed that at least an SCI in Mode 2 can indicate up to 3 resources, one current resource and two reservations in future. Each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stage SCI in the first transmission and subsequent transmissions (reserved earlier) will have the same source ID and destination ID. As the source ID and the destination ID are at least known to the destination, in case of HARQ enabled SL transmissions, they can be removed from the transmissions which were reserved in the prior transmissions, thus reducing the SCI overhead without impacting the sensing operation of neighboring SL devices. This significant advantage can be easily obtained by having a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stage SCI format without the source and destination IDs.</w:t>
      </w:r>
    </w:p>
    <w:p w14:paraId="7DA1E202" w14:textId="77777777" w:rsidR="00C7742F" w:rsidRDefault="00504FF3">
      <w:pPr>
        <w:rPr>
          <w:rFonts w:eastAsia="Times New Roman" w:cstheme="minorHAnsi"/>
          <w:b/>
          <w:bCs/>
          <w:u w:val="single"/>
        </w:rPr>
      </w:pPr>
      <w:r>
        <w:rPr>
          <w:rFonts w:eastAsia="Times New Roman" w:cstheme="minorHAnsi"/>
          <w:b/>
          <w:bCs/>
          <w:u w:val="single"/>
        </w:rPr>
        <w:t>Proposal 2:</w:t>
      </w:r>
    </w:p>
    <w:p w14:paraId="46685E2A"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lastRenderedPageBreak/>
        <w:t xml:space="preserve">When the sidelink control information associated to a sidelink transmission carries the indication of resource reservation for a future transmission, the source ID and the destination ID in the 2nd stage SCI of prior reserved transmission are not transmitted. </w:t>
      </w:r>
      <w:bookmarkStart w:id="4" w:name="_Hlk32501842"/>
      <w:bookmarkEnd w:id="4"/>
    </w:p>
    <w:p w14:paraId="2CF1396A" w14:textId="77777777" w:rsidR="00C7742F" w:rsidRDefault="00C7742F">
      <w:pPr>
        <w:rPr>
          <w:rFonts w:asciiTheme="minorHAnsi" w:hAnsiTheme="minorHAnsi" w:cstheme="minorHAnsi"/>
          <w:bCs/>
          <w:lang w:eastAsia="zh-CN"/>
        </w:rPr>
      </w:pPr>
    </w:p>
    <w:p w14:paraId="3D346E46" w14:textId="1E6EBFA9" w:rsidR="00C7742F" w:rsidRDefault="00504FF3">
      <w:pPr>
        <w:pStyle w:val="Heading1"/>
        <w:numPr>
          <w:ilvl w:val="0"/>
          <w:numId w:val="3"/>
        </w:numPr>
        <w:rPr>
          <w:rFonts w:asciiTheme="minorHAnsi" w:hAnsiTheme="minorHAnsi" w:cstheme="minorHAnsi"/>
          <w:sz w:val="22"/>
          <w:szCs w:val="22"/>
          <w:lang w:eastAsia="zh-CN"/>
        </w:rPr>
      </w:pPr>
      <w:bookmarkStart w:id="5" w:name="_Hlk16684087"/>
      <w:bookmarkStart w:id="6" w:name="_Hlk16684033"/>
      <w:bookmarkEnd w:id="5"/>
      <w:bookmarkEnd w:id="6"/>
      <w:r>
        <w:rPr>
          <w:rFonts w:asciiTheme="minorHAnsi" w:hAnsiTheme="minorHAnsi" w:cstheme="minorHAnsi"/>
          <w:sz w:val="22"/>
          <w:szCs w:val="22"/>
          <w:lang w:eastAsia="zh-CN"/>
        </w:rPr>
        <w:t>Codeblock Group based HARQ Feedback</w:t>
      </w:r>
    </w:p>
    <w:p w14:paraId="1F775A4F" w14:textId="77777777" w:rsidR="00C7742F" w:rsidRDefault="00504FF3">
      <w:pPr>
        <w:rPr>
          <w:rFonts w:asciiTheme="minorHAnsi" w:hAnsiTheme="minorHAnsi" w:cstheme="minorHAnsi"/>
        </w:rPr>
      </w:pPr>
      <w:r>
        <w:rPr>
          <w:rFonts w:asciiTheme="minorHAnsi" w:hAnsiTheme="minorHAnsi" w:cstheme="minorHAnsi"/>
        </w:rPr>
        <w:t>Following issue was noted in the feature lead summary in R1#99 (R1-1913572):</w:t>
      </w:r>
    </w:p>
    <w:p w14:paraId="40D04B3C" w14:textId="77777777" w:rsidR="00C7742F" w:rsidRDefault="00504FF3">
      <w:pPr>
        <w:pStyle w:val="LGTdoc"/>
        <w:numPr>
          <w:ilvl w:val="0"/>
          <w:numId w:val="4"/>
        </w:numPr>
        <w:spacing w:beforeAutospacing="1" w:after="60"/>
        <w:rPr>
          <w:rFonts w:asciiTheme="minorHAnsi" w:hAnsiTheme="minorHAnsi" w:cstheme="minorHAnsi"/>
          <w:szCs w:val="22"/>
          <w:lang w:val="en-US" w:eastAsia="ko-KR"/>
        </w:rPr>
      </w:pPr>
      <w:r>
        <w:rPr>
          <w:rFonts w:asciiTheme="minorHAnsi" w:hAnsiTheme="minorHAnsi" w:cstheme="minorHAnsi"/>
          <w:b/>
          <w:szCs w:val="22"/>
          <w:u w:val="single"/>
          <w:lang w:val="en-US" w:eastAsia="ko-KR"/>
        </w:rPr>
        <w:t>Issue:</w:t>
      </w:r>
      <w:r>
        <w:rPr>
          <w:rFonts w:asciiTheme="minorHAnsi" w:hAnsiTheme="minorHAnsi" w:cstheme="minorHAnsi"/>
          <w:szCs w:val="22"/>
          <w:lang w:val="en-US" w:eastAsia="ko-KR"/>
        </w:rPr>
        <w:t xml:space="preserve"> Whether to support SL HARQ feedback per CBG? </w:t>
      </w:r>
    </w:p>
    <w:p w14:paraId="11E32207" w14:textId="77777777" w:rsidR="00C7742F" w:rsidRDefault="00C7742F">
      <w:pPr>
        <w:rPr>
          <w:rFonts w:asciiTheme="minorHAnsi" w:hAnsiTheme="minorHAnsi" w:cstheme="minorHAnsi"/>
        </w:rPr>
      </w:pPr>
    </w:p>
    <w:p w14:paraId="519D293A" w14:textId="77777777" w:rsidR="00C7742F" w:rsidRDefault="00504FF3">
      <w:pPr>
        <w:rPr>
          <w:rFonts w:asciiTheme="minorHAnsi" w:hAnsiTheme="minorHAnsi" w:cstheme="minorHAnsi"/>
        </w:rPr>
      </w:pPr>
      <w:r>
        <w:rPr>
          <w:rFonts w:asciiTheme="minorHAnsi" w:hAnsiTheme="minorHAnsi" w:cstheme="minorHAnsi"/>
        </w:rPr>
        <w:t>CBG based HARQ operation was adopted in NR Rel-15. It allows the receivers to be configured for CBG based HARQ feedback, and then enables re-transmission possibilities only for erroneous CBGs rather than the classical TB based re-transmissions. Thus, CBG based operation can be very useful for large TB sizes. It is important to note that the vehicular environment can be much more dynamic than the cellular environment, due to mobility of both Tx and Rx. Thus, the probability that partial code block groups are not decoded is higher in sidelink compared to traditional cellular communication involving gNB on one end of the transmission. The number of feedback bits increase for the CBG based feedback. To have a uniform framework for TB or CBG based feedback, the implicit resource assignment framework of TB based feedback can be reused for CBG based feedback. Additional phase shifts, sequences or resources can be used to transmit multi-bit CBG based feedback.</w:t>
      </w:r>
    </w:p>
    <w:p w14:paraId="1543893D" w14:textId="77777777" w:rsidR="00C7742F" w:rsidRDefault="00504FF3">
      <w:pPr>
        <w:rPr>
          <w:rFonts w:asciiTheme="minorHAnsi" w:hAnsiTheme="minorHAnsi" w:cstheme="minorHAnsi"/>
          <w:b/>
          <w:u w:val="single"/>
        </w:rPr>
      </w:pPr>
      <w:r>
        <w:rPr>
          <w:rFonts w:asciiTheme="minorHAnsi" w:hAnsiTheme="minorHAnsi" w:cstheme="minorHAnsi"/>
          <w:b/>
          <w:u w:val="single"/>
        </w:rPr>
        <w:t>Proposal 3:</w:t>
      </w:r>
    </w:p>
    <w:p w14:paraId="5AF4A39A" w14:textId="77777777" w:rsidR="00C7742F" w:rsidRDefault="00504FF3">
      <w:pPr>
        <w:rPr>
          <w:rFonts w:asciiTheme="minorHAnsi" w:hAnsiTheme="minorHAnsi" w:cstheme="minorHAnsi"/>
        </w:rPr>
      </w:pPr>
      <w:r>
        <w:rPr>
          <w:rFonts w:asciiTheme="minorHAnsi" w:hAnsiTheme="minorHAnsi" w:cstheme="minorHAnsi"/>
        </w:rPr>
        <w:t>For sidelink unicast transmissions with HARQ feedback, support CBG based feedback and re-transmissions.</w:t>
      </w:r>
      <w:bookmarkStart w:id="7" w:name="_Hlk21096326"/>
      <w:bookmarkStart w:id="8" w:name="_Hlk5009444"/>
      <w:bookmarkEnd w:id="7"/>
      <w:bookmarkEnd w:id="8"/>
    </w:p>
    <w:p w14:paraId="76353EDB" w14:textId="77777777" w:rsidR="00C7742F" w:rsidRDefault="00C7742F">
      <w:pPr>
        <w:rPr>
          <w:rFonts w:asciiTheme="minorHAnsi" w:hAnsiTheme="minorHAnsi" w:cstheme="minorHAnsi"/>
        </w:rPr>
      </w:pPr>
    </w:p>
    <w:p w14:paraId="73B957AF" w14:textId="77777777" w:rsidR="00C7742F" w:rsidRDefault="00504FF3">
      <w:pPr>
        <w:rPr>
          <w:rFonts w:asciiTheme="minorHAnsi" w:hAnsiTheme="minorHAnsi" w:cstheme="minorHAnsi"/>
        </w:rPr>
      </w:pPr>
      <w:r>
        <w:rPr>
          <w:rFonts w:asciiTheme="minorHAnsi" w:hAnsiTheme="minorHAnsi" w:cstheme="minorHAnsi"/>
        </w:rPr>
        <w:t>For the case of groupcast communication, when the same data is destined to multiple users, it has been agreed that the HARQ feedback can be configured. Contrary to the unicast communication, where CBG based feedback and re-transmission can be very useful, the advantages of CBG based feedback and re-transmissions are not very clear for groupcast communication. First of all, CBG based feedback would incur heavy a feedback overhead which can be difficult to accommodate in groupcast. It further makes a NACK-only scheme impossible to implement and more complicated schemes need to be designed. Secondly, in terms of re-transmission, it would bring gains only if in case of multiple users having partial TB failures, the same CBGs fails in these users. This is certainly possible but given the independent channel realizations and the extremely dynamic nature of the vehicular environment, such events have very low probability of occurrence. This motivates us to support only TB based HARQ feedback and re-transmissions for groupcast transmission.</w:t>
      </w:r>
    </w:p>
    <w:p w14:paraId="2865C5CB" w14:textId="77777777" w:rsidR="00C7742F" w:rsidRDefault="00504FF3">
      <w:pPr>
        <w:rPr>
          <w:rFonts w:asciiTheme="minorHAnsi" w:hAnsiTheme="minorHAnsi" w:cstheme="minorHAnsi"/>
          <w:b/>
          <w:u w:val="single"/>
        </w:rPr>
      </w:pPr>
      <w:r>
        <w:rPr>
          <w:rFonts w:asciiTheme="minorHAnsi" w:hAnsiTheme="minorHAnsi" w:cstheme="minorHAnsi"/>
          <w:b/>
          <w:u w:val="single"/>
        </w:rPr>
        <w:t>Proposal 4:</w:t>
      </w:r>
    </w:p>
    <w:p w14:paraId="6361C1E7" w14:textId="77777777" w:rsidR="00C7742F" w:rsidRDefault="00504FF3">
      <w:pPr>
        <w:rPr>
          <w:rFonts w:asciiTheme="minorHAnsi" w:hAnsiTheme="minorHAnsi" w:cstheme="minorHAnsi"/>
        </w:rPr>
      </w:pPr>
      <w:r>
        <w:rPr>
          <w:rFonts w:asciiTheme="minorHAnsi" w:hAnsiTheme="minorHAnsi" w:cstheme="minorHAnsi"/>
        </w:rPr>
        <w:t xml:space="preserve">For sidelink groupcast transmissions with HARQ feedback, only transport block-based feedback and re-transmissions are supported. </w:t>
      </w:r>
      <w:bookmarkStart w:id="9" w:name="_Hlk32501862"/>
      <w:bookmarkStart w:id="10" w:name="_Hlk23948885"/>
      <w:bookmarkStart w:id="11" w:name="_Hlk5009485"/>
      <w:bookmarkEnd w:id="9"/>
      <w:bookmarkEnd w:id="10"/>
      <w:bookmarkEnd w:id="11"/>
    </w:p>
    <w:p w14:paraId="01E094A6" w14:textId="3DCCCC79" w:rsidR="00C7742F" w:rsidRDefault="00504FF3">
      <w:pPr>
        <w:pStyle w:val="Heading1"/>
        <w:numPr>
          <w:ilvl w:val="0"/>
          <w:numId w:val="3"/>
        </w:numPr>
        <w:rPr>
          <w:rFonts w:asciiTheme="minorHAnsi" w:hAnsiTheme="minorHAnsi" w:cstheme="minorHAnsi"/>
          <w:sz w:val="22"/>
          <w:szCs w:val="22"/>
          <w:lang w:eastAsia="zh-CN"/>
        </w:rPr>
      </w:pPr>
      <w:bookmarkStart w:id="12" w:name="_Hlk21096335"/>
      <w:bookmarkStart w:id="13" w:name="_Hlk32501941"/>
      <w:bookmarkEnd w:id="12"/>
      <w:bookmarkEnd w:id="13"/>
      <w:r>
        <w:rPr>
          <w:rFonts w:asciiTheme="minorHAnsi" w:hAnsiTheme="minorHAnsi" w:cstheme="minorHAnsi"/>
          <w:sz w:val="22"/>
          <w:szCs w:val="22"/>
          <w:lang w:eastAsia="zh-CN"/>
        </w:rPr>
        <w:t>CSI Acquisition</w:t>
      </w:r>
    </w:p>
    <w:p w14:paraId="1FB35157" w14:textId="77777777" w:rsidR="00C7742F" w:rsidRDefault="00504FF3">
      <w:pPr>
        <w:rPr>
          <w:rFonts w:asciiTheme="minorHAnsi" w:hAnsiTheme="minorHAnsi" w:cstheme="minorHAnsi"/>
          <w:b/>
          <w:u w:val="single"/>
          <w:lang w:eastAsia="zh-CN"/>
        </w:rPr>
      </w:pPr>
      <w:r>
        <w:rPr>
          <w:rFonts w:asciiTheme="minorHAnsi" w:hAnsiTheme="minorHAnsi" w:cstheme="minorHAnsi"/>
          <w:b/>
          <w:u w:val="single"/>
          <w:lang w:eastAsia="zh-CN"/>
        </w:rPr>
        <w:t>TR38.885:</w:t>
      </w:r>
    </w:p>
    <w:p w14:paraId="3D443074" w14:textId="77777777" w:rsidR="00C7742F" w:rsidRDefault="00504FF3">
      <w:pPr>
        <w:rPr>
          <w:rFonts w:asciiTheme="minorHAnsi" w:hAnsiTheme="minorHAnsi" w:cstheme="minorHAnsi"/>
        </w:rPr>
      </w:pPr>
      <w:r>
        <w:rPr>
          <w:rFonts w:asciiTheme="minorHAnsi" w:hAnsiTheme="minorHAnsi" w:cstheme="minorHAnsi"/>
        </w:rPr>
        <w:t>Examples of CSI information for V2X are CQI, PMI, RI, RSRP, RSRQ, path-gain/pathloss, SRI, CRI, interference condition, vehicle motion. For unicast communication, CQI, RI and PMI, or a subset among them, are supported with non-subband-based aperiodic CSI reports assuming no more than 4 antenna ports. The CSI procedure does not rely on a 'standalone' RS. CSI reporting can be enabled and disabled by configuration.</w:t>
      </w:r>
    </w:p>
    <w:p w14:paraId="7C03A54F" w14:textId="77777777" w:rsidR="00C7742F" w:rsidRDefault="00504FF3">
      <w:pPr>
        <w:rPr>
          <w:rFonts w:asciiTheme="minorHAnsi" w:hAnsiTheme="minorHAnsi" w:cstheme="minorHAnsi"/>
        </w:rPr>
      </w:pPr>
      <w:r>
        <w:rPr>
          <w:rFonts w:asciiTheme="minorHAnsi" w:hAnsiTheme="minorHAnsi" w:cstheme="minorHAnsi"/>
          <w:highlight w:val="green"/>
        </w:rPr>
        <w:t>Agreements R1#96B</w:t>
      </w:r>
      <w:r>
        <w:rPr>
          <w:rFonts w:asciiTheme="minorHAnsi" w:hAnsiTheme="minorHAnsi" w:cstheme="minorHAnsi"/>
        </w:rPr>
        <w:t>:</w:t>
      </w:r>
    </w:p>
    <w:p w14:paraId="32E9B95E" w14:textId="77777777" w:rsidR="00C7742F" w:rsidRDefault="00504FF3">
      <w:pPr>
        <w:pStyle w:val="ListParagraph"/>
        <w:numPr>
          <w:ilvl w:val="0"/>
          <w:numId w:val="5"/>
        </w:numPr>
        <w:snapToGrid/>
        <w:spacing w:after="180"/>
        <w:contextualSpacing/>
        <w:jc w:val="left"/>
        <w:textAlignment w:val="baseline"/>
        <w:rPr>
          <w:rFonts w:asciiTheme="minorHAnsi" w:hAnsiTheme="minorHAnsi" w:cstheme="minorHAnsi"/>
        </w:rPr>
      </w:pPr>
      <w:r>
        <w:rPr>
          <w:rFonts w:asciiTheme="minorHAnsi" w:hAnsiTheme="minorHAnsi" w:cstheme="minorHAnsi"/>
        </w:rPr>
        <w:lastRenderedPageBreak/>
        <w:t>Support at least Sidelink CSI-RS for CQI/RI measurement</w:t>
      </w:r>
    </w:p>
    <w:p w14:paraId="4B7913C1" w14:textId="77777777" w:rsidR="00C7742F" w:rsidRDefault="00504FF3">
      <w:pPr>
        <w:pStyle w:val="ListParagraph"/>
        <w:numPr>
          <w:ilvl w:val="1"/>
          <w:numId w:val="5"/>
        </w:numPr>
        <w:snapToGrid/>
        <w:spacing w:after="180"/>
        <w:contextualSpacing/>
        <w:jc w:val="left"/>
        <w:textAlignment w:val="baseline"/>
        <w:rPr>
          <w:rFonts w:asciiTheme="minorHAnsi" w:hAnsiTheme="minorHAnsi" w:cstheme="minorHAnsi"/>
        </w:rPr>
      </w:pPr>
      <w:r>
        <w:rPr>
          <w:rFonts w:asciiTheme="minorHAnsi" w:hAnsiTheme="minorHAnsi" w:cstheme="minorHAnsi"/>
        </w:rPr>
        <w:t>Sidelink CSI-RS is confined within the PSSCH transmission</w:t>
      </w:r>
    </w:p>
    <w:p w14:paraId="7EF7AD53" w14:textId="77777777" w:rsidR="00C7742F" w:rsidRDefault="00504FF3">
      <w:pPr>
        <w:rPr>
          <w:rFonts w:asciiTheme="minorHAnsi" w:hAnsiTheme="minorHAnsi" w:cstheme="minorHAnsi"/>
        </w:rPr>
      </w:pPr>
      <w:r>
        <w:rPr>
          <w:rFonts w:asciiTheme="minorHAnsi" w:hAnsiTheme="minorHAnsi" w:cstheme="minorHAnsi"/>
        </w:rPr>
        <w:t xml:space="preserve">For V2X in-coverage transmissions scheduled by the gNB, so called Mode 1 resource allocation, when the Tx UE is in communication with an Rx UE, the resource scheduling is done by the gNB. If no periodic resources have been allocated, the Tx UE will send a scheduling request to the gNB for each transport block (TB). </w:t>
      </w:r>
    </w:p>
    <w:p w14:paraId="7EC13DAA" w14:textId="77777777" w:rsidR="00C7742F" w:rsidRDefault="00C7742F">
      <w:pPr>
        <w:rPr>
          <w:rFonts w:asciiTheme="minorHAnsi" w:hAnsiTheme="minorHAnsi" w:cstheme="minorHAnsi"/>
        </w:rPr>
      </w:pPr>
    </w:p>
    <w:p w14:paraId="56678DFB" w14:textId="77777777" w:rsidR="00C7742F" w:rsidRDefault="00504FF3">
      <w:pPr>
        <w:rPr>
          <w:rFonts w:asciiTheme="minorHAnsi" w:hAnsiTheme="minorHAnsi" w:cstheme="minorHAnsi"/>
        </w:rPr>
      </w:pPr>
      <w:r>
        <w:rPr>
          <w:rFonts w:asciiTheme="minorHAnsi" w:hAnsiTheme="minorHAnsi" w:cstheme="minorHAnsi"/>
        </w:rPr>
        <w:t xml:space="preserve">The conventional CSI acquisition scheme requires two scheduling-requests and grant receptions from the gNB. One at the Tx UE to transmit CSI-RS and the second at the Rx UE to transmit CSI report. This procedure is not only resource inefficient due to heavy control overhead, but it can be a serious issue for latency sensitive applications where a quick link adaptation may be desired at the Tx UE. It could be interesting to have the two resources (one for CSI-RS transmission and one for CSI report transmission) scheduled in a single step. Thus, the Tx UE receives the indication of two scheduled resources from the gNB as part of the its scheduling request for CSI-RS transmission. Then the Tx UE indicates these two resources to the Rx UE as part of CSI-RS transmission. Upon receiving this indication, the Rx UE can estimate CSI and transmits the CSI report on the pre-scheduled resources. </w:t>
      </w:r>
    </w:p>
    <w:p w14:paraId="5DBEAD53" w14:textId="77777777" w:rsidR="00C7742F" w:rsidRDefault="00504FF3">
      <w:pPr>
        <w:rPr>
          <w:rFonts w:asciiTheme="minorHAnsi" w:hAnsiTheme="minorHAnsi" w:cstheme="minorHAnsi"/>
        </w:rPr>
      </w:pPr>
      <w:r>
        <w:rPr>
          <w:rFonts w:asciiTheme="minorHAnsi" w:hAnsiTheme="minorHAnsi" w:cstheme="minorHAnsi"/>
        </w:rPr>
        <w:t xml:space="preserve">The proposed step-by-step procedure for CSI acquisition is shown in the following. </w:t>
      </w:r>
    </w:p>
    <w:p w14:paraId="770C2C81" w14:textId="77777777" w:rsidR="00C7742F" w:rsidRDefault="00504FF3">
      <w:pPr>
        <w:rPr>
          <w:rFonts w:asciiTheme="minorHAnsi" w:hAnsiTheme="minorHAnsi" w:cstheme="minorHAnsi"/>
        </w:rPr>
      </w:pPr>
      <w:r>
        <w:rPr>
          <w:rFonts w:asciiTheme="minorHAnsi" w:hAnsiTheme="minorHAnsi" w:cstheme="minorHAnsi"/>
        </w:rPr>
        <w:t>(1) Tx UE sends a request to the gNB to trigger CSI acquisition procedure (potentially combined with a scheduling request for data transmission)</w:t>
      </w:r>
    </w:p>
    <w:p w14:paraId="29144B86" w14:textId="77777777" w:rsidR="00C7742F" w:rsidRDefault="00504FF3">
      <w:pPr>
        <w:rPr>
          <w:rFonts w:asciiTheme="minorHAnsi" w:hAnsiTheme="minorHAnsi" w:cstheme="minorHAnsi"/>
        </w:rPr>
      </w:pPr>
      <w:r>
        <w:rPr>
          <w:rFonts w:asciiTheme="minorHAnsi" w:hAnsiTheme="minorHAnsi" w:cstheme="minorHAnsi"/>
        </w:rPr>
        <w:t>(2) The gNB allocates the resources for CSI transmission (potentially within the PSSCH which needs to be transmitted due to data) and CSI Reporting purpose</w:t>
      </w:r>
    </w:p>
    <w:p w14:paraId="0AA2147F" w14:textId="77777777" w:rsidR="00C7742F" w:rsidRDefault="00504FF3">
      <w:pPr>
        <w:rPr>
          <w:rFonts w:asciiTheme="minorHAnsi" w:hAnsiTheme="minorHAnsi" w:cstheme="minorHAnsi"/>
        </w:rPr>
      </w:pPr>
      <w:r>
        <w:rPr>
          <w:rFonts w:asciiTheme="minorHAnsi" w:hAnsiTheme="minorHAnsi" w:cstheme="minorHAnsi"/>
        </w:rPr>
        <w:t xml:space="preserve">(3) Tx UE transmits SCI and sends CSI-RS (potentially embedded in PSSCH). In this step, Rx UE gets also the indication for CSI reporting. The Rx UE receives CSI-RS, computes the CSI parameters (CQI/RI </w:t>
      </w:r>
      <w:proofErr w:type="spellStart"/>
      <w:r>
        <w:rPr>
          <w:rFonts w:asciiTheme="minorHAnsi" w:hAnsiTheme="minorHAnsi" w:cstheme="minorHAnsi"/>
        </w:rPr>
        <w:t>etc</w:t>
      </w:r>
      <w:proofErr w:type="spellEnd"/>
      <w:r>
        <w:rPr>
          <w:rFonts w:asciiTheme="minorHAnsi" w:hAnsiTheme="minorHAnsi" w:cstheme="minorHAnsi"/>
        </w:rPr>
        <w:t xml:space="preserve">). </w:t>
      </w:r>
    </w:p>
    <w:p w14:paraId="06F90430" w14:textId="77777777" w:rsidR="00C7742F" w:rsidRDefault="00504FF3">
      <w:pPr>
        <w:rPr>
          <w:rFonts w:asciiTheme="minorHAnsi" w:hAnsiTheme="minorHAnsi" w:cstheme="minorHAnsi"/>
        </w:rPr>
      </w:pPr>
      <w:r>
        <w:rPr>
          <w:rFonts w:asciiTheme="minorHAnsi" w:hAnsiTheme="minorHAnsi" w:cstheme="minorHAnsi"/>
        </w:rPr>
        <w:t xml:space="preserve"> (4) Rx UE sends SCI and CQI/RI report to the Tx UE on the pre-allocated CSI reporting resource.</w:t>
      </w:r>
    </w:p>
    <w:p w14:paraId="1A2253D2" w14:textId="77777777" w:rsidR="00C7742F" w:rsidRDefault="00C7742F">
      <w:pPr>
        <w:rPr>
          <w:rFonts w:asciiTheme="minorHAnsi" w:hAnsiTheme="minorHAnsi" w:cstheme="minorHAnsi"/>
        </w:rPr>
      </w:pPr>
    </w:p>
    <w:p w14:paraId="31F6637A" w14:textId="77777777" w:rsidR="00C7742F" w:rsidRDefault="00504FF3">
      <w:r>
        <w:rPr>
          <w:rFonts w:asciiTheme="minorHAnsi" w:hAnsiTheme="minorHAnsi" w:cstheme="minorHAnsi"/>
        </w:rPr>
        <w:t xml:space="preserve">This step-by-step CSI acquisition procedure is shown in </w:t>
      </w:r>
      <w:r>
        <w:rPr>
          <w:rFonts w:asciiTheme="minorHAnsi" w:hAnsiTheme="minorHAnsi" w:cstheme="minorHAnsi"/>
        </w:rPr>
        <w:fldChar w:fldCharType="begin"/>
      </w:r>
      <w:r>
        <w:rPr>
          <w:rFonts w:ascii="Calibri" w:hAnsi="Calibri" w:cs="Calibri"/>
        </w:rPr>
        <w:instrText>REF _Ref16689331 \h</w:instrText>
      </w:r>
      <w:r>
        <w:rPr>
          <w:rFonts w:asciiTheme="minorHAnsi" w:hAnsiTheme="minorHAnsi" w:cstheme="minorHAnsi"/>
        </w:rPr>
      </w:r>
      <w:r>
        <w:rPr>
          <w:rFonts w:ascii="Calibri" w:hAnsi="Calibri" w:cs="Calibri"/>
        </w:rPr>
        <w:fldChar w:fldCharType="separate"/>
      </w:r>
      <w:r>
        <w:rPr>
          <w:rFonts w:ascii="Calibri" w:hAnsi="Calibri" w:cs="Calibri"/>
        </w:rPr>
        <w:t>Figure 1</w:t>
      </w:r>
      <w:r>
        <w:rPr>
          <w:rFonts w:ascii="Calibri" w:hAnsi="Calibri" w:cs="Calibri"/>
        </w:rPr>
        <w:fldChar w:fldCharType="end"/>
      </w:r>
      <w:r>
        <w:rPr>
          <w:rFonts w:asciiTheme="minorHAnsi" w:hAnsiTheme="minorHAnsi" w:cstheme="minorHAnsi"/>
        </w:rPr>
        <w:t>.</w:t>
      </w:r>
    </w:p>
    <w:p w14:paraId="5452FE09" w14:textId="77777777" w:rsidR="00C7742F" w:rsidRDefault="00504FF3">
      <w:pPr>
        <w:keepNext/>
        <w:jc w:val="center"/>
        <w:rPr>
          <w:rFonts w:asciiTheme="minorHAnsi" w:hAnsiTheme="minorHAnsi" w:cstheme="minorHAnsi"/>
        </w:rPr>
      </w:pPr>
      <w:r>
        <w:rPr>
          <w:noProof/>
          <w:lang w:val="fr-FR" w:eastAsia="fr-FR"/>
        </w:rPr>
        <w:drawing>
          <wp:inline distT="0" distB="0" distL="0" distR="0" wp14:anchorId="4DE11937" wp14:editId="4F913091">
            <wp:extent cx="4157345" cy="2696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6"/>
                    <a:stretch>
                      <a:fillRect/>
                    </a:stretch>
                  </pic:blipFill>
                  <pic:spPr bwMode="auto">
                    <a:xfrm>
                      <a:off x="0" y="0"/>
                      <a:ext cx="4157345" cy="2696845"/>
                    </a:xfrm>
                    <a:prstGeom prst="rect">
                      <a:avLst/>
                    </a:prstGeom>
                  </pic:spPr>
                </pic:pic>
              </a:graphicData>
            </a:graphic>
          </wp:inline>
        </w:drawing>
      </w:r>
    </w:p>
    <w:p w14:paraId="0EE87A63" w14:textId="77777777" w:rsidR="00C7742F" w:rsidRPr="006E3D49" w:rsidRDefault="00504FF3">
      <w:pPr>
        <w:pStyle w:val="Caption"/>
        <w:rPr>
          <w:lang w:val="fr-FR"/>
        </w:rPr>
      </w:pPr>
      <w:bookmarkStart w:id="14" w:name="_Ref16689331"/>
      <w:r>
        <w:rPr>
          <w:rFonts w:asciiTheme="minorHAnsi" w:hAnsiTheme="minorHAnsi" w:cstheme="minorHAnsi"/>
          <w:sz w:val="22"/>
          <w:szCs w:val="22"/>
          <w:lang w:val="fr-FR"/>
        </w:rPr>
        <w:t xml:space="preserve">Figure </w:t>
      </w:r>
      <w:r>
        <w:rPr>
          <w:rFonts w:asciiTheme="minorHAnsi" w:hAnsiTheme="minorHAnsi" w:cstheme="minorHAnsi"/>
          <w:sz w:val="22"/>
          <w:szCs w:val="22"/>
        </w:rPr>
        <w:fldChar w:fldCharType="begin"/>
      </w:r>
      <w:r w:rsidRPr="006E3D49">
        <w:rPr>
          <w:rFonts w:ascii="Calibri" w:hAnsi="Calibri" w:cs="Calibri"/>
          <w:sz w:val="22"/>
          <w:szCs w:val="22"/>
          <w:lang w:val="fr-FR"/>
        </w:rPr>
        <w:instrText>SEQ Figure \* ARABIC</w:instrText>
      </w:r>
      <w:r>
        <w:rPr>
          <w:rFonts w:ascii="Calibri" w:hAnsi="Calibri" w:cs="Calibri"/>
          <w:sz w:val="22"/>
          <w:szCs w:val="22"/>
        </w:rPr>
        <w:fldChar w:fldCharType="separate"/>
      </w:r>
      <w:r w:rsidRPr="006E3D49">
        <w:rPr>
          <w:rFonts w:ascii="Calibri" w:hAnsi="Calibri" w:cs="Calibri"/>
          <w:sz w:val="22"/>
          <w:szCs w:val="22"/>
          <w:lang w:val="fr-FR"/>
        </w:rPr>
        <w:t>1</w:t>
      </w:r>
      <w:r>
        <w:rPr>
          <w:rFonts w:ascii="Calibri" w:hAnsi="Calibri" w:cs="Calibri"/>
          <w:sz w:val="22"/>
          <w:szCs w:val="22"/>
        </w:rPr>
        <w:fldChar w:fldCharType="end"/>
      </w:r>
      <w:bookmarkEnd w:id="14"/>
      <w:r>
        <w:rPr>
          <w:rFonts w:asciiTheme="minorHAnsi" w:hAnsiTheme="minorHAnsi" w:cstheme="minorHAnsi"/>
          <w:sz w:val="22"/>
          <w:szCs w:val="22"/>
          <w:lang w:val="fr-FR"/>
        </w:rPr>
        <w:t>: CSI Acquisition in Mode 1</w:t>
      </w:r>
    </w:p>
    <w:p w14:paraId="07ABD6A6" w14:textId="77777777" w:rsidR="00C7742F" w:rsidRDefault="00C7742F">
      <w:pPr>
        <w:rPr>
          <w:rFonts w:asciiTheme="minorHAnsi" w:hAnsiTheme="minorHAnsi" w:cstheme="minorHAnsi"/>
          <w:lang w:val="fr-FR"/>
        </w:rPr>
      </w:pPr>
    </w:p>
    <w:p w14:paraId="665657FF" w14:textId="5B6F00C7" w:rsidR="00C7742F" w:rsidRDefault="00504FF3">
      <w:pPr>
        <w:rPr>
          <w:rFonts w:asciiTheme="minorHAnsi" w:hAnsiTheme="minorHAnsi" w:cstheme="minorHAnsi"/>
          <w:b/>
          <w:u w:val="single"/>
        </w:rPr>
      </w:pPr>
      <w:r>
        <w:rPr>
          <w:rFonts w:asciiTheme="minorHAnsi" w:hAnsiTheme="minorHAnsi" w:cstheme="minorHAnsi"/>
          <w:b/>
          <w:u w:val="single"/>
        </w:rPr>
        <w:t xml:space="preserve">Proposal </w:t>
      </w:r>
      <w:r w:rsidR="0085690B">
        <w:rPr>
          <w:rFonts w:asciiTheme="minorHAnsi" w:hAnsiTheme="minorHAnsi" w:cstheme="minorHAnsi"/>
          <w:b/>
          <w:u w:val="single"/>
        </w:rPr>
        <w:t>5</w:t>
      </w:r>
      <w:r>
        <w:rPr>
          <w:rFonts w:asciiTheme="minorHAnsi" w:hAnsiTheme="minorHAnsi" w:cstheme="minorHAnsi"/>
          <w:b/>
          <w:u w:val="single"/>
        </w:rPr>
        <w:t>:</w:t>
      </w:r>
    </w:p>
    <w:p w14:paraId="197ACC99" w14:textId="77777777" w:rsidR="00C7742F" w:rsidRDefault="00504FF3">
      <w:r>
        <w:rPr>
          <w:rFonts w:asciiTheme="minorHAnsi" w:hAnsiTheme="minorHAnsi" w:cstheme="minorHAnsi"/>
        </w:rPr>
        <w:lastRenderedPageBreak/>
        <w:t>For CSI acquisition in Mode 1, the gNB can allocate the resources for CSI-RS transmission and the CSI reporting simultaneously.</w:t>
      </w:r>
      <w:bookmarkStart w:id="15" w:name="_Hlk16684510"/>
      <w:bookmarkEnd w:id="15"/>
    </w:p>
    <w:p w14:paraId="1707BFD5" w14:textId="77777777" w:rsidR="00C7742F" w:rsidRDefault="00C7742F">
      <w:pPr>
        <w:rPr>
          <w:rFonts w:asciiTheme="minorHAnsi" w:hAnsiTheme="minorHAnsi" w:cstheme="minorHAnsi"/>
        </w:rPr>
      </w:pPr>
      <w:bookmarkStart w:id="16" w:name="_Hlk21096397"/>
      <w:bookmarkStart w:id="17" w:name="_Hlk5009495"/>
      <w:bookmarkEnd w:id="16"/>
      <w:bookmarkEnd w:id="17"/>
    </w:p>
    <w:p w14:paraId="1F571557" w14:textId="77777777" w:rsidR="00C7742F" w:rsidRDefault="00504FF3">
      <w:pPr>
        <w:rPr>
          <w:rFonts w:asciiTheme="minorHAnsi" w:hAnsiTheme="minorHAnsi" w:cstheme="minorHAnsi"/>
        </w:rPr>
      </w:pPr>
      <w:r>
        <w:rPr>
          <w:rFonts w:asciiTheme="minorHAnsi" w:hAnsiTheme="minorHAnsi" w:cstheme="minorHAnsi"/>
        </w:rPr>
        <w:t xml:space="preserve">When the Tx has been configured with periodic resources from the gNB, and it needs to acquire CSI, it can directly transmit CSI-RS on the configured resources. An indication can be sent to the Rx to inform that the resource carries CSI-RS, in addition to data and other reference symbols. Similarly, if the Rx UE has been allocated configured resources to the Tx UE, from whom it has received CSI-RS, it can transmit a CSI report on its configured periodic resource. The control information may carry an indication that the resource comprises of CSI report only or along with data. </w:t>
      </w:r>
    </w:p>
    <w:p w14:paraId="7D4A4899" w14:textId="77777777" w:rsidR="00C7742F" w:rsidRDefault="00C7742F">
      <w:pPr>
        <w:rPr>
          <w:rFonts w:cstheme="minorHAnsi"/>
        </w:rPr>
      </w:pPr>
    </w:p>
    <w:p w14:paraId="25D01004" w14:textId="77777777" w:rsidR="00C7742F" w:rsidRDefault="00504FF3">
      <w:pPr>
        <w:pStyle w:val="Heading1"/>
        <w:numPr>
          <w:ilvl w:val="0"/>
          <w:numId w:val="3"/>
        </w:numPr>
        <w:rPr>
          <w:rFonts w:asciiTheme="minorHAnsi" w:hAnsiTheme="minorHAnsi" w:cstheme="minorHAnsi"/>
          <w:sz w:val="22"/>
          <w:szCs w:val="22"/>
        </w:rPr>
      </w:pPr>
      <w:r>
        <w:rPr>
          <w:rFonts w:asciiTheme="minorHAnsi" w:hAnsiTheme="minorHAnsi" w:cstheme="minorHAnsi"/>
          <w:sz w:val="22"/>
          <w:szCs w:val="22"/>
        </w:rPr>
        <w:t>Conclusions</w:t>
      </w:r>
    </w:p>
    <w:p w14:paraId="3A033BCD" w14:textId="77777777" w:rsidR="00C7742F" w:rsidRDefault="00504FF3">
      <w:pPr>
        <w:rPr>
          <w:rFonts w:asciiTheme="minorHAnsi" w:hAnsiTheme="minorHAnsi" w:cstheme="minorHAnsi"/>
          <w:lang w:eastAsia="zh-CN"/>
        </w:rPr>
      </w:pPr>
      <w:r>
        <w:rPr>
          <w:rFonts w:asciiTheme="minorHAnsi" w:hAnsiTheme="minorHAnsi" w:cstheme="minorHAnsi"/>
          <w:lang w:eastAsia="zh-CN"/>
        </w:rPr>
        <w:t>The following proposals have been presented in this document.</w:t>
      </w:r>
    </w:p>
    <w:p w14:paraId="2919F2DA" w14:textId="77777777" w:rsidR="00C7742F" w:rsidRDefault="00504FF3">
      <w:pPr>
        <w:jc w:val="left"/>
        <w:rPr>
          <w:rFonts w:asciiTheme="minorHAnsi" w:hAnsiTheme="minorHAnsi" w:cstheme="minorHAnsi"/>
          <w:bCs/>
          <w:lang w:eastAsia="zh-CN"/>
        </w:rPr>
      </w:pPr>
      <w:r>
        <w:rPr>
          <w:rFonts w:asciiTheme="minorHAnsi" w:hAnsiTheme="minorHAnsi" w:cstheme="minorHAnsi"/>
          <w:b/>
          <w:u w:val="single"/>
          <w:lang w:eastAsia="zh-CN"/>
        </w:rPr>
        <w:t xml:space="preserve">Proposal 1: </w:t>
      </w:r>
      <w:r>
        <w:rPr>
          <w:rFonts w:asciiTheme="minorHAnsi" w:hAnsiTheme="minorHAnsi" w:cstheme="minorHAnsi"/>
          <w:bCs/>
          <w:lang w:eastAsia="zh-CN"/>
        </w:rPr>
        <w:t>Support Option 2 in the above agreement.</w:t>
      </w:r>
    </w:p>
    <w:p w14:paraId="638664B1" w14:textId="77777777" w:rsidR="00C7742F" w:rsidRDefault="00504FF3">
      <w:pPr>
        <w:rPr>
          <w:rFonts w:asciiTheme="minorHAnsi" w:hAnsiTheme="minorHAnsi" w:cstheme="minorHAnsi"/>
          <w:bCs/>
          <w:lang w:eastAsia="zh-CN"/>
        </w:rPr>
      </w:pPr>
      <w:r>
        <w:rPr>
          <w:rFonts w:eastAsia="Times New Roman" w:cstheme="minorHAnsi"/>
          <w:b/>
          <w:bCs/>
          <w:u w:val="single"/>
        </w:rPr>
        <w:t xml:space="preserve">Proposal 2: </w:t>
      </w:r>
      <w:r>
        <w:rPr>
          <w:rFonts w:asciiTheme="minorHAnsi" w:hAnsiTheme="minorHAnsi" w:cstheme="minorHAnsi"/>
          <w:bCs/>
          <w:lang w:eastAsia="zh-CN"/>
        </w:rPr>
        <w:t xml:space="preserve">When the sidelink control information associated to a sidelink transmission carries the indication of resource reservation for a future transmission, the source ID and the destination ID in the 2nd stage SCI of prior reserved transmission are not transmitted. </w:t>
      </w:r>
    </w:p>
    <w:p w14:paraId="35D1CFCA" w14:textId="77777777" w:rsidR="00C7742F" w:rsidRDefault="00504FF3">
      <w:pPr>
        <w:rPr>
          <w:rFonts w:asciiTheme="minorHAnsi" w:hAnsiTheme="minorHAnsi" w:cstheme="minorHAnsi"/>
        </w:rPr>
      </w:pPr>
      <w:r>
        <w:rPr>
          <w:rFonts w:asciiTheme="minorHAnsi" w:hAnsiTheme="minorHAnsi" w:cstheme="minorHAnsi"/>
          <w:b/>
          <w:u w:val="single"/>
        </w:rPr>
        <w:t xml:space="preserve">Proposal 3: </w:t>
      </w:r>
      <w:r>
        <w:rPr>
          <w:rFonts w:asciiTheme="minorHAnsi" w:hAnsiTheme="minorHAnsi" w:cstheme="minorHAnsi"/>
        </w:rPr>
        <w:t>For sidelink unicast transmissions with HARQ feedback, support CBG based feedback and re-transmissions.</w:t>
      </w:r>
    </w:p>
    <w:p w14:paraId="4D1D4B07" w14:textId="77777777" w:rsidR="00C7742F" w:rsidRDefault="00504FF3">
      <w:pPr>
        <w:rPr>
          <w:rFonts w:asciiTheme="minorHAnsi" w:hAnsiTheme="minorHAnsi" w:cstheme="minorHAnsi"/>
        </w:rPr>
      </w:pPr>
      <w:r>
        <w:rPr>
          <w:rFonts w:asciiTheme="minorHAnsi" w:hAnsiTheme="minorHAnsi" w:cstheme="minorHAnsi"/>
          <w:b/>
          <w:u w:val="single"/>
        </w:rPr>
        <w:t xml:space="preserve">Proposal 4: </w:t>
      </w:r>
      <w:r>
        <w:rPr>
          <w:rFonts w:asciiTheme="minorHAnsi" w:hAnsiTheme="minorHAnsi" w:cstheme="minorHAnsi"/>
        </w:rPr>
        <w:t xml:space="preserve">For sidelink groupcast transmissions with HARQ feedback, only transport block-based feedback and re-transmissions are supported. </w:t>
      </w:r>
    </w:p>
    <w:p w14:paraId="059FA131" w14:textId="5F8D2F51" w:rsidR="00C7742F" w:rsidRDefault="00504FF3">
      <w:pPr>
        <w:rPr>
          <w:rFonts w:asciiTheme="minorHAnsi" w:hAnsiTheme="minorHAnsi" w:cstheme="minorHAnsi"/>
        </w:rPr>
      </w:pPr>
      <w:r>
        <w:rPr>
          <w:rFonts w:asciiTheme="minorHAnsi" w:hAnsiTheme="minorHAnsi" w:cstheme="minorHAnsi"/>
          <w:b/>
          <w:u w:val="single"/>
        </w:rPr>
        <w:t xml:space="preserve">Proposal </w:t>
      </w:r>
      <w:r w:rsidR="0085690B">
        <w:rPr>
          <w:rFonts w:asciiTheme="minorHAnsi" w:hAnsiTheme="minorHAnsi" w:cstheme="minorHAnsi"/>
          <w:b/>
          <w:u w:val="single"/>
        </w:rPr>
        <w:t>5</w:t>
      </w:r>
      <w:r>
        <w:rPr>
          <w:rFonts w:asciiTheme="minorHAnsi" w:hAnsiTheme="minorHAnsi" w:cstheme="minorHAnsi"/>
          <w:b/>
          <w:u w:val="single"/>
        </w:rPr>
        <w:t xml:space="preserve">: </w:t>
      </w:r>
      <w:r>
        <w:rPr>
          <w:rFonts w:asciiTheme="minorHAnsi" w:hAnsiTheme="minorHAnsi" w:cstheme="minorHAnsi"/>
        </w:rPr>
        <w:t>For CSI acquisition in Mode 1, the gNB can allocate the resources for CSI-RS transmission and the CSI reporting simultaneously.</w:t>
      </w:r>
    </w:p>
    <w:p w14:paraId="4D426854" w14:textId="77777777" w:rsidR="00C7742F" w:rsidRDefault="00C7742F">
      <w:pPr>
        <w:jc w:val="left"/>
        <w:rPr>
          <w:rFonts w:asciiTheme="minorHAnsi" w:hAnsiTheme="minorHAnsi" w:cstheme="minorHAnsi"/>
          <w:lang w:eastAsia="zh-CN"/>
        </w:rPr>
      </w:pPr>
    </w:p>
    <w:p w14:paraId="07A938CF" w14:textId="77777777" w:rsidR="00C7742F" w:rsidRDefault="00504FF3">
      <w:pPr>
        <w:pStyle w:val="Heading1"/>
        <w:numPr>
          <w:ilvl w:val="0"/>
          <w:numId w:val="3"/>
        </w:numPr>
        <w:rPr>
          <w:rFonts w:asciiTheme="minorHAnsi" w:hAnsiTheme="minorHAnsi" w:cstheme="minorHAnsi"/>
          <w:sz w:val="22"/>
          <w:szCs w:val="22"/>
        </w:rPr>
      </w:pPr>
      <w:r>
        <w:rPr>
          <w:rFonts w:asciiTheme="minorHAnsi" w:hAnsiTheme="minorHAnsi" w:cstheme="minorHAnsi"/>
          <w:sz w:val="22"/>
          <w:szCs w:val="22"/>
        </w:rPr>
        <w:t>References</w:t>
      </w:r>
      <w:bookmarkStart w:id="18" w:name="_Ref129681832"/>
      <w:bookmarkStart w:id="19" w:name="_Ref124589665"/>
      <w:bookmarkStart w:id="20" w:name="_Ref71620620"/>
      <w:bookmarkStart w:id="21" w:name="_Ref124671424"/>
      <w:bookmarkEnd w:id="18"/>
      <w:bookmarkEnd w:id="19"/>
      <w:bookmarkEnd w:id="20"/>
      <w:bookmarkEnd w:id="21"/>
    </w:p>
    <w:p w14:paraId="04A74DD6" w14:textId="69198AB9" w:rsidR="00D41452" w:rsidRDefault="00D41452">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#100-e.</w:t>
      </w:r>
    </w:p>
    <w:p w14:paraId="01F50BF5" w14:textId="6CDD663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#99.</w:t>
      </w:r>
    </w:p>
    <w:p w14:paraId="30D876AB"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#98B.</w:t>
      </w:r>
    </w:p>
    <w:p w14:paraId="7B4D4E98"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#98.</w:t>
      </w:r>
    </w:p>
    <w:p w14:paraId="5FCD1135"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#97.</w:t>
      </w:r>
    </w:p>
    <w:p w14:paraId="5919FEFC"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#96B.</w:t>
      </w:r>
    </w:p>
    <w:p w14:paraId="5557F67E"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#96.</w:t>
      </w:r>
    </w:p>
    <w:p w14:paraId="2A981DA9"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#95.</w:t>
      </w:r>
    </w:p>
    <w:p w14:paraId="28B6A6BA"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 AH1901.</w:t>
      </w:r>
    </w:p>
    <w:p w14:paraId="0226E83E"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 xml:space="preserve">RP-182089, “Study on physical layer enhancements for NR ultra-reliable and low latency communication (URLLC)”, Huawei, </w:t>
      </w:r>
      <w:proofErr w:type="spellStart"/>
      <w:r>
        <w:rPr>
          <w:rFonts w:asciiTheme="minorHAnsi" w:hAnsiTheme="minorHAnsi" w:cstheme="minorHAnsi"/>
          <w:sz w:val="22"/>
          <w:szCs w:val="22"/>
        </w:rPr>
        <w:t>HiSilicon</w:t>
      </w:r>
      <w:proofErr w:type="spellEnd"/>
      <w:r>
        <w:rPr>
          <w:rFonts w:asciiTheme="minorHAnsi" w:hAnsiTheme="minorHAnsi" w:cstheme="minorHAnsi"/>
          <w:sz w:val="22"/>
          <w:szCs w:val="22"/>
        </w:rPr>
        <w:t>, Nokia, Nokia Shanghai Bell, RAN#81, Sep. 2018</w:t>
      </w:r>
    </w:p>
    <w:p w14:paraId="29A84E9E" w14:textId="77777777" w:rsidR="00C7742F" w:rsidRDefault="00C7742F">
      <w:pPr>
        <w:pStyle w:val="References"/>
        <w:ind w:left="360"/>
      </w:pPr>
    </w:p>
    <w:sectPr w:rsidR="00C7742F">
      <w:pgSz w:w="11906" w:h="16838"/>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Ì¨¨??"/>
    <w:panose1 w:val="02010600030101010101"/>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Regular">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2C4F"/>
    <w:multiLevelType w:val="multilevel"/>
    <w:tmpl w:val="1D1890A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9003E6"/>
    <w:multiLevelType w:val="multilevel"/>
    <w:tmpl w:val="5902047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9E25213"/>
    <w:multiLevelType w:val="multilevel"/>
    <w:tmpl w:val="D0DE9108"/>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A95646"/>
    <w:multiLevelType w:val="multilevel"/>
    <w:tmpl w:val="E79AB70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6D95531"/>
    <w:multiLevelType w:val="multilevel"/>
    <w:tmpl w:val="1A3817C6"/>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5" w15:restartNumberingAfterBreak="0">
    <w:nsid w:val="43AB3D40"/>
    <w:multiLevelType w:val="multilevel"/>
    <w:tmpl w:val="EED88C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5A335BF"/>
    <w:multiLevelType w:val="multilevel"/>
    <w:tmpl w:val="2250C8E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defaultTabStop w:val="425"/>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42F"/>
    <w:rsid w:val="000C40D3"/>
    <w:rsid w:val="00144FED"/>
    <w:rsid w:val="003057A7"/>
    <w:rsid w:val="004D3759"/>
    <w:rsid w:val="00504FF3"/>
    <w:rsid w:val="006E3D49"/>
    <w:rsid w:val="00741F21"/>
    <w:rsid w:val="00773222"/>
    <w:rsid w:val="0085690B"/>
    <w:rsid w:val="00C7742F"/>
    <w:rsid w:val="00D4145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1D6FD"/>
  <w15:docId w15:val="{536B9BB3-CF91-462A-81F8-35AC59721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i w:val="0"/>
      <w:lang w:val="en-US"/>
    </w:rPr>
  </w:style>
  <w:style w:type="character" w:customStyle="1" w:styleId="ListLabel75">
    <w:name w:val="ListLabel 75"/>
    <w:qFormat/>
    <w:rPr>
      <w:b/>
      <w:i w:val="0"/>
      <w:sz w:val="24"/>
      <w:effect w:val="none"/>
    </w:rPr>
  </w:style>
  <w:style w:type="character" w:customStyle="1" w:styleId="ListLabel76">
    <w:name w:val="ListLabel 76"/>
    <w:qFormat/>
    <w:rPr>
      <w:i w:val="0"/>
      <w:lang w:val="en-US"/>
    </w:rPr>
  </w:style>
  <w:style w:type="character" w:customStyle="1" w:styleId="ListLabel77">
    <w:name w:val="ListLabel 77"/>
    <w:qFormat/>
    <w:rPr>
      <w:b/>
      <w:i w:val="0"/>
      <w:sz w:val="24"/>
      <w:effect w:val="none"/>
    </w:rPr>
  </w:style>
  <w:style w:type="character" w:customStyle="1" w:styleId="ListLabel78">
    <w:name w:val="ListLabel 78"/>
    <w:qFormat/>
    <w:rPr>
      <w:rFonts w:cs="Wingdings"/>
    </w:rPr>
  </w:style>
  <w:style w:type="character" w:customStyle="1" w:styleId="ListLabel79">
    <w:name w:val="ListLabel 79"/>
    <w:qFormat/>
    <w:rPr>
      <w:rFonts w:cs="Malgun Gothic"/>
    </w:rPr>
  </w:style>
  <w:style w:type="character" w:customStyle="1" w:styleId="ListLabel80">
    <w:name w:val="ListLabel 80"/>
    <w:qFormat/>
    <w:rPr>
      <w:rFonts w:cs="Wingdings"/>
    </w:rPr>
  </w:style>
  <w:style w:type="character" w:customStyle="1" w:styleId="ListLabel81">
    <w:name w:val="ListLabel 81"/>
    <w:qFormat/>
    <w:rPr>
      <w:rFonts w:cs="Arial"/>
    </w:rPr>
  </w:style>
  <w:style w:type="character" w:customStyle="1" w:styleId="ListLabel82">
    <w:name w:val="ListLabel 82"/>
    <w:qFormat/>
    <w:rPr>
      <w:rFonts w:cs="Wingdings"/>
    </w:rPr>
  </w:style>
  <w:style w:type="character" w:customStyle="1" w:styleId="ListLabel83">
    <w:name w:val="ListLabel 83"/>
    <w:qFormat/>
    <w:rPr>
      <w:rFonts w:cs="Calibri"/>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sz w:val="20"/>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sz w:val="20"/>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eastAsia="Malgun Gothic"/>
    </w:rPr>
  </w:style>
  <w:style w:type="character" w:customStyle="1" w:styleId="ListLabel169">
    <w:name w:val="ListLabel 169"/>
    <w:qFormat/>
    <w:rPr>
      <w:rFonts w:eastAsia="Times New Roman"/>
    </w:rPr>
  </w:style>
  <w:style w:type="character" w:customStyle="1" w:styleId="ListLabel170">
    <w:name w:val="ListLabel 170"/>
    <w:qFormat/>
    <w:rPr>
      <w:rFonts w:cs="Courier New"/>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sz w:val="20"/>
    </w:rPr>
  </w:style>
  <w:style w:type="character" w:customStyle="1" w:styleId="ListLabel180">
    <w:name w:val="ListLabel 180"/>
    <w:qFormat/>
    <w:rPr>
      <w:sz w:val="20"/>
    </w:rPr>
  </w:style>
  <w:style w:type="character" w:customStyle="1" w:styleId="ListLabel181">
    <w:name w:val="ListLabel 181"/>
    <w:qFormat/>
    <w:rPr>
      <w:sz w:val="20"/>
    </w:rPr>
  </w:style>
  <w:style w:type="character" w:customStyle="1" w:styleId="ListLabel182">
    <w:name w:val="ListLabel 182"/>
    <w:qFormat/>
    <w:rPr>
      <w:sz w:val="20"/>
    </w:rPr>
  </w:style>
  <w:style w:type="character" w:customStyle="1" w:styleId="ListLabel183">
    <w:name w:val="ListLabel 183"/>
    <w:qFormat/>
    <w:rPr>
      <w:sz w:val="20"/>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sz w:val="20"/>
    </w:rPr>
  </w:style>
  <w:style w:type="character" w:customStyle="1" w:styleId="ListLabel193">
    <w:name w:val="ListLabel 193"/>
    <w:qFormat/>
    <w:rPr>
      <w:sz w:val="20"/>
    </w:rPr>
  </w:style>
  <w:style w:type="character" w:customStyle="1" w:styleId="ListLabel194">
    <w:name w:val="ListLabel 194"/>
    <w:qFormat/>
    <w:rPr>
      <w:sz w:val="20"/>
    </w:rPr>
  </w:style>
  <w:style w:type="character" w:customStyle="1" w:styleId="ListLabel195">
    <w:name w:val="ListLabel 195"/>
    <w:qFormat/>
    <w:rPr>
      <w:sz w:val="20"/>
    </w:rPr>
  </w:style>
  <w:style w:type="character" w:customStyle="1" w:styleId="ListLabel196">
    <w:name w:val="ListLabel 196"/>
    <w:qFormat/>
    <w:rPr>
      <w:sz w:val="20"/>
    </w:rPr>
  </w:style>
  <w:style w:type="character" w:customStyle="1" w:styleId="ListLabel197">
    <w:name w:val="ListLabel 197"/>
    <w:qFormat/>
    <w:rPr>
      <w:sz w:val="20"/>
    </w:rPr>
  </w:style>
  <w:style w:type="character" w:customStyle="1" w:styleId="ListLabel198">
    <w:name w:val="ListLabel 198"/>
    <w:qFormat/>
    <w:rPr>
      <w:sz w:val="20"/>
    </w:rPr>
  </w:style>
  <w:style w:type="character" w:customStyle="1" w:styleId="ListLabel199">
    <w:name w:val="ListLabel 199"/>
    <w:qFormat/>
    <w:rPr>
      <w:sz w:val="20"/>
    </w:rPr>
  </w:style>
  <w:style w:type="character" w:customStyle="1" w:styleId="ListLabel200">
    <w:name w:val="ListLabel 200"/>
    <w:qFormat/>
    <w:rPr>
      <w:sz w:val="20"/>
    </w:rPr>
  </w:style>
  <w:style w:type="character" w:customStyle="1" w:styleId="ListLabel201">
    <w:name w:val="ListLabel 201"/>
    <w:qFormat/>
    <w:rPr>
      <w:sz w:val="20"/>
    </w:rPr>
  </w:style>
  <w:style w:type="character" w:customStyle="1" w:styleId="ListLabel202">
    <w:name w:val="ListLabel 202"/>
    <w:qFormat/>
    <w:rPr>
      <w:sz w:val="20"/>
    </w:rPr>
  </w:style>
  <w:style w:type="character" w:customStyle="1" w:styleId="ListLabel203">
    <w:name w:val="ListLabel 203"/>
    <w:qFormat/>
    <w:rPr>
      <w:sz w:val="20"/>
    </w:rPr>
  </w:style>
  <w:style w:type="character" w:customStyle="1" w:styleId="ListLabel204">
    <w:name w:val="ListLabel 204"/>
    <w:qFormat/>
    <w:rPr>
      <w:sz w:val="20"/>
    </w:rPr>
  </w:style>
  <w:style w:type="character" w:customStyle="1" w:styleId="ListLabel205">
    <w:name w:val="ListLabel 205"/>
    <w:qFormat/>
    <w:rPr>
      <w:sz w:val="20"/>
    </w:rPr>
  </w:style>
  <w:style w:type="character" w:customStyle="1" w:styleId="ListLabel206">
    <w:name w:val="ListLabel 206"/>
    <w:qFormat/>
    <w:rPr>
      <w:sz w:val="20"/>
    </w:rPr>
  </w:style>
  <w:style w:type="character" w:customStyle="1" w:styleId="ListLabel207">
    <w:name w:val="ListLabel 207"/>
    <w:qFormat/>
    <w:rPr>
      <w:sz w:val="20"/>
    </w:rPr>
  </w:style>
  <w:style w:type="character" w:customStyle="1" w:styleId="ListLabel208">
    <w:name w:val="ListLabel 208"/>
    <w:qFormat/>
    <w:rPr>
      <w:sz w:val="20"/>
    </w:rPr>
  </w:style>
  <w:style w:type="character" w:customStyle="1" w:styleId="ListLabel209">
    <w:name w:val="ListLabel 209"/>
    <w:qFormat/>
    <w:rPr>
      <w:sz w:val="20"/>
    </w:rPr>
  </w:style>
  <w:style w:type="character" w:customStyle="1" w:styleId="ListLabel210">
    <w:name w:val="ListLabel 210"/>
    <w:qFormat/>
    <w:rPr>
      <w:sz w:val="20"/>
    </w:rPr>
  </w:style>
  <w:style w:type="character" w:customStyle="1" w:styleId="ListLabel211">
    <w:name w:val="ListLabel 211"/>
    <w:qFormat/>
    <w:rPr>
      <w:sz w:val="20"/>
    </w:rPr>
  </w:style>
  <w:style w:type="character" w:customStyle="1" w:styleId="ListLabel212">
    <w:name w:val="ListLabel 212"/>
    <w:qFormat/>
    <w:rPr>
      <w:sz w:val="20"/>
    </w:rPr>
  </w:style>
  <w:style w:type="character" w:customStyle="1" w:styleId="ListLabel213">
    <w:name w:val="ListLabel 213"/>
    <w:qFormat/>
    <w:rPr>
      <w:sz w:val="20"/>
    </w:rPr>
  </w:style>
  <w:style w:type="character" w:customStyle="1" w:styleId="ListLabel214">
    <w:name w:val="ListLabel 214"/>
    <w:qFormat/>
    <w:rPr>
      <w:sz w:val="20"/>
    </w:rPr>
  </w:style>
  <w:style w:type="character" w:customStyle="1" w:styleId="ListLabel215">
    <w:name w:val="ListLabel 215"/>
    <w:qFormat/>
    <w:rPr>
      <w:rFonts w:cs="Courier New"/>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cs="Courier New"/>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cs="Courier New"/>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i w:val="0"/>
      <w:lang w:val="en-US"/>
    </w:rPr>
  </w:style>
  <w:style w:type="character" w:customStyle="1" w:styleId="ListLabel228">
    <w:name w:val="ListLabel 228"/>
    <w:qFormat/>
    <w:rPr>
      <w:b/>
      <w:i w:val="0"/>
      <w:sz w:val="24"/>
      <w:effect w:val="none"/>
    </w:rPr>
  </w:style>
  <w:style w:type="character" w:customStyle="1" w:styleId="ListLabel229">
    <w:name w:val="ListLabel 229"/>
    <w:qFormat/>
    <w:rPr>
      <w:i w:val="0"/>
      <w:lang w:val="en-US"/>
    </w:rPr>
  </w:style>
  <w:style w:type="character" w:customStyle="1" w:styleId="ListLabel230">
    <w:name w:val="ListLabel 230"/>
    <w:qFormat/>
    <w:rPr>
      <w:b/>
      <w:i w:val="0"/>
      <w:sz w:val="24"/>
      <w:effect w:val="none"/>
    </w:rPr>
  </w:style>
  <w:style w:type="character" w:customStyle="1" w:styleId="ListLabel231">
    <w:name w:val="ListLabel 231"/>
    <w:qFormat/>
    <w:rPr>
      <w:i w:val="0"/>
      <w:lang w:val="en-US"/>
    </w:rPr>
  </w:style>
  <w:style w:type="character" w:customStyle="1" w:styleId="ListLabel232">
    <w:name w:val="ListLabel 232"/>
    <w:qFormat/>
    <w:rPr>
      <w:b/>
      <w:i w:val="0"/>
      <w:sz w:val="24"/>
      <w:effect w:val="none"/>
    </w:rPr>
  </w:style>
  <w:style w:type="character" w:customStyle="1" w:styleId="ListLabel233">
    <w:name w:val="ListLabel 233"/>
    <w:qFormat/>
    <w:rPr>
      <w:i w:val="0"/>
      <w:lang w:val="en-US"/>
    </w:rPr>
  </w:style>
  <w:style w:type="character" w:customStyle="1" w:styleId="ListLabel234">
    <w:name w:val="ListLabel 234"/>
    <w:qFormat/>
    <w:rPr>
      <w:b/>
      <w:i w:val="0"/>
      <w:sz w:val="24"/>
      <w:effect w:val="none"/>
    </w:rPr>
  </w:style>
  <w:style w:type="character" w:customStyle="1" w:styleId="ListLabel235">
    <w:name w:val="ListLabel 235"/>
    <w:qFormat/>
    <w:rPr>
      <w:rFonts w:cs="Courier New"/>
    </w:rPr>
  </w:style>
  <w:style w:type="character" w:customStyle="1" w:styleId="ListLabel236">
    <w:name w:val="ListLabel 236"/>
    <w:qFormat/>
    <w:rPr>
      <w:rFonts w:cs="Courier New"/>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character" w:customStyle="1" w:styleId="ListLabel240">
    <w:name w:val="ListLabel 240"/>
    <w:qFormat/>
    <w:rPr>
      <w:rFonts w:cs="Courier New"/>
    </w:rPr>
  </w:style>
  <w:style w:type="character" w:customStyle="1" w:styleId="ListLabel241">
    <w:name w:val="ListLabel 241"/>
    <w:qFormat/>
    <w:rPr>
      <w:rFonts w:cs="Courier New"/>
    </w:rPr>
  </w:style>
  <w:style w:type="character" w:customStyle="1" w:styleId="ListLabel242">
    <w:name w:val="ListLabel 242"/>
    <w:qFormat/>
    <w:rPr>
      <w:rFonts w:cs="Courier New"/>
    </w:rPr>
  </w:style>
  <w:style w:type="character" w:customStyle="1" w:styleId="ListLabel243">
    <w:name w:val="ListLabel 24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53313-F0DD-48F9-A14A-27D23479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1518</Words>
  <Characters>8355</Characters>
  <Application>Microsoft Office Word</Application>
  <DocSecurity>0</DocSecurity>
  <Lines>69</Lines>
  <Paragraphs>19</Paragraphs>
  <ScaleCrop>false</ScaleCrop>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Umer, SALIM</dc:creator>
  <dc:description/>
  <cp:lastModifiedBy>Umer, SALIM</cp:lastModifiedBy>
  <cp:revision>10</cp:revision>
  <dcterms:created xsi:type="dcterms:W3CDTF">2020-02-14T17:05:00Z</dcterms:created>
  <dcterms:modified xsi:type="dcterms:W3CDTF">2020-04-09T12:51:00Z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