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372D8" w14:textId="02D055FC" w:rsidR="00810D90" w:rsidRPr="0056520D" w:rsidRDefault="00810D90" w:rsidP="00810D90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>
        <w:rPr>
          <w:lang w:val="de-DE"/>
        </w:rPr>
        <w:t xml:space="preserve"> #</w:t>
      </w:r>
      <w:r w:rsidR="00EE6370">
        <w:rPr>
          <w:lang w:val="de-DE"/>
        </w:rPr>
        <w:t>100-e</w:t>
      </w:r>
      <w:r w:rsidRPr="0056520D">
        <w:rPr>
          <w:lang w:val="de-DE"/>
        </w:rPr>
        <w:tab/>
      </w:r>
      <w:r>
        <w:rPr>
          <w:lang w:val="de-DE"/>
        </w:rPr>
        <w:tab/>
        <w:t>R1-</w:t>
      </w:r>
      <w:r w:rsidR="00EE6370">
        <w:rPr>
          <w:lang w:val="de-DE"/>
        </w:rPr>
        <w:t>20</w:t>
      </w:r>
      <w:r w:rsidR="00627C67">
        <w:rPr>
          <w:lang w:val="de-DE"/>
        </w:rPr>
        <w:t>00889</w:t>
      </w:r>
    </w:p>
    <w:p w14:paraId="234286F7" w14:textId="77777777" w:rsidR="00EE6370" w:rsidRDefault="00EE6370" w:rsidP="00EE6370">
      <w:pPr>
        <w:pStyle w:val="Header"/>
        <w:rPr>
          <w:lang w:val="de-DE"/>
        </w:rPr>
      </w:pPr>
      <w:r w:rsidRPr="00651E5A">
        <w:rPr>
          <w:lang w:val="de-DE"/>
        </w:rPr>
        <w:t>e-Meeting, February 24th – March 6th, 2020</w:t>
      </w:r>
    </w:p>
    <w:p w14:paraId="6B08EE15" w14:textId="77777777" w:rsidR="00B6502F" w:rsidRPr="000833FA" w:rsidRDefault="00B6502F" w:rsidP="00B6502F">
      <w:pPr>
        <w:pStyle w:val="Header"/>
      </w:pPr>
    </w:p>
    <w:p w14:paraId="50A280DB" w14:textId="77777777" w:rsidR="00B6502F" w:rsidRPr="0003368D" w:rsidRDefault="00B6502F" w:rsidP="00B6502F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  <w:bookmarkStart w:id="0" w:name="_GoBack"/>
      <w:bookmarkEnd w:id="0"/>
    </w:p>
    <w:p w14:paraId="05363AB0" w14:textId="46B568ED" w:rsidR="00B6502F" w:rsidRPr="00E220C0" w:rsidRDefault="00B6502F" w:rsidP="00B6502F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2B157A" w:rsidRPr="002B157A">
        <w:t>Remaining issues for single Tx UL enhancements</w:t>
      </w:r>
    </w:p>
    <w:p w14:paraId="0C761F59" w14:textId="62EE1EF6" w:rsidR="00B6502F" w:rsidRPr="00E220C0" w:rsidRDefault="00B6502F" w:rsidP="00B6502F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>
        <w:t>7.2.1</w:t>
      </w:r>
      <w:r w:rsidR="00EE6370">
        <w:t>0</w:t>
      </w:r>
      <w:r>
        <w:t>.2</w:t>
      </w:r>
    </w:p>
    <w:p w14:paraId="2A9D4FA8" w14:textId="77777777" w:rsidR="00B6502F" w:rsidRPr="0003368D" w:rsidRDefault="00B6502F" w:rsidP="00B6502F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7005ADF4" w14:textId="77777777" w:rsidR="00B6502F" w:rsidRPr="002100D2" w:rsidRDefault="00B6502F" w:rsidP="00B6502F">
      <w:pPr>
        <w:pBdr>
          <w:bottom w:val="single" w:sz="4" w:space="1" w:color="auto"/>
        </w:pBdr>
        <w:tabs>
          <w:tab w:val="left" w:pos="2552"/>
        </w:tabs>
      </w:pPr>
    </w:p>
    <w:p w14:paraId="24EF6640" w14:textId="77777777" w:rsidR="00B6502F" w:rsidRDefault="00B6502F" w:rsidP="00B6502F">
      <w:pPr>
        <w:pStyle w:val="Heading1"/>
        <w:spacing w:before="180"/>
        <w:ind w:left="562" w:hanging="562"/>
      </w:pPr>
      <w:r>
        <w:t>Introduction</w:t>
      </w:r>
    </w:p>
    <w:p w14:paraId="7E2346EA" w14:textId="764D4EFA" w:rsidR="00677AD4" w:rsidRDefault="005C4A3A" w:rsidP="00B6502F">
      <w:pPr>
        <w:pStyle w:val="BodyText"/>
        <w:rPr>
          <w:lang w:val="en-AU"/>
        </w:rPr>
      </w:pPr>
      <w:bookmarkStart w:id="4" w:name="_Ref178064866"/>
      <w:r>
        <w:rPr>
          <w:lang w:val="en-AU"/>
        </w:rPr>
        <w:t xml:space="preserve">In this document we discuss remaining </w:t>
      </w:r>
      <w:r w:rsidR="00EE6370">
        <w:rPr>
          <w:lang w:val="en-AU"/>
        </w:rPr>
        <w:t>issues related specification of</w:t>
      </w:r>
      <w:r>
        <w:rPr>
          <w:lang w:val="en-AU"/>
        </w:rPr>
        <w:t xml:space="preserve"> single-</w:t>
      </w:r>
      <w:proofErr w:type="spellStart"/>
      <w:r>
        <w:rPr>
          <w:lang w:val="en-AU"/>
        </w:rPr>
        <w:t>tx</w:t>
      </w:r>
      <w:proofErr w:type="spellEnd"/>
      <w:r>
        <w:rPr>
          <w:lang w:val="en-AU"/>
        </w:rPr>
        <w:t xml:space="preserve"> operation for EN-DC</w:t>
      </w:r>
      <w:r w:rsidR="00EE6370">
        <w:rPr>
          <w:lang w:val="en-AU"/>
        </w:rPr>
        <w:t xml:space="preserve"> and propose some corrections to TS 38.213.</w:t>
      </w:r>
    </w:p>
    <w:bookmarkEnd w:id="4"/>
    <w:p w14:paraId="736D7E18" w14:textId="4DC1E0CA" w:rsidR="00E12A82" w:rsidRPr="00E12A82" w:rsidRDefault="00B6502F" w:rsidP="00765A99">
      <w:pPr>
        <w:pStyle w:val="Heading1"/>
      </w:pPr>
      <w:r>
        <w:t>Discussion</w:t>
      </w:r>
    </w:p>
    <w:p w14:paraId="3F765746" w14:textId="4BE26549" w:rsidR="00E12A82" w:rsidRDefault="00E12A82" w:rsidP="00B6502F">
      <w:pPr>
        <w:jc w:val="both"/>
      </w:pPr>
    </w:p>
    <w:p w14:paraId="47547823" w14:textId="646F6189" w:rsidR="00432BC1" w:rsidRDefault="00432BC1" w:rsidP="00B6502F">
      <w:pPr>
        <w:jc w:val="both"/>
      </w:pPr>
      <w:r>
        <w:t xml:space="preserve">In RAN1#98bis, the following was agreed regarding Rel16 UE behavior for UEs configured with Case 1 HARQ timing for FDD </w:t>
      </w:r>
      <w:proofErr w:type="spellStart"/>
      <w:r>
        <w:t>Pcell</w:t>
      </w:r>
      <w:proofErr w:type="spellEnd"/>
    </w:p>
    <w:p w14:paraId="1FFDBEFB" w14:textId="64946079" w:rsidR="00432BC1" w:rsidRDefault="00432BC1" w:rsidP="00B6502F">
      <w:pPr>
        <w:jc w:val="both"/>
      </w:pPr>
    </w:p>
    <w:p w14:paraId="35668C3E" w14:textId="77777777" w:rsidR="00432BC1" w:rsidRPr="00432BC1" w:rsidRDefault="00432BC1" w:rsidP="00432BC1">
      <w:pPr>
        <w:pStyle w:val="ListParagraph"/>
        <w:ind w:left="360"/>
        <w:jc w:val="both"/>
        <w:rPr>
          <w:rFonts w:eastAsia="MS Mincho"/>
          <w:i/>
          <w:szCs w:val="20"/>
          <w:highlight w:val="green"/>
          <w:lang w:eastAsia="zh-CN"/>
        </w:rPr>
      </w:pPr>
      <w:r w:rsidRPr="00432BC1">
        <w:rPr>
          <w:rFonts w:eastAsia="MS Mincho"/>
          <w:i/>
          <w:szCs w:val="20"/>
          <w:highlight w:val="green"/>
          <w:lang w:eastAsia="zh-CN"/>
        </w:rPr>
        <w:t>Agreements:</w:t>
      </w:r>
    </w:p>
    <w:p w14:paraId="3A1EFF77" w14:textId="77777777" w:rsidR="00432BC1" w:rsidRPr="00432BC1" w:rsidRDefault="00432BC1" w:rsidP="00432BC1">
      <w:pPr>
        <w:pStyle w:val="ListParagraph"/>
        <w:numPr>
          <w:ilvl w:val="0"/>
          <w:numId w:val="8"/>
        </w:numPr>
        <w:ind w:left="108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lang w:eastAsia="zh-CN"/>
        </w:rPr>
        <w:t xml:space="preserve">For the single-Tx case, for FDD LTE </w:t>
      </w:r>
      <w:proofErr w:type="spellStart"/>
      <w:r w:rsidRPr="00432BC1">
        <w:rPr>
          <w:rFonts w:eastAsia="MS Mincho"/>
          <w:i/>
          <w:szCs w:val="20"/>
          <w:lang w:eastAsia="zh-CN"/>
        </w:rPr>
        <w:t>Pcell</w:t>
      </w:r>
      <w:proofErr w:type="spellEnd"/>
      <w:r w:rsidRPr="00432BC1">
        <w:rPr>
          <w:rFonts w:eastAsia="MS Mincho"/>
          <w:i/>
          <w:szCs w:val="20"/>
          <w:lang w:eastAsia="zh-CN"/>
        </w:rPr>
        <w:t>,</w:t>
      </w:r>
    </w:p>
    <w:p w14:paraId="523B4302" w14:textId="77777777" w:rsidR="00432BC1" w:rsidRPr="00432BC1" w:rsidRDefault="00432BC1" w:rsidP="00432BC1">
      <w:pPr>
        <w:pStyle w:val="ListParagraph"/>
        <w:numPr>
          <w:ilvl w:val="1"/>
          <w:numId w:val="8"/>
        </w:numPr>
        <w:ind w:left="180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lang w:eastAsia="zh-CN"/>
        </w:rPr>
        <w:t>All uplink subframes can be scheduled for LTE for type 1 UEs</w:t>
      </w:r>
    </w:p>
    <w:p w14:paraId="46868835" w14:textId="77777777" w:rsidR="00432BC1" w:rsidRPr="00432BC1" w:rsidRDefault="00432BC1" w:rsidP="00432BC1">
      <w:pPr>
        <w:pStyle w:val="ListParagraph"/>
        <w:numPr>
          <w:ilvl w:val="2"/>
          <w:numId w:val="8"/>
        </w:numPr>
        <w:ind w:left="252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lang w:eastAsia="zh-CN"/>
        </w:rPr>
        <w:t>In which case, NR transmission is dropped for when the LTE and NR transmissions collide</w:t>
      </w:r>
    </w:p>
    <w:p w14:paraId="322422FC" w14:textId="77777777" w:rsidR="00432BC1" w:rsidRPr="00432BC1" w:rsidRDefault="00432BC1" w:rsidP="00432BC1">
      <w:pPr>
        <w:pStyle w:val="ListParagraph"/>
        <w:numPr>
          <w:ilvl w:val="2"/>
          <w:numId w:val="8"/>
        </w:numPr>
        <w:ind w:left="252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lang w:eastAsia="zh-CN"/>
        </w:rPr>
        <w:t>Note: there is no change of UL scheduling timing for LTE</w:t>
      </w:r>
    </w:p>
    <w:p w14:paraId="2F5EED32" w14:textId="77777777" w:rsidR="00432BC1" w:rsidRPr="00432BC1" w:rsidRDefault="00432BC1" w:rsidP="00432BC1">
      <w:pPr>
        <w:pStyle w:val="ListParagraph"/>
        <w:ind w:left="36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highlight w:val="green"/>
          <w:lang w:eastAsia="zh-CN"/>
        </w:rPr>
        <w:t>Agreements</w:t>
      </w:r>
      <w:r w:rsidRPr="00432BC1">
        <w:rPr>
          <w:rFonts w:eastAsia="MS Mincho"/>
          <w:i/>
          <w:szCs w:val="20"/>
          <w:lang w:eastAsia="zh-CN"/>
        </w:rPr>
        <w:t>:</w:t>
      </w:r>
    </w:p>
    <w:p w14:paraId="67BE7439" w14:textId="77777777" w:rsidR="00432BC1" w:rsidRPr="00432BC1" w:rsidRDefault="00432BC1" w:rsidP="00432BC1">
      <w:pPr>
        <w:pStyle w:val="ListParagraph"/>
        <w:numPr>
          <w:ilvl w:val="0"/>
          <w:numId w:val="8"/>
        </w:numPr>
        <w:ind w:left="108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lang w:eastAsia="zh-CN"/>
        </w:rPr>
        <w:t xml:space="preserve">For the dual-Tx case, for FDD LTE </w:t>
      </w:r>
      <w:proofErr w:type="spellStart"/>
      <w:r w:rsidRPr="00432BC1">
        <w:rPr>
          <w:rFonts w:eastAsia="MS Mincho"/>
          <w:i/>
          <w:szCs w:val="20"/>
          <w:lang w:eastAsia="zh-CN"/>
        </w:rPr>
        <w:t>Pcell</w:t>
      </w:r>
      <w:proofErr w:type="spellEnd"/>
      <w:r w:rsidRPr="00432BC1">
        <w:rPr>
          <w:rFonts w:eastAsia="MS Mincho"/>
          <w:i/>
          <w:szCs w:val="20"/>
          <w:lang w:eastAsia="zh-CN"/>
        </w:rPr>
        <w:t>,</w:t>
      </w:r>
    </w:p>
    <w:p w14:paraId="107D9F7A" w14:textId="77777777" w:rsidR="00432BC1" w:rsidRPr="00432BC1" w:rsidRDefault="00432BC1" w:rsidP="00432BC1">
      <w:pPr>
        <w:pStyle w:val="ListParagraph"/>
        <w:numPr>
          <w:ilvl w:val="1"/>
          <w:numId w:val="8"/>
        </w:numPr>
        <w:ind w:left="180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lang w:eastAsia="zh-CN"/>
        </w:rPr>
        <w:t xml:space="preserve">All uplink subframes can be scheduled for LTE at least for type 1 UEs </w:t>
      </w:r>
    </w:p>
    <w:p w14:paraId="3E5BCCF5" w14:textId="77777777" w:rsidR="00432BC1" w:rsidRPr="00432BC1" w:rsidRDefault="00432BC1" w:rsidP="00432BC1">
      <w:pPr>
        <w:pStyle w:val="ListParagraph"/>
        <w:numPr>
          <w:ilvl w:val="2"/>
          <w:numId w:val="8"/>
        </w:numPr>
        <w:ind w:left="252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lang w:eastAsia="zh-CN"/>
        </w:rPr>
        <w:t>Note: there is no change of UL scheduling timing for LTE</w:t>
      </w:r>
    </w:p>
    <w:p w14:paraId="62D2B156" w14:textId="77777777" w:rsidR="00432BC1" w:rsidRPr="00432BC1" w:rsidRDefault="00432BC1" w:rsidP="00432BC1">
      <w:pPr>
        <w:pStyle w:val="ListParagraph"/>
        <w:ind w:left="36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highlight w:val="green"/>
          <w:lang w:eastAsia="zh-CN"/>
        </w:rPr>
        <w:t>Agreements</w:t>
      </w:r>
      <w:r w:rsidRPr="00432BC1">
        <w:rPr>
          <w:rFonts w:eastAsia="MS Mincho"/>
          <w:i/>
          <w:szCs w:val="20"/>
          <w:lang w:eastAsia="zh-CN"/>
        </w:rPr>
        <w:t>:</w:t>
      </w:r>
    </w:p>
    <w:p w14:paraId="47EA2462" w14:textId="77777777" w:rsidR="00432BC1" w:rsidRPr="00432BC1" w:rsidRDefault="00432BC1" w:rsidP="00432BC1">
      <w:pPr>
        <w:pStyle w:val="ListParagraph"/>
        <w:numPr>
          <w:ilvl w:val="0"/>
          <w:numId w:val="8"/>
        </w:numPr>
        <w:ind w:left="108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i/>
          <w:szCs w:val="20"/>
          <w:lang w:eastAsia="zh-CN"/>
        </w:rPr>
        <w:t xml:space="preserve">Support new RRC signaling “tdm-PatternConfig-r16” to configure a UE with a DL-reference config to the MCG </w:t>
      </w:r>
      <w:proofErr w:type="spellStart"/>
      <w:r w:rsidRPr="00432BC1">
        <w:rPr>
          <w:rFonts w:eastAsia="MS Mincho"/>
          <w:i/>
          <w:szCs w:val="20"/>
          <w:lang w:eastAsia="zh-CN"/>
        </w:rPr>
        <w:t>PCell</w:t>
      </w:r>
      <w:proofErr w:type="spellEnd"/>
      <w:r w:rsidRPr="00432BC1">
        <w:rPr>
          <w:rFonts w:eastAsia="MS Mincho"/>
          <w:i/>
          <w:szCs w:val="20"/>
          <w:lang w:eastAsia="zh-CN"/>
        </w:rPr>
        <w:t xml:space="preserve"> (LTE FDD) according to Rel-16 behavior</w:t>
      </w:r>
    </w:p>
    <w:p w14:paraId="7C828BE7" w14:textId="77777777" w:rsidR="00432BC1" w:rsidRPr="00432BC1" w:rsidRDefault="00432BC1" w:rsidP="00432BC1">
      <w:pPr>
        <w:pStyle w:val="ListParagraph"/>
        <w:numPr>
          <w:ilvl w:val="0"/>
          <w:numId w:val="8"/>
        </w:numPr>
        <w:ind w:left="1080"/>
        <w:contextualSpacing w:val="0"/>
        <w:jc w:val="both"/>
        <w:rPr>
          <w:rFonts w:eastAsia="MS Mincho"/>
          <w:i/>
          <w:szCs w:val="20"/>
          <w:lang w:eastAsia="zh-CN"/>
        </w:rPr>
      </w:pPr>
      <w:r w:rsidRPr="00432BC1">
        <w:rPr>
          <w:rFonts w:eastAsia="MS Mincho"/>
          <w:bCs/>
          <w:i/>
          <w:szCs w:val="20"/>
          <w:lang w:eastAsia="zh-CN"/>
        </w:rPr>
        <w:t xml:space="preserve">FFS: Introduce a new per-BC capability bit for UE to indicate that DL de-sensing from Harmonic need to be handled by configuring DL-reference config to the LTE </w:t>
      </w:r>
      <w:proofErr w:type="spellStart"/>
      <w:r w:rsidRPr="00432BC1">
        <w:rPr>
          <w:rFonts w:eastAsia="MS Mincho"/>
          <w:bCs/>
          <w:i/>
          <w:szCs w:val="20"/>
          <w:lang w:eastAsia="zh-CN"/>
        </w:rPr>
        <w:t>PCell</w:t>
      </w:r>
      <w:proofErr w:type="spellEnd"/>
      <w:r w:rsidRPr="00432BC1">
        <w:rPr>
          <w:rFonts w:eastAsia="MS Mincho"/>
          <w:bCs/>
          <w:i/>
          <w:szCs w:val="20"/>
          <w:lang w:eastAsia="zh-CN"/>
        </w:rPr>
        <w:t xml:space="preserve"> and limit LTE UL transmissions to a subset of the subframes</w:t>
      </w:r>
    </w:p>
    <w:p w14:paraId="2B45F220" w14:textId="77777777" w:rsidR="00432BC1" w:rsidRDefault="00432BC1" w:rsidP="00B6502F">
      <w:pPr>
        <w:jc w:val="both"/>
      </w:pPr>
    </w:p>
    <w:p w14:paraId="4F554A9A" w14:textId="08D686E1" w:rsidR="00432BC1" w:rsidRDefault="00194614" w:rsidP="00765A99">
      <w:pPr>
        <w:jc w:val="both"/>
      </w:pPr>
      <w:r>
        <w:t>In 38.213, the above agreements were captured in sub-clause 7.6.1 as shown below</w:t>
      </w:r>
    </w:p>
    <w:p w14:paraId="29010955" w14:textId="27CFC012" w:rsidR="00194614" w:rsidRDefault="00194614" w:rsidP="00765A99">
      <w:pPr>
        <w:jc w:val="both"/>
      </w:pPr>
    </w:p>
    <w:p w14:paraId="07BEAD79" w14:textId="1562F1BB" w:rsidR="00194614" w:rsidRPr="00767D38" w:rsidRDefault="00194614" w:rsidP="00767D38">
      <w:pPr>
        <w:jc w:val="both"/>
      </w:pPr>
      <w:r>
        <w:t>“</w:t>
      </w:r>
    </w:p>
    <w:p w14:paraId="778E5C49" w14:textId="4E6EE978" w:rsidR="00194614" w:rsidRPr="00194614" w:rsidRDefault="00194614" w:rsidP="00194614">
      <w:pPr>
        <w:spacing w:after="180"/>
        <w:ind w:left="720"/>
        <w:rPr>
          <w:rFonts w:ascii="Arial" w:hAnsi="Arial" w:cs="Arial"/>
          <w:sz w:val="28"/>
          <w:szCs w:val="28"/>
          <w:lang w:val="en-GB"/>
        </w:rPr>
      </w:pPr>
      <w:r w:rsidRPr="00194614">
        <w:rPr>
          <w:rFonts w:ascii="Arial" w:hAnsi="Arial" w:cs="Arial"/>
          <w:sz w:val="28"/>
          <w:szCs w:val="28"/>
          <w:lang w:val="en-GB"/>
        </w:rPr>
        <w:t>7.6.1</w:t>
      </w:r>
      <w:r w:rsidRPr="00194614">
        <w:rPr>
          <w:rFonts w:ascii="Arial" w:hAnsi="Arial" w:cs="Arial"/>
          <w:sz w:val="28"/>
          <w:szCs w:val="28"/>
          <w:lang w:val="en-GB"/>
        </w:rPr>
        <w:tab/>
        <w:t>EN-DC</w:t>
      </w:r>
    </w:p>
    <w:p w14:paraId="071ED3B5" w14:textId="3911B660" w:rsidR="00194614" w:rsidRPr="00194614" w:rsidRDefault="00194614" w:rsidP="00194614">
      <w:pPr>
        <w:spacing w:after="180"/>
        <w:ind w:left="720"/>
        <w:rPr>
          <w:szCs w:val="20"/>
          <w:lang w:val="en-GB" w:eastAsia="ja-JP"/>
        </w:rPr>
      </w:pPr>
      <w:r w:rsidRPr="00194614">
        <w:rPr>
          <w:szCs w:val="20"/>
          <w:lang w:val="en-GB"/>
        </w:rPr>
        <w:t xml:space="preserve">If a UE is configured with a MCG using E-UTRA radio access and with a SCG using </w:t>
      </w:r>
      <w:r w:rsidRPr="00194614">
        <w:rPr>
          <w:szCs w:val="20"/>
          <w:lang w:val="en-GB" w:eastAsia="ja-JP"/>
        </w:rPr>
        <w:t xml:space="preserve">NR radio access, the UE is configured a maximum power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05981117" wp14:editId="35D464AA">
            <wp:extent cx="280035" cy="184785"/>
            <wp:effectExtent l="0" t="0" r="0" b="5715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 w:eastAsia="ja-JP"/>
        </w:rPr>
        <w:t xml:space="preserve"> for transmissions on the MCG by </w:t>
      </w:r>
      <w:r w:rsidRPr="00194614">
        <w:rPr>
          <w:i/>
          <w:szCs w:val="20"/>
          <w:lang w:val="en-GB" w:eastAsia="ja-JP"/>
        </w:rPr>
        <w:t>p-</w:t>
      </w:r>
      <w:proofErr w:type="spellStart"/>
      <w:r w:rsidRPr="00194614">
        <w:rPr>
          <w:i/>
          <w:szCs w:val="20"/>
          <w:lang w:val="en-GB" w:eastAsia="ja-JP"/>
        </w:rPr>
        <w:t>MaxEUTRA</w:t>
      </w:r>
      <w:proofErr w:type="spellEnd"/>
      <w:r w:rsidRPr="00194614">
        <w:rPr>
          <w:szCs w:val="20"/>
          <w:lang w:val="en-GB" w:eastAsia="ja-JP"/>
        </w:rPr>
        <w:t xml:space="preserve"> and a maximum power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3026A846" wp14:editId="56124917">
            <wp:extent cx="280035" cy="184785"/>
            <wp:effectExtent l="0" t="0" r="0" b="5715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/>
        </w:rPr>
        <w:t xml:space="preserve"> </w:t>
      </w:r>
      <w:r w:rsidRPr="00194614">
        <w:rPr>
          <w:szCs w:val="20"/>
          <w:lang w:val="en-GB" w:eastAsia="ja-JP"/>
        </w:rPr>
        <w:t xml:space="preserve">for transmissions in FR1 on the SCG by </w:t>
      </w:r>
      <w:r w:rsidRPr="00194614">
        <w:rPr>
          <w:i/>
          <w:szCs w:val="20"/>
          <w:lang w:val="en-GB" w:eastAsia="ja-JP"/>
        </w:rPr>
        <w:t>p-NR-FR1</w:t>
      </w:r>
      <w:r w:rsidRPr="00194614">
        <w:rPr>
          <w:szCs w:val="20"/>
          <w:lang w:val="en-GB" w:eastAsia="ja-JP"/>
        </w:rPr>
        <w:t xml:space="preserve">. </w:t>
      </w:r>
    </w:p>
    <w:p w14:paraId="44AC88EA" w14:textId="77777777" w:rsidR="00194614" w:rsidRPr="00194614" w:rsidRDefault="00194614" w:rsidP="00194614">
      <w:pPr>
        <w:spacing w:after="180"/>
        <w:ind w:left="720"/>
        <w:rPr>
          <w:szCs w:val="20"/>
          <w:lang w:val="en-GB" w:eastAsia="ja-JP"/>
        </w:rPr>
      </w:pPr>
      <w:r w:rsidRPr="00194614">
        <w:rPr>
          <w:szCs w:val="20"/>
          <w:lang w:eastAsia="zh-CN"/>
        </w:rPr>
        <w:t>T</w:t>
      </w:r>
      <w:r w:rsidRPr="00194614">
        <w:rPr>
          <w:szCs w:val="20"/>
          <w:lang w:val="en-GB"/>
        </w:rPr>
        <w:t xml:space="preserve">he UE determines a transmission power for the MCG as described in [13, TS 36.213] </w:t>
      </w:r>
      <w:r w:rsidRPr="00194614">
        <w:rPr>
          <w:szCs w:val="20"/>
        </w:rPr>
        <w:t xml:space="preserve">using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168AD206" wp14:editId="66A7DB69">
            <wp:extent cx="280035" cy="184785"/>
            <wp:effectExtent l="0" t="0" r="0" b="5715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</w:rPr>
        <w:t xml:space="preserve"> as the maximum transmission power. The UE determines</w:t>
      </w:r>
      <w:r w:rsidRPr="00194614">
        <w:rPr>
          <w:szCs w:val="20"/>
          <w:lang w:val="en-GB"/>
        </w:rPr>
        <w:t xml:space="preserve"> transmission power for the SCG </w:t>
      </w:r>
      <w:r w:rsidRPr="00194614">
        <w:rPr>
          <w:szCs w:val="20"/>
          <w:lang w:val="en-GB" w:eastAsia="ja-JP"/>
        </w:rPr>
        <w:t>in FR1</w:t>
      </w:r>
      <w:r w:rsidRPr="00194614">
        <w:rPr>
          <w:szCs w:val="20"/>
          <w:lang w:val="en-GB"/>
        </w:rPr>
        <w:t xml:space="preserve"> as described Clauses 7.1 through 7.5</w:t>
      </w:r>
      <w:r w:rsidRPr="00194614">
        <w:rPr>
          <w:szCs w:val="20"/>
        </w:rPr>
        <w:t xml:space="preserve"> using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509943EE" wp14:editId="22CFD3CF">
            <wp:extent cx="280035" cy="184785"/>
            <wp:effectExtent l="0" t="0" r="0" b="5715"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</w:rPr>
        <w:t xml:space="preserve"> as the maximum transmission power. The UE determines</w:t>
      </w:r>
      <w:r w:rsidRPr="00194614">
        <w:rPr>
          <w:szCs w:val="20"/>
          <w:lang w:val="en-GB"/>
        </w:rPr>
        <w:t xml:space="preserve"> transmission power for the SCG in </w:t>
      </w:r>
      <w:r w:rsidRPr="00194614">
        <w:rPr>
          <w:szCs w:val="20"/>
          <w:lang w:val="en-GB" w:eastAsia="ja-JP"/>
        </w:rPr>
        <w:t>FR</w:t>
      </w:r>
      <w:r w:rsidRPr="00194614">
        <w:rPr>
          <w:szCs w:val="20"/>
          <w:lang w:val="en-GB"/>
        </w:rPr>
        <w:t>2 as described Clauses 7.1 through 7.5.</w:t>
      </w:r>
    </w:p>
    <w:p w14:paraId="2A0D61C2" w14:textId="77777777" w:rsidR="00194614" w:rsidRPr="00194614" w:rsidRDefault="00194614" w:rsidP="00194614">
      <w:pPr>
        <w:spacing w:after="180"/>
        <w:ind w:left="720"/>
        <w:rPr>
          <w:szCs w:val="20"/>
          <w:lang w:val="en-GB" w:eastAsia="ja-JP"/>
        </w:rPr>
      </w:pPr>
      <w:r w:rsidRPr="00194614">
        <w:rPr>
          <w:szCs w:val="20"/>
          <w:lang w:val="en-GB" w:eastAsia="ja-JP"/>
        </w:rPr>
        <w:t xml:space="preserve">A UE </w:t>
      </w:r>
      <w:r w:rsidRPr="00194614">
        <w:rPr>
          <w:szCs w:val="20"/>
          <w:lang w:val="en-GB" w:eastAsia="x-none"/>
        </w:rPr>
        <w:t xml:space="preserve">does not expect to be configured </w:t>
      </w:r>
      <w:r w:rsidRPr="00194614">
        <w:rPr>
          <w:szCs w:val="20"/>
          <w:lang w:val="en-GB"/>
        </w:rPr>
        <w:t xml:space="preserve">for operation with shortened TTI and/or processing time [13, TS 36.213] </w:t>
      </w:r>
      <w:r w:rsidRPr="00194614">
        <w:rPr>
          <w:szCs w:val="20"/>
          <w:lang w:val="en-GB" w:eastAsia="x-none"/>
        </w:rPr>
        <w:t>on a cell that is included in an EN-DC configuration.</w:t>
      </w:r>
    </w:p>
    <w:p w14:paraId="5E6C26C4" w14:textId="77777777" w:rsidR="00194614" w:rsidRPr="00194614" w:rsidRDefault="00194614" w:rsidP="00194614">
      <w:pPr>
        <w:spacing w:after="180"/>
        <w:ind w:left="720"/>
        <w:rPr>
          <w:szCs w:val="20"/>
          <w:lang w:val="en-GB" w:eastAsia="ja-JP"/>
        </w:rPr>
      </w:pPr>
      <w:r w:rsidRPr="00194614">
        <w:rPr>
          <w:szCs w:val="20"/>
          <w:lang w:val="en-GB" w:eastAsia="ja-JP"/>
        </w:rPr>
        <w:t xml:space="preserve">If a UE is configured with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19FD7794" wp14:editId="2BE13844">
            <wp:extent cx="1009650" cy="184785"/>
            <wp:effectExtent l="0" t="0" r="0" b="5715"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/>
        </w:rPr>
        <w:t xml:space="preserve">, where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7A3857D3" wp14:editId="5E8E32A9">
            <wp:extent cx="280035" cy="184785"/>
            <wp:effectExtent l="0" t="0" r="5715" b="5715"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 w:eastAsia="zh-CN"/>
        </w:rPr>
        <w:t xml:space="preserve"> is the linear value</w:t>
      </w:r>
      <w:r w:rsidRPr="00194614">
        <w:rPr>
          <w:szCs w:val="20"/>
          <w:lang w:val="en-GB" w:eastAsia="ja-JP"/>
        </w:rPr>
        <w:t xml:space="preserve"> of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103A64B9" wp14:editId="2B36D331">
            <wp:extent cx="280035" cy="184785"/>
            <wp:effectExtent l="0" t="0" r="0" b="5715"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/>
        </w:rPr>
        <w:t xml:space="preserve">,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7150CB4D" wp14:editId="43943445">
            <wp:extent cx="184785" cy="184785"/>
            <wp:effectExtent l="0" t="0" r="5715" b="5715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 w:eastAsia="zh-CN"/>
        </w:rPr>
        <w:t xml:space="preserve"> is the linear value</w:t>
      </w:r>
      <w:r w:rsidRPr="00194614">
        <w:rPr>
          <w:szCs w:val="20"/>
          <w:lang w:val="en-GB" w:eastAsia="ja-JP"/>
        </w:rPr>
        <w:t xml:space="preserve"> of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27A6191A" wp14:editId="2A1DD2B6">
            <wp:extent cx="184785" cy="184785"/>
            <wp:effectExtent l="0" t="0" r="5715" b="5715"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/>
        </w:rPr>
        <w:t>, and</w:t>
      </w:r>
      <w:r w:rsidRPr="00194614">
        <w:rPr>
          <w:szCs w:val="20"/>
          <w:lang w:val="en-GB" w:eastAsia="zh-CN"/>
        </w:rPr>
        <w:t xml:space="preserve">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552968E8" wp14:editId="30AA6F7D">
            <wp:extent cx="354330" cy="184785"/>
            <wp:effectExtent l="0" t="0" r="7620" b="5715"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/>
        </w:rPr>
        <w:t xml:space="preserve"> </w:t>
      </w:r>
      <w:r w:rsidRPr="00194614">
        <w:rPr>
          <w:szCs w:val="20"/>
          <w:lang w:val="en-GB" w:eastAsia="zh-CN"/>
        </w:rPr>
        <w:t xml:space="preserve">is the linear value of </w:t>
      </w:r>
      <w:r w:rsidRPr="00194614">
        <w:rPr>
          <w:szCs w:val="20"/>
          <w:lang w:eastAsia="zh-CN"/>
        </w:rPr>
        <w:t>a</w:t>
      </w:r>
      <w:r w:rsidRPr="00194614">
        <w:rPr>
          <w:szCs w:val="20"/>
          <w:lang w:val="en-GB" w:eastAsia="zh-CN"/>
        </w:rPr>
        <w:t xml:space="preserve"> </w:t>
      </w:r>
      <w:r w:rsidRPr="00194614">
        <w:rPr>
          <w:szCs w:val="20"/>
          <w:lang w:val="en-GB"/>
        </w:rPr>
        <w:t xml:space="preserve">configured </w:t>
      </w:r>
      <w:r w:rsidRPr="00194614">
        <w:rPr>
          <w:szCs w:val="20"/>
          <w:lang w:val="en-GB" w:eastAsia="zh-CN"/>
        </w:rPr>
        <w:t xml:space="preserve">maximum </w:t>
      </w:r>
      <w:r w:rsidRPr="00194614">
        <w:rPr>
          <w:szCs w:val="20"/>
          <w:lang w:eastAsia="zh-CN"/>
        </w:rPr>
        <w:t>transmission</w:t>
      </w:r>
      <w:r w:rsidRPr="00194614">
        <w:rPr>
          <w:szCs w:val="20"/>
          <w:lang w:val="en-GB"/>
        </w:rPr>
        <w:t xml:space="preserve"> power </w:t>
      </w:r>
      <w:r w:rsidRPr="00194614">
        <w:rPr>
          <w:szCs w:val="20"/>
        </w:rPr>
        <w:t xml:space="preserve">for EN-DC operation </w:t>
      </w:r>
      <w:r w:rsidRPr="00194614">
        <w:rPr>
          <w:szCs w:val="20"/>
          <w:lang w:val="en-GB"/>
        </w:rPr>
        <w:t xml:space="preserve">as </w:t>
      </w:r>
      <w:r w:rsidRPr="00194614">
        <w:rPr>
          <w:iCs/>
          <w:szCs w:val="20"/>
          <w:lang w:val="en-GB"/>
        </w:rPr>
        <w:t xml:space="preserve">defined in </w:t>
      </w:r>
      <w:r w:rsidRPr="00194614">
        <w:rPr>
          <w:szCs w:val="20"/>
          <w:lang w:val="en-GB"/>
        </w:rPr>
        <w:t xml:space="preserve">[8-3, TS 38.101-3] for FR1, </w:t>
      </w:r>
      <w:r w:rsidRPr="00194614">
        <w:rPr>
          <w:szCs w:val="20"/>
          <w:lang w:val="en-GB" w:eastAsia="ja-JP"/>
        </w:rPr>
        <w:t>the UE determines a transmission power for the SCG as follows.</w:t>
      </w:r>
    </w:p>
    <w:p w14:paraId="76181E7E" w14:textId="77777777" w:rsidR="00194614" w:rsidRPr="00194614" w:rsidRDefault="00194614" w:rsidP="00194614">
      <w:pPr>
        <w:spacing w:after="180"/>
        <w:ind w:left="1288" w:hanging="284"/>
        <w:rPr>
          <w:rFonts w:eastAsia="Calibri"/>
          <w:szCs w:val="20"/>
        </w:rPr>
      </w:pPr>
      <w:r w:rsidRPr="00194614">
        <w:rPr>
          <w:rFonts w:eastAsia="Calibri"/>
          <w:szCs w:val="20"/>
          <w:lang w:val="x-none" w:eastAsia="ja-JP"/>
        </w:rPr>
        <w:lastRenderedPageBreak/>
        <w:t>-</w:t>
      </w:r>
      <w:r w:rsidRPr="00194614">
        <w:rPr>
          <w:rFonts w:eastAsia="Calibri"/>
          <w:szCs w:val="20"/>
          <w:lang w:val="x-none" w:eastAsia="ja-JP"/>
        </w:rPr>
        <w:tab/>
        <w:t xml:space="preserve">If the UE </w:t>
      </w:r>
      <w:r w:rsidRPr="00194614">
        <w:rPr>
          <w:rFonts w:eastAsia="Calibri"/>
          <w:szCs w:val="20"/>
          <w:lang w:eastAsia="ja-JP"/>
        </w:rPr>
        <w:t xml:space="preserve">is </w:t>
      </w:r>
      <w:r w:rsidRPr="00194614">
        <w:rPr>
          <w:rFonts w:eastAsia="Calibri"/>
          <w:szCs w:val="20"/>
          <w:lang w:val="x-none" w:eastAsia="zh-CN"/>
        </w:rPr>
        <w:t>configured</w:t>
      </w:r>
      <w:r w:rsidRPr="00194614">
        <w:rPr>
          <w:rFonts w:eastAsia="Calibri"/>
          <w:szCs w:val="20"/>
          <w:lang w:val="x-none"/>
        </w:rPr>
        <w:t xml:space="preserve"> </w:t>
      </w:r>
      <w:r w:rsidRPr="00194614">
        <w:rPr>
          <w:rFonts w:eastAsia="Calibri"/>
          <w:szCs w:val="20"/>
          <w:lang w:val="x-none" w:eastAsia="zh-CN"/>
        </w:rPr>
        <w:t xml:space="preserve">with </w:t>
      </w:r>
      <w:r w:rsidRPr="00194614">
        <w:rPr>
          <w:rFonts w:eastAsia="Calibri"/>
          <w:szCs w:val="20"/>
          <w:lang w:val="x-none"/>
        </w:rPr>
        <w:t>reference TDD configuration</w:t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for E-UTRA (by </w:t>
      </w:r>
      <w:r w:rsidRPr="00194614">
        <w:rPr>
          <w:rFonts w:eastAsia="Calibri"/>
          <w:i/>
          <w:iCs/>
          <w:szCs w:val="20"/>
          <w:lang w:val="x-none" w:eastAsia="zh-CN"/>
        </w:rPr>
        <w:t>tdm-PatternConfig-r15</w:t>
      </w:r>
      <w:r w:rsidRPr="00194614">
        <w:rPr>
          <w:rFonts w:eastAsia="Calibri"/>
          <w:szCs w:val="20"/>
          <w:lang w:eastAsia="zh-CN"/>
        </w:rPr>
        <w:t xml:space="preserve"> or by </w:t>
      </w:r>
      <w:r w:rsidRPr="00194614">
        <w:rPr>
          <w:rFonts w:eastAsia="Calibri"/>
          <w:i/>
          <w:iCs/>
          <w:szCs w:val="20"/>
          <w:lang w:val="x-none" w:eastAsia="zh-CN"/>
        </w:rPr>
        <w:t>tdm-PatternConfig-r16</w:t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in </w:t>
      </w:r>
      <w:r w:rsidRPr="00194614">
        <w:rPr>
          <w:rFonts w:eastAsia="Calibri"/>
          <w:szCs w:val="20"/>
          <w:lang w:val="x-none" w:eastAsia="zh-CN"/>
        </w:rPr>
        <w:t>[13, TS 36.213]</w:t>
      </w:r>
      <w:r w:rsidRPr="00194614">
        <w:rPr>
          <w:rFonts w:eastAsia="Calibri"/>
          <w:szCs w:val="20"/>
          <w:lang w:eastAsia="zh-CN"/>
        </w:rPr>
        <w:t>)</w:t>
      </w:r>
    </w:p>
    <w:p w14:paraId="1656BA31" w14:textId="77777777" w:rsidR="00194614" w:rsidRPr="00194614" w:rsidRDefault="00194614" w:rsidP="00194614">
      <w:pPr>
        <w:spacing w:after="180"/>
        <w:ind w:left="1571" w:hanging="284"/>
        <w:rPr>
          <w:rFonts w:eastAsia="Calibri"/>
          <w:szCs w:val="20"/>
          <w:lang w:val="x-none"/>
        </w:rPr>
      </w:pPr>
      <w:r w:rsidRPr="00194614">
        <w:rPr>
          <w:rFonts w:eastAsia="Calibri"/>
          <w:szCs w:val="20"/>
        </w:rPr>
        <w:t>-</w:t>
      </w:r>
      <w:r w:rsidRPr="00194614">
        <w:rPr>
          <w:rFonts w:eastAsia="Calibri"/>
          <w:szCs w:val="20"/>
        </w:rPr>
        <w:tab/>
        <w:t xml:space="preserve">If the UE does </w:t>
      </w:r>
      <w:r w:rsidRPr="00194614">
        <w:rPr>
          <w:rFonts w:eastAsia="Calibri"/>
          <w:szCs w:val="20"/>
          <w:lang w:val="x-none" w:eastAsia="ja-JP"/>
        </w:rPr>
        <w:t>not indicate a capability for dynamic power sharing</w:t>
      </w:r>
      <w:r w:rsidRPr="00194614">
        <w:rPr>
          <w:rFonts w:eastAsia="Calibri"/>
          <w:szCs w:val="20"/>
          <w:lang w:eastAsia="ja-JP"/>
        </w:rPr>
        <w:t xml:space="preserve"> between E-UTRA and NR for EN-DC, </w:t>
      </w:r>
      <w:proofErr w:type="spellStart"/>
      <w:r w:rsidRPr="00194614">
        <w:rPr>
          <w:rFonts w:eastAsia="Calibri"/>
          <w:szCs w:val="20"/>
        </w:rPr>
        <w:t>t</w:t>
      </w:r>
      <w:r w:rsidRPr="00194614">
        <w:rPr>
          <w:rFonts w:eastAsia="Calibri"/>
          <w:szCs w:val="20"/>
          <w:lang w:val="x-none"/>
        </w:rPr>
        <w:t>he</w:t>
      </w:r>
      <w:proofErr w:type="spellEnd"/>
      <w:r w:rsidRPr="00194614">
        <w:rPr>
          <w:rFonts w:eastAsia="Calibri"/>
          <w:szCs w:val="20"/>
          <w:lang w:val="x-none"/>
        </w:rPr>
        <w:t xml:space="preserve"> UE </w:t>
      </w:r>
      <w:r w:rsidRPr="00194614">
        <w:rPr>
          <w:rFonts w:eastAsia="Calibri"/>
          <w:szCs w:val="20"/>
          <w:lang w:eastAsia="zh-CN"/>
        </w:rPr>
        <w:t>does</w:t>
      </w:r>
      <w:r w:rsidRPr="00194614">
        <w:rPr>
          <w:rFonts w:eastAsia="Calibri"/>
          <w:szCs w:val="20"/>
          <w:lang w:val="x-none" w:eastAsia="zh-CN"/>
        </w:rPr>
        <w:t xml:space="preserve"> not transmit</w:t>
      </w:r>
      <w:r w:rsidRPr="00194614">
        <w:rPr>
          <w:rFonts w:eastAsia="Calibri"/>
          <w:szCs w:val="20"/>
          <w:lang w:val="x-none"/>
        </w:rPr>
        <w:t xml:space="preserve"> in a slot on the SCG</w:t>
      </w:r>
      <w:r w:rsidRPr="00194614">
        <w:rPr>
          <w:rFonts w:eastAsia="Calibri"/>
          <w:szCs w:val="20"/>
        </w:rPr>
        <w:t xml:space="preserve"> in FR1</w:t>
      </w:r>
      <w:r w:rsidRPr="00194614">
        <w:rPr>
          <w:rFonts w:eastAsia="Calibri"/>
          <w:szCs w:val="20"/>
          <w:lang w:val="x-none"/>
        </w:rPr>
        <w:t xml:space="preserve"> </w:t>
      </w:r>
      <w:r w:rsidRPr="00194614">
        <w:rPr>
          <w:rFonts w:eastAsia="Calibri"/>
          <w:szCs w:val="20"/>
        </w:rPr>
        <w:t>when</w:t>
      </w:r>
      <w:r w:rsidRPr="00194614">
        <w:rPr>
          <w:rFonts w:eastAsia="Calibri"/>
          <w:szCs w:val="20"/>
          <w:lang w:val="x-none"/>
        </w:rPr>
        <w:t xml:space="preserve"> a corresponding subframe on the MCG </w:t>
      </w:r>
      <w:r w:rsidRPr="00194614">
        <w:rPr>
          <w:rFonts w:eastAsia="Calibri"/>
          <w:szCs w:val="20"/>
          <w:lang w:val="x-none" w:eastAsia="zh-CN"/>
        </w:rPr>
        <w:t>is an</w:t>
      </w:r>
      <w:r w:rsidRPr="00194614">
        <w:rPr>
          <w:rFonts w:eastAsia="Calibri"/>
          <w:szCs w:val="20"/>
          <w:lang w:val="x-none"/>
        </w:rPr>
        <w:t xml:space="preserve"> UL </w:t>
      </w:r>
      <w:r w:rsidRPr="00194614">
        <w:rPr>
          <w:rFonts w:eastAsia="Calibri"/>
          <w:szCs w:val="20"/>
          <w:lang w:val="x-none" w:eastAsia="zh-CN"/>
        </w:rPr>
        <w:t xml:space="preserve">subframe </w:t>
      </w:r>
      <w:r w:rsidRPr="00194614">
        <w:rPr>
          <w:rFonts w:eastAsia="Calibri"/>
          <w:szCs w:val="20"/>
          <w:lang w:val="x-none"/>
        </w:rPr>
        <w:t>in the reference TDD configuration.</w:t>
      </w:r>
    </w:p>
    <w:p w14:paraId="1831AB5E" w14:textId="77777777" w:rsidR="00194614" w:rsidRPr="00194614" w:rsidRDefault="00194614" w:rsidP="00194614">
      <w:pPr>
        <w:spacing w:after="180"/>
        <w:ind w:left="1571" w:hanging="284"/>
        <w:rPr>
          <w:rFonts w:eastAsia="Calibri"/>
          <w:szCs w:val="20"/>
          <w:lang w:val="x-none"/>
        </w:rPr>
      </w:pPr>
      <w:r w:rsidRPr="00194614">
        <w:rPr>
          <w:rFonts w:eastAsia="Calibri"/>
          <w:szCs w:val="20"/>
        </w:rPr>
        <w:t>-</w:t>
      </w:r>
      <w:r w:rsidRPr="00194614">
        <w:rPr>
          <w:rFonts w:eastAsia="Calibri"/>
          <w:szCs w:val="20"/>
        </w:rPr>
        <w:tab/>
      </w:r>
      <w:r w:rsidRPr="00194614">
        <w:rPr>
          <w:rFonts w:eastAsia="Calibri"/>
          <w:szCs w:val="20"/>
          <w:highlight w:val="cyan"/>
        </w:rPr>
        <w:t xml:space="preserve">If </w:t>
      </w:r>
      <w:r w:rsidRPr="00194614">
        <w:rPr>
          <w:rFonts w:eastAsia="Calibri"/>
          <w:szCs w:val="20"/>
          <w:highlight w:val="cyan"/>
          <w:lang w:val="x-none"/>
        </w:rPr>
        <w:t xml:space="preserve">the UE indicates a capability for dynamic power sharing between E-UTRA and NR for EN-DC, and does not indicate a capability </w:t>
      </w:r>
      <w:proofErr w:type="spellStart"/>
      <w:r w:rsidRPr="00194614">
        <w:rPr>
          <w:rFonts w:eastAsia="Calibri"/>
          <w:i/>
          <w:iCs/>
          <w:szCs w:val="20"/>
          <w:highlight w:val="cyan"/>
          <w:lang w:val="x-none"/>
        </w:rPr>
        <w:t>tdm</w:t>
      </w:r>
      <w:proofErr w:type="spellEnd"/>
      <w:r w:rsidRPr="00194614">
        <w:rPr>
          <w:rFonts w:eastAsia="Calibri"/>
          <w:i/>
          <w:iCs/>
          <w:szCs w:val="20"/>
          <w:highlight w:val="cyan"/>
          <w:lang w:val="x-none"/>
        </w:rPr>
        <w:t>-Pattern-</w:t>
      </w:r>
      <w:proofErr w:type="spellStart"/>
      <w:r w:rsidRPr="00194614">
        <w:rPr>
          <w:rFonts w:eastAsia="Calibri"/>
          <w:i/>
          <w:iCs/>
          <w:szCs w:val="20"/>
          <w:highlight w:val="cyan"/>
          <w:lang w:val="x-none"/>
        </w:rPr>
        <w:t>dualTx</w:t>
      </w:r>
      <w:proofErr w:type="spellEnd"/>
      <w:r w:rsidRPr="00194614">
        <w:rPr>
          <w:rFonts w:eastAsia="Calibri"/>
          <w:szCs w:val="20"/>
          <w:highlight w:val="cyan"/>
          <w:lang w:val="x-none"/>
        </w:rPr>
        <w:t xml:space="preserve"> in [16, TS 38.306], and is configured with </w:t>
      </w:r>
      <w:r w:rsidRPr="00194614">
        <w:rPr>
          <w:rFonts w:eastAsia="Calibri"/>
          <w:i/>
          <w:iCs/>
          <w:szCs w:val="20"/>
          <w:highlight w:val="cyan"/>
          <w:lang w:val="x-none"/>
        </w:rPr>
        <w:t>tdm-PatternConfig-r16</w:t>
      </w:r>
      <w:r w:rsidRPr="00194614">
        <w:rPr>
          <w:rFonts w:eastAsia="Calibri"/>
          <w:szCs w:val="20"/>
          <w:highlight w:val="cyan"/>
          <w:lang w:val="x-none"/>
        </w:rPr>
        <w:t>, the UE does not transmit on the SCG in FR1 when the UE has overlapped transmission on a subframe on the MCG.</w:t>
      </w:r>
    </w:p>
    <w:p w14:paraId="4487E627" w14:textId="77777777" w:rsidR="00194614" w:rsidRPr="00194614" w:rsidRDefault="00194614" w:rsidP="00194614">
      <w:pPr>
        <w:spacing w:after="180"/>
        <w:ind w:left="1288" w:hanging="284"/>
        <w:rPr>
          <w:rFonts w:eastAsia="Calibri"/>
          <w:szCs w:val="20"/>
        </w:rPr>
      </w:pPr>
      <w:r w:rsidRPr="00194614">
        <w:rPr>
          <w:rFonts w:eastAsia="Calibri"/>
          <w:szCs w:val="20"/>
          <w:lang w:val="x-none" w:eastAsia="ja-JP"/>
        </w:rPr>
        <w:t>-</w:t>
      </w:r>
      <w:r w:rsidRPr="00194614">
        <w:rPr>
          <w:rFonts w:eastAsia="Calibri"/>
          <w:szCs w:val="20"/>
          <w:lang w:val="x-none" w:eastAsia="ja-JP"/>
        </w:rPr>
        <w:tab/>
        <w:t>If the UE indicate</w:t>
      </w:r>
      <w:r w:rsidRPr="00194614">
        <w:rPr>
          <w:rFonts w:eastAsia="Calibri"/>
          <w:szCs w:val="20"/>
          <w:lang w:eastAsia="ja-JP"/>
        </w:rPr>
        <w:t>s</w:t>
      </w:r>
      <w:r w:rsidRPr="00194614">
        <w:rPr>
          <w:rFonts w:eastAsia="Calibri"/>
          <w:szCs w:val="20"/>
          <w:lang w:val="x-none" w:eastAsia="ja-JP"/>
        </w:rPr>
        <w:t xml:space="preserve"> a capability for dynamic power sharing</w:t>
      </w:r>
      <w:r w:rsidRPr="00194614">
        <w:rPr>
          <w:rFonts w:eastAsia="Calibri"/>
          <w:szCs w:val="20"/>
          <w:lang w:eastAsia="ja-JP"/>
        </w:rPr>
        <w:t xml:space="preserve"> between E-UTRA and NR for EN-DC and</w:t>
      </w:r>
    </w:p>
    <w:p w14:paraId="2C953811" w14:textId="77777777" w:rsidR="00194614" w:rsidRPr="00194614" w:rsidRDefault="00194614" w:rsidP="00194614">
      <w:pPr>
        <w:spacing w:after="180"/>
        <w:ind w:left="1571" w:hanging="284"/>
        <w:rPr>
          <w:rFonts w:eastAsia="Calibri"/>
          <w:szCs w:val="20"/>
        </w:rPr>
      </w:pPr>
      <w:r w:rsidRPr="00194614">
        <w:rPr>
          <w:rFonts w:eastAsia="Calibri"/>
          <w:szCs w:val="20"/>
        </w:rPr>
        <w:t>-</w:t>
      </w:r>
      <w:r w:rsidRPr="00194614">
        <w:rPr>
          <w:rFonts w:eastAsia="Calibri"/>
          <w:szCs w:val="20"/>
        </w:rPr>
        <w:tab/>
        <w:t xml:space="preserve">if UE transmission(s) in subframe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1583D4C5" wp14:editId="7D86528B">
            <wp:extent cx="95250" cy="184785"/>
            <wp:effectExtent l="0" t="0" r="0" b="5715"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of the MCG overlap in time with UE transmission(s) in 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25199B8E" wp14:editId="62715034">
            <wp:extent cx="95250" cy="184785"/>
            <wp:effectExtent l="0" t="0" r="0" b="5715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of the SCG in FR1, and</w:t>
      </w:r>
    </w:p>
    <w:p w14:paraId="7394AC1B" w14:textId="77777777" w:rsidR="00194614" w:rsidRPr="00194614" w:rsidRDefault="00194614" w:rsidP="00194614">
      <w:pPr>
        <w:spacing w:after="180"/>
        <w:ind w:left="1571" w:hanging="284"/>
        <w:rPr>
          <w:rFonts w:eastAsia="Calibri"/>
          <w:szCs w:val="20"/>
        </w:rPr>
      </w:pPr>
      <w:r w:rsidRPr="00194614">
        <w:rPr>
          <w:rFonts w:eastAsia="Calibri"/>
          <w:szCs w:val="20"/>
        </w:rPr>
        <w:t>-</w:t>
      </w:r>
      <w:r w:rsidRPr="00194614">
        <w:rPr>
          <w:rFonts w:eastAsia="Calibri"/>
          <w:szCs w:val="20"/>
        </w:rPr>
        <w:tab/>
        <w:t xml:space="preserve">if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301ECEE2" wp14:editId="28F36E79">
            <wp:extent cx="1474470" cy="184785"/>
            <wp:effectExtent l="0" t="0" r="0" b="5715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in any portion of </w:t>
      </w:r>
      <w:r w:rsidRPr="00194614">
        <w:rPr>
          <w:rFonts w:eastAsia="Calibri"/>
          <w:szCs w:val="20"/>
          <w:lang w:eastAsia="zh-CN"/>
        </w:rPr>
        <w:t xml:space="preserve">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1DE1DE8B" wp14:editId="7D233204">
            <wp:extent cx="95250" cy="184785"/>
            <wp:effectExtent l="0" t="0" r="0" b="5715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of the SCG</w:t>
      </w:r>
      <w:r w:rsidRPr="00194614">
        <w:rPr>
          <w:rFonts w:eastAsia="Calibri"/>
          <w:szCs w:val="20"/>
          <w:lang w:val="x-none" w:eastAsia="zh-CN"/>
        </w:rPr>
        <w:t xml:space="preserve">, </w:t>
      </w:r>
    </w:p>
    <w:p w14:paraId="299B7009" w14:textId="77777777" w:rsidR="00194614" w:rsidRPr="00194614" w:rsidRDefault="00194614" w:rsidP="00194614">
      <w:pPr>
        <w:spacing w:after="180"/>
        <w:ind w:left="1571" w:hanging="284"/>
        <w:rPr>
          <w:rFonts w:eastAsia="Calibri"/>
          <w:szCs w:val="20"/>
        </w:rPr>
      </w:pPr>
      <w:r w:rsidRPr="00194614">
        <w:rPr>
          <w:rFonts w:eastAsia="Calibri"/>
          <w:szCs w:val="20"/>
          <w:lang w:val="x-none"/>
        </w:rPr>
        <w:tab/>
        <w:t xml:space="preserve">the UE </w:t>
      </w:r>
      <w:r w:rsidRPr="00194614">
        <w:rPr>
          <w:rFonts w:eastAsia="Calibri"/>
          <w:szCs w:val="20"/>
          <w:lang w:val="x-none" w:eastAsia="zh-CN"/>
        </w:rPr>
        <w:t xml:space="preserve">reduces </w:t>
      </w:r>
      <w:r w:rsidRPr="00194614">
        <w:rPr>
          <w:rFonts w:eastAsia="Calibri"/>
          <w:szCs w:val="20"/>
          <w:lang w:eastAsia="zh-CN"/>
        </w:rPr>
        <w:t>transmission power</w:t>
      </w:r>
      <w:r w:rsidRPr="00194614">
        <w:rPr>
          <w:rFonts w:eastAsia="Calibri"/>
          <w:szCs w:val="20"/>
          <w:lang w:val="x-none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in any </w:t>
      </w:r>
      <w:r w:rsidRPr="00194614">
        <w:rPr>
          <w:rFonts w:eastAsia="Calibri"/>
          <w:szCs w:val="20"/>
        </w:rPr>
        <w:t xml:space="preserve">portion of </w:t>
      </w:r>
      <w:r w:rsidRPr="00194614">
        <w:rPr>
          <w:rFonts w:eastAsia="Calibri"/>
          <w:szCs w:val="20"/>
          <w:lang w:eastAsia="zh-CN"/>
        </w:rPr>
        <w:t xml:space="preserve">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4A42B425" wp14:editId="7C05D078">
            <wp:extent cx="95250" cy="184785"/>
            <wp:effectExtent l="0" t="0" r="0" b="5715"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</w:t>
      </w:r>
      <w:r w:rsidRPr="00194614">
        <w:rPr>
          <w:rFonts w:eastAsia="Calibri"/>
          <w:szCs w:val="20"/>
          <w:lang w:val="x-none" w:eastAsia="zh-CN"/>
        </w:rPr>
        <w:t>o</w:t>
      </w:r>
      <w:r w:rsidRPr="00194614">
        <w:rPr>
          <w:rFonts w:eastAsia="Calibri"/>
          <w:szCs w:val="20"/>
          <w:lang w:eastAsia="zh-CN"/>
        </w:rPr>
        <w:t>f</w:t>
      </w:r>
      <w:r w:rsidRPr="00194614">
        <w:rPr>
          <w:rFonts w:eastAsia="Calibri"/>
          <w:szCs w:val="20"/>
          <w:lang w:val="x-none" w:eastAsia="zh-CN"/>
        </w:rPr>
        <w:t xml:space="preserve"> the SCG so that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061B946B" wp14:editId="6B19740E">
            <wp:extent cx="1379220" cy="184785"/>
            <wp:effectExtent l="0" t="0" r="0" b="5715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in any portion of </w:t>
      </w:r>
      <w:r w:rsidRPr="00194614">
        <w:rPr>
          <w:rFonts w:eastAsia="Calibri"/>
          <w:szCs w:val="20"/>
          <w:lang w:eastAsia="zh-CN"/>
        </w:rPr>
        <w:t xml:space="preserve">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4A863D37" wp14:editId="1AE731D6">
            <wp:extent cx="95250" cy="184785"/>
            <wp:effectExtent l="0" t="0" r="0" b="5715"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>,</w:t>
      </w:r>
      <w:r w:rsidRPr="00194614">
        <w:rPr>
          <w:rFonts w:eastAsia="Calibri"/>
          <w:szCs w:val="20"/>
          <w:lang w:val="x-none" w:eastAsia="zh-CN"/>
        </w:rPr>
        <w:t xml:space="preserve"> where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326FA3D4" wp14:editId="7FECC19F">
            <wp:extent cx="354330" cy="184785"/>
            <wp:effectExtent l="0" t="0" r="7620" b="5715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  <w:lang w:val="x-none"/>
        </w:rPr>
        <w:t xml:space="preserve"> and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38CCE726" wp14:editId="27CC7659">
            <wp:extent cx="464820" cy="184785"/>
            <wp:effectExtent l="0" t="0" r="0" b="5715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  <w:lang w:val="x-none"/>
        </w:rPr>
        <w:t xml:space="preserve"> </w:t>
      </w:r>
      <w:r w:rsidRPr="00194614">
        <w:rPr>
          <w:rFonts w:eastAsia="Calibri"/>
          <w:szCs w:val="20"/>
        </w:rPr>
        <w:t xml:space="preserve">are </w:t>
      </w:r>
      <w:r w:rsidRPr="00194614">
        <w:rPr>
          <w:rFonts w:eastAsia="Calibri"/>
          <w:szCs w:val="20"/>
          <w:lang w:val="x-none"/>
        </w:rPr>
        <w:t xml:space="preserve">the linear values of the </w:t>
      </w:r>
      <w:r w:rsidRPr="00194614">
        <w:rPr>
          <w:rFonts w:eastAsia="Calibri"/>
          <w:szCs w:val="20"/>
        </w:rPr>
        <w:t xml:space="preserve">total </w:t>
      </w:r>
      <w:r w:rsidRPr="00194614">
        <w:rPr>
          <w:rFonts w:eastAsia="Calibri"/>
          <w:szCs w:val="20"/>
          <w:lang w:val="x-none"/>
        </w:rPr>
        <w:t>UE transmi</w:t>
      </w:r>
      <w:r w:rsidRPr="00194614">
        <w:rPr>
          <w:rFonts w:eastAsia="Calibri"/>
          <w:szCs w:val="20"/>
        </w:rPr>
        <w:t>ssion</w:t>
      </w:r>
      <w:r w:rsidRPr="00194614">
        <w:rPr>
          <w:rFonts w:eastAsia="Calibri"/>
          <w:szCs w:val="20"/>
          <w:lang w:val="x-none"/>
        </w:rPr>
        <w:t xml:space="preserve"> power</w:t>
      </w:r>
      <w:r w:rsidRPr="00194614">
        <w:rPr>
          <w:rFonts w:eastAsia="Calibri"/>
          <w:szCs w:val="20"/>
          <w:lang w:val="x-none" w:eastAsia="zh-CN"/>
        </w:rPr>
        <w:t>s</w:t>
      </w:r>
      <w:r w:rsidRPr="00194614">
        <w:rPr>
          <w:rFonts w:eastAsia="Calibri"/>
          <w:szCs w:val="20"/>
          <w:lang w:val="x-none"/>
        </w:rPr>
        <w:t xml:space="preserve"> </w:t>
      </w:r>
      <w:r w:rsidRPr="00194614">
        <w:rPr>
          <w:rFonts w:eastAsia="Calibri"/>
          <w:szCs w:val="20"/>
        </w:rPr>
        <w:t>in</w:t>
      </w:r>
      <w:r w:rsidRPr="00194614">
        <w:rPr>
          <w:rFonts w:eastAsia="Calibri"/>
          <w:szCs w:val="20"/>
          <w:lang w:val="x-none" w:eastAsia="zh-CN"/>
        </w:rPr>
        <w:t xml:space="preserve"> subframe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69E4EA21" wp14:editId="0DF6DDDE">
            <wp:extent cx="95250" cy="184785"/>
            <wp:effectExtent l="0" t="0" r="0" b="5715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of the MCG </w:t>
      </w:r>
      <w:r w:rsidRPr="00194614">
        <w:rPr>
          <w:rFonts w:eastAsia="Calibri"/>
          <w:szCs w:val="20"/>
          <w:lang w:val="x-none"/>
        </w:rPr>
        <w:t xml:space="preserve">and </w:t>
      </w:r>
      <w:r w:rsidRPr="00194614">
        <w:rPr>
          <w:rFonts w:eastAsia="Calibri"/>
          <w:szCs w:val="20"/>
        </w:rPr>
        <w:t>in</w:t>
      </w:r>
      <w:r w:rsidRPr="00194614">
        <w:rPr>
          <w:rFonts w:eastAsia="Calibri"/>
          <w:szCs w:val="20"/>
          <w:lang w:val="x-none" w:eastAsia="zh-CN"/>
        </w:rPr>
        <w:t xml:space="preserve"> 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52AA3403" wp14:editId="669A30ED">
            <wp:extent cx="95250" cy="184785"/>
            <wp:effectExtent l="0" t="0" r="0" b="5715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of the SCG in FR1</w:t>
      </w:r>
      <w:r w:rsidRPr="00194614">
        <w:rPr>
          <w:rFonts w:eastAsia="Calibri"/>
          <w:szCs w:val="20"/>
          <w:lang w:val="x-none"/>
        </w:rPr>
        <w:t>, respectively.</w:t>
      </w:r>
      <w:r w:rsidRPr="00194614">
        <w:rPr>
          <w:rFonts w:eastAsia="Calibri"/>
          <w:szCs w:val="20"/>
        </w:rPr>
        <w:t xml:space="preserve"> The UE is not required to transmit </w:t>
      </w:r>
      <w:r w:rsidRPr="00194614">
        <w:rPr>
          <w:rFonts w:eastAsia="Calibri"/>
          <w:szCs w:val="20"/>
          <w:lang w:eastAsia="zh-CN"/>
        </w:rPr>
        <w:t xml:space="preserve">in any </w:t>
      </w:r>
      <w:r w:rsidRPr="00194614">
        <w:rPr>
          <w:rFonts w:eastAsia="Calibri"/>
          <w:szCs w:val="20"/>
        </w:rPr>
        <w:t xml:space="preserve">portion of </w:t>
      </w:r>
      <w:r w:rsidRPr="00194614">
        <w:rPr>
          <w:rFonts w:eastAsia="Calibri"/>
          <w:szCs w:val="20"/>
          <w:lang w:eastAsia="zh-CN"/>
        </w:rPr>
        <w:t xml:space="preserve">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4453EC22" wp14:editId="6296ADBD">
            <wp:extent cx="95250" cy="184785"/>
            <wp:effectExtent l="0" t="0" r="0" b="5715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of the SCG if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49942040" wp14:editId="52A60300">
            <wp:extent cx="464820" cy="184785"/>
            <wp:effectExtent l="0" t="0" r="0" b="5715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 would need to be reduced by more than the value provided by </w:t>
      </w:r>
      <w:r w:rsidRPr="00194614">
        <w:rPr>
          <w:rFonts w:eastAsia="Calibri"/>
          <w:i/>
          <w:szCs w:val="20"/>
        </w:rPr>
        <w:t>X</w:t>
      </w:r>
      <w:r w:rsidRPr="00194614">
        <w:rPr>
          <w:rFonts w:eastAsia="Calibri"/>
          <w:i/>
          <w:szCs w:val="20"/>
          <w:vertAlign w:val="subscript"/>
        </w:rPr>
        <w:t>SCALE</w:t>
      </w:r>
      <w:r w:rsidRPr="00194614">
        <w:rPr>
          <w:rFonts w:eastAsia="Calibri"/>
          <w:szCs w:val="20"/>
        </w:rPr>
        <w:t xml:space="preserve"> in order for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45CE0957" wp14:editId="0C492F7E">
            <wp:extent cx="1379220" cy="184785"/>
            <wp:effectExtent l="0" t="0" r="0" b="5715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 in any portion of 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6EAFA2ED" wp14:editId="630A5A1A">
            <wp:extent cx="95250" cy="184785"/>
            <wp:effectExtent l="0" t="0" r="0" b="5715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  <w:lang w:val="x-none" w:eastAsia="zh-CN"/>
        </w:rPr>
        <w:t xml:space="preserve"> o</w:t>
      </w:r>
      <w:r w:rsidRPr="00194614">
        <w:rPr>
          <w:rFonts w:eastAsia="Calibri"/>
          <w:szCs w:val="20"/>
          <w:lang w:eastAsia="zh-CN"/>
        </w:rPr>
        <w:t>f</w:t>
      </w:r>
      <w:r w:rsidRPr="00194614">
        <w:rPr>
          <w:rFonts w:eastAsia="Calibri"/>
          <w:szCs w:val="20"/>
          <w:lang w:val="x-none" w:eastAsia="zh-CN"/>
        </w:rPr>
        <w:t xml:space="preserve"> the SCG</w:t>
      </w:r>
      <w:r w:rsidRPr="00194614">
        <w:rPr>
          <w:rFonts w:eastAsia="Calibri"/>
          <w:szCs w:val="20"/>
        </w:rPr>
        <w:t xml:space="preserve">. The UE is required to transmit </w:t>
      </w:r>
      <w:r w:rsidRPr="00194614">
        <w:rPr>
          <w:rFonts w:eastAsia="Calibri"/>
          <w:szCs w:val="20"/>
          <w:lang w:eastAsia="zh-CN"/>
        </w:rPr>
        <w:t xml:space="preserve">in 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1F2F88F7" wp14:editId="7DA62652">
            <wp:extent cx="95250" cy="184785"/>
            <wp:effectExtent l="0" t="0" r="0" b="5715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of the SCG if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6A1919A3" wp14:editId="5FF97A2C">
            <wp:extent cx="354330" cy="184785"/>
            <wp:effectExtent l="0" t="0" r="7620" b="5715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 would not need to be reduced by more than the value provided by </w:t>
      </w:r>
      <w:r w:rsidRPr="00194614">
        <w:rPr>
          <w:rFonts w:eastAsia="Calibri"/>
          <w:i/>
          <w:szCs w:val="20"/>
        </w:rPr>
        <w:t>X</w:t>
      </w:r>
      <w:r w:rsidRPr="00194614">
        <w:rPr>
          <w:rFonts w:eastAsia="Calibri"/>
          <w:i/>
          <w:szCs w:val="20"/>
          <w:vertAlign w:val="subscript"/>
        </w:rPr>
        <w:t>SCALE</w:t>
      </w:r>
      <w:r w:rsidRPr="00194614">
        <w:rPr>
          <w:rFonts w:eastAsia="Calibri"/>
          <w:szCs w:val="20"/>
        </w:rPr>
        <w:t xml:space="preserve"> in order for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00D0E2C6" wp14:editId="689871E9">
            <wp:extent cx="1268730" cy="184785"/>
            <wp:effectExtent l="0" t="0" r="7620" b="5715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 in all portions of 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3B56E963" wp14:editId="104455EE">
            <wp:extent cx="95250" cy="184785"/>
            <wp:effectExtent l="0" t="0" r="0" b="5715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>.</w:t>
      </w:r>
    </w:p>
    <w:p w14:paraId="60D6A70D" w14:textId="2ABADB5B" w:rsidR="00194614" w:rsidRPr="00194614" w:rsidRDefault="00194614" w:rsidP="00194614">
      <w:pPr>
        <w:spacing w:after="180"/>
        <w:ind w:left="1288" w:hanging="284"/>
        <w:rPr>
          <w:rFonts w:eastAsia="Calibri"/>
          <w:szCs w:val="20"/>
          <w:lang w:val="x-none"/>
        </w:rPr>
      </w:pPr>
      <w:r w:rsidRPr="00194614">
        <w:rPr>
          <w:rFonts w:eastAsia="Calibri"/>
          <w:szCs w:val="20"/>
          <w:lang w:val="x-none"/>
        </w:rPr>
        <w:t>-</w:t>
      </w:r>
      <w:r w:rsidRPr="00194614">
        <w:rPr>
          <w:rFonts w:eastAsia="Calibri"/>
          <w:szCs w:val="20"/>
          <w:lang w:val="x-none"/>
        </w:rPr>
        <w:tab/>
        <w:t xml:space="preserve">If the UE </w:t>
      </w:r>
      <w:r w:rsidRPr="00194614">
        <w:rPr>
          <w:rFonts w:eastAsia="Calibri"/>
          <w:szCs w:val="20"/>
        </w:rPr>
        <w:t xml:space="preserve">does </w:t>
      </w:r>
      <w:r w:rsidRPr="00194614">
        <w:rPr>
          <w:rFonts w:eastAsia="Calibri"/>
          <w:szCs w:val="20"/>
          <w:lang w:val="x-none" w:eastAsia="ja-JP"/>
        </w:rPr>
        <w:t>not indicate a capability for dynamic power sharing</w:t>
      </w:r>
      <w:r w:rsidRPr="00194614">
        <w:rPr>
          <w:rFonts w:eastAsia="Calibri"/>
          <w:szCs w:val="20"/>
          <w:lang w:eastAsia="ja-JP"/>
        </w:rPr>
        <w:t xml:space="preserve"> between E-UTRA and NR for EN-DC, the UE expects to be configured </w:t>
      </w:r>
      <w:r w:rsidRPr="00194614">
        <w:rPr>
          <w:rFonts w:eastAsia="Calibri"/>
          <w:szCs w:val="20"/>
          <w:lang w:val="x-none" w:eastAsia="zh-CN"/>
        </w:rPr>
        <w:t xml:space="preserve">with </w:t>
      </w:r>
      <w:r w:rsidRPr="00194614">
        <w:rPr>
          <w:rFonts w:eastAsia="Calibri"/>
          <w:szCs w:val="20"/>
          <w:lang w:val="x-none"/>
        </w:rPr>
        <w:t>reference TDD configuration</w:t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for E-UTRA (by </w:t>
      </w:r>
      <w:r w:rsidRPr="00194614">
        <w:rPr>
          <w:rFonts w:eastAsia="Calibri"/>
          <w:i/>
          <w:iCs/>
          <w:szCs w:val="20"/>
          <w:lang w:val="x-none" w:eastAsia="zh-CN"/>
        </w:rPr>
        <w:t>tdm-PatternConfig-r15</w:t>
      </w:r>
      <w:r w:rsidRPr="00194614">
        <w:rPr>
          <w:rFonts w:eastAsia="Calibri"/>
          <w:szCs w:val="20"/>
          <w:lang w:eastAsia="zh-CN"/>
        </w:rPr>
        <w:t xml:space="preserve"> or by </w:t>
      </w:r>
      <w:r w:rsidRPr="00194614">
        <w:rPr>
          <w:rFonts w:eastAsia="Calibri"/>
          <w:i/>
          <w:iCs/>
          <w:szCs w:val="20"/>
          <w:lang w:val="x-none" w:eastAsia="zh-CN"/>
        </w:rPr>
        <w:t>tdm-PatternConfig-r16</w:t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in </w:t>
      </w:r>
      <w:r w:rsidRPr="00194614">
        <w:rPr>
          <w:rFonts w:eastAsia="Calibri"/>
          <w:szCs w:val="20"/>
          <w:lang w:val="x-none" w:eastAsia="zh-CN"/>
        </w:rPr>
        <w:t>[13, TS 36.213]</w:t>
      </w:r>
      <w:r w:rsidRPr="00194614">
        <w:rPr>
          <w:rFonts w:eastAsia="Calibri"/>
          <w:szCs w:val="20"/>
          <w:lang w:eastAsia="zh-CN"/>
        </w:rPr>
        <w:t>).</w:t>
      </w:r>
      <w:r w:rsidRPr="00194614">
        <w:rPr>
          <w:rFonts w:eastAsia="Calibri"/>
          <w:szCs w:val="20"/>
          <w:lang w:val="x-none"/>
        </w:rPr>
        <w:t xml:space="preserve"> </w:t>
      </w:r>
    </w:p>
    <w:p w14:paraId="6808433C" w14:textId="0B7D4BEE" w:rsidR="00194614" w:rsidRPr="00E12A82" w:rsidRDefault="00194614" w:rsidP="00765A99">
      <w:pPr>
        <w:jc w:val="both"/>
      </w:pPr>
      <w:r>
        <w:t>”</w:t>
      </w:r>
    </w:p>
    <w:p w14:paraId="4561BB64" w14:textId="2C24A2D3" w:rsidR="00432BC1" w:rsidRDefault="00432BC1" w:rsidP="00432BC1">
      <w:pPr>
        <w:jc w:val="both"/>
      </w:pPr>
    </w:p>
    <w:p w14:paraId="732C5FBF" w14:textId="448E7B39" w:rsidR="00194614" w:rsidRDefault="003902F5" w:rsidP="00B164EC">
      <w:pPr>
        <w:jc w:val="both"/>
      </w:pPr>
      <w:r>
        <w:t>T</w:t>
      </w:r>
      <w:r w:rsidR="00194614">
        <w:t xml:space="preserve">he blue highlighted part in the above text does not accurately capture the desired behavior </w:t>
      </w:r>
      <w:r w:rsidR="00B164EC">
        <w:t>for ‘single-</w:t>
      </w:r>
      <w:proofErr w:type="spellStart"/>
      <w:r w:rsidR="00B164EC">
        <w:t>tx</w:t>
      </w:r>
      <w:proofErr w:type="spellEnd"/>
      <w:r w:rsidR="00B164EC">
        <w:t xml:space="preserve">’ case as </w:t>
      </w:r>
      <w:r w:rsidR="0029642C">
        <w:t>the text</w:t>
      </w:r>
      <w:r w:rsidR="00B164EC">
        <w:t xml:space="preserve"> </w:t>
      </w:r>
      <w:r w:rsidR="00194614">
        <w:t>is under the condition “</w:t>
      </w:r>
      <w:r w:rsidR="00194614" w:rsidRPr="00194614">
        <w:rPr>
          <w:i/>
          <w:iCs/>
          <w:szCs w:val="20"/>
          <w:lang w:val="en-GB" w:eastAsia="ja-JP"/>
        </w:rPr>
        <w:t xml:space="preserve">If a UE is configured with </w:t>
      </w:r>
      <w:r w:rsidR="00194614" w:rsidRPr="00194614">
        <w:rPr>
          <w:i/>
          <w:iCs/>
          <w:noProof/>
          <w:position w:val="-10"/>
          <w:szCs w:val="20"/>
          <w:lang w:val="en-GB"/>
        </w:rPr>
        <w:drawing>
          <wp:inline distT="0" distB="0" distL="0" distR="0" wp14:anchorId="01CD3390" wp14:editId="383FDD53">
            <wp:extent cx="1009650" cy="184785"/>
            <wp:effectExtent l="0" t="0" r="0" b="571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4614">
        <w:rPr>
          <w:i/>
          <w:iCs/>
          <w:szCs w:val="20"/>
          <w:lang w:val="en-GB" w:eastAsia="ja-JP"/>
        </w:rPr>
        <w:t>…</w:t>
      </w:r>
      <w:r w:rsidR="00194614">
        <w:t xml:space="preserve">”. </w:t>
      </w:r>
      <w:r w:rsidR="0029642C">
        <w:t>F</w:t>
      </w:r>
      <w:r w:rsidR="00B164EC">
        <w:t>or single-</w:t>
      </w:r>
      <w:proofErr w:type="spellStart"/>
      <w:r w:rsidR="00B164EC">
        <w:t>tx</w:t>
      </w:r>
      <w:proofErr w:type="spellEnd"/>
      <w:r w:rsidR="00B164EC">
        <w:t xml:space="preserve"> case (i.e., a UE indicating </w:t>
      </w:r>
      <w:proofErr w:type="spellStart"/>
      <w:r w:rsidR="00B164EC" w:rsidRPr="00B164EC">
        <w:rPr>
          <w:i/>
          <w:iCs/>
        </w:rPr>
        <w:t>singleUL</w:t>
      </w:r>
      <w:proofErr w:type="spellEnd"/>
      <w:r w:rsidR="00B164EC" w:rsidRPr="00B164EC">
        <w:rPr>
          <w:i/>
          <w:iCs/>
        </w:rPr>
        <w:t>-Transmission</w:t>
      </w:r>
      <w:r w:rsidR="00B164EC">
        <w:t>), the</w:t>
      </w:r>
      <w:r w:rsidR="00194614">
        <w:rPr>
          <w:rFonts w:eastAsia="MS Mincho"/>
          <w:iCs/>
          <w:szCs w:val="20"/>
          <w:lang w:eastAsia="zh-CN"/>
        </w:rPr>
        <w:t xml:space="preserve"> UE cannot transmit </w:t>
      </w:r>
      <w:r w:rsidR="00A53538">
        <w:rPr>
          <w:rFonts w:eastAsia="MS Mincho"/>
          <w:iCs/>
          <w:szCs w:val="20"/>
          <w:lang w:eastAsia="zh-CN"/>
        </w:rPr>
        <w:t>simultaneously</w:t>
      </w:r>
      <w:r w:rsidR="00194614">
        <w:rPr>
          <w:rFonts w:eastAsia="MS Mincho"/>
          <w:iCs/>
          <w:szCs w:val="20"/>
          <w:lang w:eastAsia="zh-CN"/>
        </w:rPr>
        <w:t xml:space="preserve"> on LTE and NR regardless of </w:t>
      </w:r>
      <w:r w:rsidR="00194614" w:rsidRPr="00194614">
        <w:rPr>
          <w:noProof/>
          <w:position w:val="-10"/>
          <w:szCs w:val="20"/>
          <w:lang w:val="en-GB"/>
        </w:rPr>
        <w:drawing>
          <wp:inline distT="0" distB="0" distL="0" distR="0" wp14:anchorId="3B0DA705" wp14:editId="15CD2E54">
            <wp:extent cx="280035" cy="184785"/>
            <wp:effectExtent l="0" t="0" r="0" b="5715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4614">
        <w:rPr>
          <w:rFonts w:eastAsia="MS Mincho"/>
          <w:iCs/>
          <w:szCs w:val="20"/>
          <w:lang w:eastAsia="zh-CN"/>
        </w:rPr>
        <w:t xml:space="preserve">,  </w:t>
      </w:r>
      <w:r w:rsidR="00194614" w:rsidRPr="00194614">
        <w:rPr>
          <w:noProof/>
          <w:position w:val="-10"/>
          <w:szCs w:val="20"/>
          <w:lang w:val="en-GB"/>
        </w:rPr>
        <w:drawing>
          <wp:inline distT="0" distB="0" distL="0" distR="0" wp14:anchorId="139D4328" wp14:editId="13260ABC">
            <wp:extent cx="280035" cy="184785"/>
            <wp:effectExtent l="0" t="0" r="0" b="5715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4614">
        <w:rPr>
          <w:rFonts w:eastAsia="MS Mincho"/>
          <w:iCs/>
          <w:szCs w:val="20"/>
          <w:lang w:eastAsia="zh-CN"/>
        </w:rPr>
        <w:t>settings.</w:t>
      </w:r>
      <w:r w:rsidR="00A53538">
        <w:rPr>
          <w:rFonts w:eastAsia="MS Mincho"/>
          <w:iCs/>
          <w:szCs w:val="20"/>
          <w:lang w:eastAsia="zh-CN"/>
        </w:rPr>
        <w:t xml:space="preserve"> So, the behavior of dropping NR should be specified </w:t>
      </w:r>
      <w:r w:rsidR="00B164EC">
        <w:rPr>
          <w:rFonts w:eastAsia="MS Mincho"/>
          <w:iCs/>
          <w:szCs w:val="20"/>
          <w:lang w:eastAsia="zh-CN"/>
        </w:rPr>
        <w:t xml:space="preserve">outside </w:t>
      </w:r>
      <w:r w:rsidR="00A53538">
        <w:rPr>
          <w:rFonts w:eastAsia="MS Mincho"/>
          <w:iCs/>
          <w:szCs w:val="20"/>
          <w:lang w:eastAsia="zh-CN"/>
        </w:rPr>
        <w:t xml:space="preserve">the  </w:t>
      </w:r>
      <w:r w:rsidR="00A53538" w:rsidRPr="00194614">
        <w:rPr>
          <w:i/>
          <w:iCs/>
          <w:noProof/>
          <w:position w:val="-10"/>
          <w:szCs w:val="20"/>
          <w:lang w:val="en-GB"/>
        </w:rPr>
        <w:drawing>
          <wp:inline distT="0" distB="0" distL="0" distR="0" wp14:anchorId="193424AB" wp14:editId="006F65A7">
            <wp:extent cx="1009650" cy="184785"/>
            <wp:effectExtent l="0" t="0" r="0" b="5715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3538">
        <w:rPr>
          <w:rFonts w:eastAsia="MS Mincho"/>
          <w:iCs/>
          <w:szCs w:val="20"/>
          <w:lang w:eastAsia="zh-CN"/>
        </w:rPr>
        <w:t xml:space="preserve"> </w:t>
      </w:r>
      <w:r w:rsidR="003A64A0">
        <w:rPr>
          <w:rFonts w:eastAsia="MS Mincho"/>
          <w:iCs/>
          <w:szCs w:val="20"/>
          <w:lang w:eastAsia="zh-CN"/>
        </w:rPr>
        <w:t>restriction</w:t>
      </w:r>
      <w:r w:rsidR="00A53538">
        <w:rPr>
          <w:rFonts w:eastAsia="MS Mincho"/>
          <w:iCs/>
          <w:szCs w:val="20"/>
          <w:lang w:eastAsia="zh-CN"/>
        </w:rPr>
        <w:t>.</w:t>
      </w:r>
    </w:p>
    <w:p w14:paraId="7290E9C2" w14:textId="3C64AB77" w:rsidR="00B164EC" w:rsidRDefault="00B164EC" w:rsidP="00B164EC">
      <w:pPr>
        <w:jc w:val="both"/>
      </w:pPr>
    </w:p>
    <w:p w14:paraId="72AF7773" w14:textId="00410777" w:rsidR="00B164EC" w:rsidRDefault="00B164EC" w:rsidP="00B164EC">
      <w:pPr>
        <w:jc w:val="both"/>
      </w:pPr>
      <w:r>
        <w:t xml:space="preserve">Text proposal 1 below addresses the above issue and aligns the specification text with </w:t>
      </w:r>
      <w:r w:rsidR="0029642C">
        <w:t>RAN1 agreements</w:t>
      </w:r>
      <w:r>
        <w:t>.</w:t>
      </w:r>
    </w:p>
    <w:p w14:paraId="566AE190" w14:textId="5D5C2E26" w:rsidR="00B164EC" w:rsidRDefault="00B164EC" w:rsidP="00B164EC">
      <w:pPr>
        <w:jc w:val="both"/>
      </w:pPr>
    </w:p>
    <w:p w14:paraId="1361FAE5" w14:textId="77777777" w:rsidR="00B6502F" w:rsidRDefault="00B6502F" w:rsidP="00B6502F">
      <w:pPr>
        <w:pStyle w:val="Heading1"/>
      </w:pPr>
      <w:r>
        <w:t>Conclusions</w:t>
      </w:r>
    </w:p>
    <w:p w14:paraId="6C91F0C7" w14:textId="039203D4" w:rsidR="00B6502F" w:rsidRDefault="00B6502F" w:rsidP="00767D38">
      <w:pPr>
        <w:pStyle w:val="BodyText"/>
        <w:rPr>
          <w:lang w:val="en-AU"/>
        </w:rPr>
      </w:pPr>
      <w:r>
        <w:t xml:space="preserve">In this document, we </w:t>
      </w:r>
      <w:r w:rsidR="00767D38">
        <w:rPr>
          <w:lang w:val="en-AU"/>
        </w:rPr>
        <w:t>discuss remaining issues related specification of single-</w:t>
      </w:r>
      <w:proofErr w:type="spellStart"/>
      <w:r w:rsidR="00767D38">
        <w:rPr>
          <w:lang w:val="en-AU"/>
        </w:rPr>
        <w:t>tx</w:t>
      </w:r>
      <w:proofErr w:type="spellEnd"/>
      <w:r w:rsidR="00767D38">
        <w:rPr>
          <w:lang w:val="en-AU"/>
        </w:rPr>
        <w:t xml:space="preserve"> operation for EN-DC and propose the following</w:t>
      </w:r>
    </w:p>
    <w:p w14:paraId="13A99ABC" w14:textId="7C55C5B7" w:rsidR="00767D38" w:rsidRPr="00767D38" w:rsidRDefault="00767D38" w:rsidP="00767D38">
      <w:pPr>
        <w:pStyle w:val="BodyText"/>
      </w:pPr>
      <w:r>
        <w:rPr>
          <w:b/>
          <w:bCs/>
          <w:u w:val="single"/>
          <w:lang w:val="en-AU"/>
        </w:rPr>
        <w:t>Proposal 1:</w:t>
      </w:r>
      <w:r w:rsidRPr="0029642C">
        <w:rPr>
          <w:b/>
          <w:bCs/>
          <w:lang w:val="en-AU"/>
        </w:rPr>
        <w:t xml:space="preserve"> </w:t>
      </w:r>
      <w:r>
        <w:rPr>
          <w:lang w:val="en-AU"/>
        </w:rPr>
        <w:t xml:space="preserve">Agree to </w:t>
      </w:r>
      <w:r w:rsidR="007A5B53">
        <w:rPr>
          <w:lang w:val="en-AU"/>
        </w:rPr>
        <w:t xml:space="preserve">below </w:t>
      </w:r>
      <w:r>
        <w:rPr>
          <w:lang w:val="en-AU"/>
        </w:rPr>
        <w:t>Text proposal 1 for 38.213 sub-clause 7.6.1</w:t>
      </w:r>
    </w:p>
    <w:p w14:paraId="35CEFBE7" w14:textId="018EEE1A" w:rsidR="00B6502F" w:rsidRDefault="00B6502F" w:rsidP="00B6502F">
      <w:pPr>
        <w:pStyle w:val="ListParagraph"/>
        <w:ind w:left="0"/>
      </w:pPr>
    </w:p>
    <w:p w14:paraId="37C1C4E4" w14:textId="77777777" w:rsidR="007A5B53" w:rsidRDefault="007A5B53" w:rsidP="007A5B53">
      <w:pPr>
        <w:jc w:val="both"/>
      </w:pPr>
      <w:r>
        <w:t>---------------------------- start TP1 to sub clause 7.6.1 of 38.213v16.0.0 --------------------------------------</w:t>
      </w:r>
    </w:p>
    <w:p w14:paraId="1FAB3333" w14:textId="77777777" w:rsidR="007A5B53" w:rsidRDefault="007A5B53" w:rsidP="007A5B53">
      <w:pPr>
        <w:jc w:val="both"/>
      </w:pPr>
    </w:p>
    <w:p w14:paraId="05D7F33D" w14:textId="77777777" w:rsidR="007A5B53" w:rsidRPr="00194614" w:rsidRDefault="007A5B53" w:rsidP="007A5B53">
      <w:pPr>
        <w:spacing w:after="180"/>
        <w:ind w:left="720"/>
        <w:rPr>
          <w:rFonts w:ascii="Arial" w:hAnsi="Arial" w:cs="Arial"/>
          <w:sz w:val="28"/>
          <w:szCs w:val="28"/>
          <w:lang w:val="en-GB"/>
        </w:rPr>
      </w:pPr>
      <w:r w:rsidRPr="00194614">
        <w:rPr>
          <w:rFonts w:ascii="Arial" w:hAnsi="Arial" w:cs="Arial"/>
          <w:sz w:val="28"/>
          <w:szCs w:val="28"/>
          <w:lang w:val="en-GB"/>
        </w:rPr>
        <w:t>7.6.1</w:t>
      </w:r>
      <w:r w:rsidRPr="00194614">
        <w:rPr>
          <w:rFonts w:ascii="Arial" w:hAnsi="Arial" w:cs="Arial"/>
          <w:sz w:val="28"/>
          <w:szCs w:val="28"/>
          <w:lang w:val="en-GB"/>
        </w:rPr>
        <w:tab/>
        <w:t>EN-DC</w:t>
      </w:r>
    </w:p>
    <w:p w14:paraId="489B181E" w14:textId="77777777" w:rsidR="007A5B53" w:rsidRPr="00194614" w:rsidRDefault="007A5B53" w:rsidP="007A5B53">
      <w:pPr>
        <w:spacing w:after="180"/>
        <w:ind w:left="720"/>
        <w:rPr>
          <w:szCs w:val="20"/>
          <w:lang w:val="en-GB" w:eastAsia="ja-JP"/>
        </w:rPr>
      </w:pPr>
      <w:r w:rsidRPr="00194614">
        <w:rPr>
          <w:szCs w:val="20"/>
          <w:lang w:val="en-GB"/>
        </w:rPr>
        <w:t xml:space="preserve">If a UE is configured with a MCG using E-UTRA radio access and with a SCG using </w:t>
      </w:r>
      <w:r w:rsidRPr="00194614">
        <w:rPr>
          <w:szCs w:val="20"/>
          <w:lang w:val="en-GB" w:eastAsia="ja-JP"/>
        </w:rPr>
        <w:t xml:space="preserve">NR radio access, the UE is configured a maximum power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24EA3DAF" wp14:editId="494D3645">
            <wp:extent cx="280035" cy="184785"/>
            <wp:effectExtent l="0" t="0" r="0" b="5715"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 w:eastAsia="ja-JP"/>
        </w:rPr>
        <w:t xml:space="preserve"> for transmissions on the MCG by </w:t>
      </w:r>
      <w:r w:rsidRPr="00194614">
        <w:rPr>
          <w:i/>
          <w:szCs w:val="20"/>
          <w:lang w:val="en-GB" w:eastAsia="ja-JP"/>
        </w:rPr>
        <w:t>p-</w:t>
      </w:r>
      <w:proofErr w:type="spellStart"/>
      <w:r w:rsidRPr="00194614">
        <w:rPr>
          <w:i/>
          <w:szCs w:val="20"/>
          <w:lang w:val="en-GB" w:eastAsia="ja-JP"/>
        </w:rPr>
        <w:t>MaxEUTRA</w:t>
      </w:r>
      <w:proofErr w:type="spellEnd"/>
      <w:r w:rsidRPr="00194614">
        <w:rPr>
          <w:szCs w:val="20"/>
          <w:lang w:val="en-GB" w:eastAsia="ja-JP"/>
        </w:rPr>
        <w:t xml:space="preserve"> and a maximum power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3227CAC9" wp14:editId="3B9B5311">
            <wp:extent cx="280035" cy="184785"/>
            <wp:effectExtent l="0" t="0" r="0" b="5715"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/>
        </w:rPr>
        <w:t xml:space="preserve"> </w:t>
      </w:r>
      <w:r w:rsidRPr="00194614">
        <w:rPr>
          <w:szCs w:val="20"/>
          <w:lang w:val="en-GB" w:eastAsia="ja-JP"/>
        </w:rPr>
        <w:t xml:space="preserve">for transmissions in FR1 on the SCG by </w:t>
      </w:r>
      <w:r w:rsidRPr="00194614">
        <w:rPr>
          <w:i/>
          <w:szCs w:val="20"/>
          <w:lang w:val="en-GB" w:eastAsia="ja-JP"/>
        </w:rPr>
        <w:t>p-NR-FR1</w:t>
      </w:r>
      <w:r w:rsidRPr="00194614">
        <w:rPr>
          <w:szCs w:val="20"/>
          <w:lang w:val="en-GB" w:eastAsia="ja-JP"/>
        </w:rPr>
        <w:t xml:space="preserve">. </w:t>
      </w:r>
    </w:p>
    <w:p w14:paraId="00F91024" w14:textId="77777777" w:rsidR="007A5B53" w:rsidRPr="00194614" w:rsidRDefault="007A5B53" w:rsidP="007A5B53">
      <w:pPr>
        <w:spacing w:after="180"/>
        <w:ind w:left="720"/>
        <w:rPr>
          <w:szCs w:val="20"/>
          <w:lang w:val="en-GB" w:eastAsia="ja-JP"/>
        </w:rPr>
      </w:pPr>
      <w:r w:rsidRPr="00194614">
        <w:rPr>
          <w:szCs w:val="20"/>
          <w:lang w:eastAsia="zh-CN"/>
        </w:rPr>
        <w:lastRenderedPageBreak/>
        <w:t>T</w:t>
      </w:r>
      <w:r w:rsidRPr="00194614">
        <w:rPr>
          <w:szCs w:val="20"/>
          <w:lang w:val="en-GB"/>
        </w:rPr>
        <w:t xml:space="preserve">he UE determines a transmission power for the MCG as described in [13, TS 36.213] </w:t>
      </w:r>
      <w:r w:rsidRPr="00194614">
        <w:rPr>
          <w:szCs w:val="20"/>
        </w:rPr>
        <w:t xml:space="preserve">using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50CE890B" wp14:editId="1E6C4AFB">
            <wp:extent cx="280035" cy="184785"/>
            <wp:effectExtent l="0" t="0" r="0" b="5715"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</w:rPr>
        <w:t xml:space="preserve"> as the maximum transmission power. The UE determines</w:t>
      </w:r>
      <w:r w:rsidRPr="00194614">
        <w:rPr>
          <w:szCs w:val="20"/>
          <w:lang w:val="en-GB"/>
        </w:rPr>
        <w:t xml:space="preserve"> transmission power for the SCG </w:t>
      </w:r>
      <w:r w:rsidRPr="00194614">
        <w:rPr>
          <w:szCs w:val="20"/>
          <w:lang w:val="en-GB" w:eastAsia="ja-JP"/>
        </w:rPr>
        <w:t>in FR1</w:t>
      </w:r>
      <w:r w:rsidRPr="00194614">
        <w:rPr>
          <w:szCs w:val="20"/>
          <w:lang w:val="en-GB"/>
        </w:rPr>
        <w:t xml:space="preserve"> as described Clauses 7.1 through 7.5</w:t>
      </w:r>
      <w:r w:rsidRPr="00194614">
        <w:rPr>
          <w:szCs w:val="20"/>
        </w:rPr>
        <w:t xml:space="preserve"> using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3B854CCF" wp14:editId="03E081F0">
            <wp:extent cx="280035" cy="184785"/>
            <wp:effectExtent l="0" t="0" r="0" b="5715"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</w:rPr>
        <w:t xml:space="preserve"> as the maximum transmission power. The UE determines</w:t>
      </w:r>
      <w:r w:rsidRPr="00194614">
        <w:rPr>
          <w:szCs w:val="20"/>
          <w:lang w:val="en-GB"/>
        </w:rPr>
        <w:t xml:space="preserve"> transmission power for the SCG in </w:t>
      </w:r>
      <w:r w:rsidRPr="00194614">
        <w:rPr>
          <w:szCs w:val="20"/>
          <w:lang w:val="en-GB" w:eastAsia="ja-JP"/>
        </w:rPr>
        <w:t>FR</w:t>
      </w:r>
      <w:r w:rsidRPr="00194614">
        <w:rPr>
          <w:szCs w:val="20"/>
          <w:lang w:val="en-GB"/>
        </w:rPr>
        <w:t>2 as described Clauses 7.1 through 7.5.</w:t>
      </w:r>
    </w:p>
    <w:p w14:paraId="6DECF55D" w14:textId="77777777" w:rsidR="007A5B53" w:rsidRPr="00194614" w:rsidRDefault="007A5B53" w:rsidP="007A5B53">
      <w:pPr>
        <w:spacing w:after="180"/>
        <w:ind w:left="720"/>
        <w:rPr>
          <w:szCs w:val="20"/>
          <w:lang w:val="en-GB" w:eastAsia="ja-JP"/>
        </w:rPr>
      </w:pPr>
      <w:r w:rsidRPr="00194614">
        <w:rPr>
          <w:szCs w:val="20"/>
          <w:lang w:val="en-GB" w:eastAsia="ja-JP"/>
        </w:rPr>
        <w:t xml:space="preserve">A UE </w:t>
      </w:r>
      <w:r w:rsidRPr="00194614">
        <w:rPr>
          <w:szCs w:val="20"/>
          <w:lang w:val="en-GB" w:eastAsia="x-none"/>
        </w:rPr>
        <w:t xml:space="preserve">does not expect to be configured </w:t>
      </w:r>
      <w:r w:rsidRPr="00194614">
        <w:rPr>
          <w:szCs w:val="20"/>
          <w:lang w:val="en-GB"/>
        </w:rPr>
        <w:t xml:space="preserve">for operation with shortened TTI and/or processing time [13, TS 36.213] </w:t>
      </w:r>
      <w:r w:rsidRPr="00194614">
        <w:rPr>
          <w:szCs w:val="20"/>
          <w:lang w:val="en-GB" w:eastAsia="x-none"/>
        </w:rPr>
        <w:t>on a cell that is included in an EN-DC configuration.</w:t>
      </w:r>
    </w:p>
    <w:p w14:paraId="368DEB25" w14:textId="7B3961DA" w:rsidR="007A5B53" w:rsidRPr="00E21A2D" w:rsidRDefault="007A5B53" w:rsidP="007A5B53">
      <w:pPr>
        <w:spacing w:after="180"/>
        <w:ind w:left="720"/>
        <w:rPr>
          <w:rFonts w:eastAsia="Calibri"/>
          <w:color w:val="C00000"/>
          <w:szCs w:val="20"/>
          <w:lang w:eastAsia="ja-JP"/>
        </w:rPr>
      </w:pPr>
      <w:bookmarkStart w:id="5" w:name="_Hlk32607290"/>
      <w:r>
        <w:rPr>
          <w:color w:val="C00000"/>
          <w:szCs w:val="20"/>
          <w:lang w:val="en-GB" w:eastAsia="ja-JP"/>
        </w:rPr>
        <w:t>I</w:t>
      </w:r>
      <w:r w:rsidRPr="00E21A2D">
        <w:rPr>
          <w:color w:val="C00000"/>
          <w:szCs w:val="20"/>
          <w:lang w:val="en-GB" w:eastAsia="ja-JP"/>
        </w:rPr>
        <w:t xml:space="preserve">f the UE indicates </w:t>
      </w:r>
      <w:r w:rsidRPr="00194614">
        <w:rPr>
          <w:rFonts w:eastAsia="Calibri"/>
          <w:color w:val="C00000"/>
          <w:szCs w:val="20"/>
          <w:lang w:val="x-none" w:eastAsia="ja-JP"/>
        </w:rPr>
        <w:t>capability for dynamic power sharing</w:t>
      </w:r>
      <w:r w:rsidRPr="00194614">
        <w:rPr>
          <w:rFonts w:eastAsia="Calibri"/>
          <w:color w:val="C00000"/>
          <w:szCs w:val="20"/>
          <w:lang w:eastAsia="ja-JP"/>
        </w:rPr>
        <w:t xml:space="preserve"> between E-UTRA and NR for EN-DC</w:t>
      </w:r>
      <w:r>
        <w:rPr>
          <w:rFonts w:eastAsia="Calibri"/>
          <w:color w:val="C00000"/>
          <w:szCs w:val="20"/>
          <w:lang w:eastAsia="ja-JP"/>
        </w:rPr>
        <w:t>,</w:t>
      </w:r>
      <w:r w:rsidRPr="00E21A2D">
        <w:rPr>
          <w:rFonts w:eastAsia="Calibri"/>
          <w:color w:val="C00000"/>
          <w:szCs w:val="20"/>
          <w:lang w:eastAsia="ja-JP"/>
        </w:rPr>
        <w:t xml:space="preserve"> </w:t>
      </w:r>
      <w:r>
        <w:rPr>
          <w:rFonts w:eastAsia="Calibri"/>
          <w:color w:val="C00000"/>
          <w:szCs w:val="20"/>
          <w:lang w:eastAsia="ja-JP"/>
        </w:rPr>
        <w:t xml:space="preserve">and if the UE is configured with </w:t>
      </w:r>
      <w:r w:rsidRPr="00D367FA">
        <w:rPr>
          <w:rFonts w:eastAsia="Calibri"/>
          <w:i/>
          <w:iCs/>
          <w:color w:val="C00000"/>
          <w:szCs w:val="20"/>
          <w:lang w:eastAsia="ja-JP"/>
        </w:rPr>
        <w:t>tdm-PatternConfig-r16</w:t>
      </w:r>
      <w:r>
        <w:rPr>
          <w:rFonts w:eastAsia="Calibri"/>
          <w:color w:val="C00000"/>
          <w:szCs w:val="20"/>
          <w:lang w:eastAsia="ja-JP"/>
        </w:rPr>
        <w:t>, then f</w:t>
      </w:r>
      <w:r w:rsidRPr="00E21A2D">
        <w:rPr>
          <w:rFonts w:eastAsia="Calibri"/>
          <w:color w:val="C00000"/>
          <w:szCs w:val="20"/>
          <w:lang w:eastAsia="ja-JP"/>
        </w:rPr>
        <w:t xml:space="preserve">or cases where the UE indicates using </w:t>
      </w:r>
      <w:proofErr w:type="spellStart"/>
      <w:r w:rsidRPr="00E21A2D">
        <w:rPr>
          <w:rFonts w:eastAsia="Calibri"/>
          <w:i/>
          <w:iCs/>
          <w:color w:val="C00000"/>
          <w:szCs w:val="20"/>
          <w:lang w:eastAsia="ja-JP"/>
        </w:rPr>
        <w:t>singleUL</w:t>
      </w:r>
      <w:proofErr w:type="spellEnd"/>
      <w:r w:rsidRPr="00E21A2D">
        <w:rPr>
          <w:rFonts w:eastAsia="Calibri"/>
          <w:i/>
          <w:iCs/>
          <w:color w:val="C00000"/>
          <w:szCs w:val="20"/>
          <w:lang w:eastAsia="ja-JP"/>
        </w:rPr>
        <w:t>-Transmission</w:t>
      </w:r>
      <w:r w:rsidRPr="00E21A2D">
        <w:rPr>
          <w:rFonts w:eastAsia="Calibri"/>
          <w:color w:val="C00000"/>
          <w:szCs w:val="20"/>
          <w:lang w:eastAsia="ja-JP"/>
        </w:rPr>
        <w:t xml:space="preserve"> that it does not support simultaneous  UL transmissions, the UE does not transmit on the SCG in FR1 when the UE has overlapped transmission on a subframe on the MCG.</w:t>
      </w:r>
    </w:p>
    <w:bookmarkEnd w:id="5"/>
    <w:p w14:paraId="7D82C148" w14:textId="77777777" w:rsidR="007A5B53" w:rsidRPr="00194614" w:rsidRDefault="007A5B53" w:rsidP="007A5B53">
      <w:pPr>
        <w:spacing w:after="180"/>
        <w:ind w:left="720"/>
        <w:rPr>
          <w:szCs w:val="20"/>
          <w:lang w:val="en-GB" w:eastAsia="ja-JP"/>
        </w:rPr>
      </w:pPr>
      <w:r w:rsidRPr="00194614">
        <w:rPr>
          <w:szCs w:val="20"/>
          <w:lang w:val="en-GB" w:eastAsia="ja-JP"/>
        </w:rPr>
        <w:t xml:space="preserve">If a UE is configured with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56E57468" wp14:editId="3BAF97AB">
            <wp:extent cx="1009650" cy="184785"/>
            <wp:effectExtent l="0" t="0" r="0" b="5715"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/>
        </w:rPr>
        <w:t xml:space="preserve">, where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5A5A4573" wp14:editId="54272DCF">
            <wp:extent cx="280035" cy="184785"/>
            <wp:effectExtent l="0" t="0" r="5715" b="5715"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 w:eastAsia="zh-CN"/>
        </w:rPr>
        <w:t xml:space="preserve"> is the linear value</w:t>
      </w:r>
      <w:r w:rsidRPr="00194614">
        <w:rPr>
          <w:szCs w:val="20"/>
          <w:lang w:val="en-GB" w:eastAsia="ja-JP"/>
        </w:rPr>
        <w:t xml:space="preserve"> of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7E1540A7" wp14:editId="105E3A6F">
            <wp:extent cx="280035" cy="184785"/>
            <wp:effectExtent l="0" t="0" r="0" b="5715"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/>
        </w:rPr>
        <w:t xml:space="preserve">,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09F4803B" wp14:editId="03E80AFD">
            <wp:extent cx="184785" cy="184785"/>
            <wp:effectExtent l="0" t="0" r="5715" b="5715"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 w:eastAsia="zh-CN"/>
        </w:rPr>
        <w:t xml:space="preserve"> is the linear value</w:t>
      </w:r>
      <w:r w:rsidRPr="00194614">
        <w:rPr>
          <w:szCs w:val="20"/>
          <w:lang w:val="en-GB" w:eastAsia="ja-JP"/>
        </w:rPr>
        <w:t xml:space="preserve"> of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77FA3E2F" wp14:editId="56308CB4">
            <wp:extent cx="184785" cy="184785"/>
            <wp:effectExtent l="0" t="0" r="5715" b="5715"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/>
        </w:rPr>
        <w:t>, and</w:t>
      </w:r>
      <w:r w:rsidRPr="00194614">
        <w:rPr>
          <w:szCs w:val="20"/>
          <w:lang w:val="en-GB" w:eastAsia="zh-CN"/>
        </w:rPr>
        <w:t xml:space="preserve"> </w:t>
      </w:r>
      <w:r w:rsidRPr="00194614">
        <w:rPr>
          <w:noProof/>
          <w:position w:val="-10"/>
          <w:szCs w:val="20"/>
          <w:lang w:val="en-GB"/>
        </w:rPr>
        <w:drawing>
          <wp:inline distT="0" distB="0" distL="0" distR="0" wp14:anchorId="1F92CA81" wp14:editId="5D6F8D08">
            <wp:extent cx="354330" cy="184785"/>
            <wp:effectExtent l="0" t="0" r="7620" b="5715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szCs w:val="20"/>
          <w:lang w:val="en-GB"/>
        </w:rPr>
        <w:t xml:space="preserve"> </w:t>
      </w:r>
      <w:r w:rsidRPr="00194614">
        <w:rPr>
          <w:szCs w:val="20"/>
          <w:lang w:val="en-GB" w:eastAsia="zh-CN"/>
        </w:rPr>
        <w:t xml:space="preserve">is the linear value of </w:t>
      </w:r>
      <w:r w:rsidRPr="00194614">
        <w:rPr>
          <w:szCs w:val="20"/>
          <w:lang w:eastAsia="zh-CN"/>
        </w:rPr>
        <w:t>a</w:t>
      </w:r>
      <w:r w:rsidRPr="00194614">
        <w:rPr>
          <w:szCs w:val="20"/>
          <w:lang w:val="en-GB" w:eastAsia="zh-CN"/>
        </w:rPr>
        <w:t xml:space="preserve"> </w:t>
      </w:r>
      <w:r w:rsidRPr="00194614">
        <w:rPr>
          <w:szCs w:val="20"/>
          <w:lang w:val="en-GB"/>
        </w:rPr>
        <w:t xml:space="preserve">configured </w:t>
      </w:r>
      <w:r w:rsidRPr="00194614">
        <w:rPr>
          <w:szCs w:val="20"/>
          <w:lang w:val="en-GB" w:eastAsia="zh-CN"/>
        </w:rPr>
        <w:t xml:space="preserve">maximum </w:t>
      </w:r>
      <w:r w:rsidRPr="00194614">
        <w:rPr>
          <w:szCs w:val="20"/>
          <w:lang w:eastAsia="zh-CN"/>
        </w:rPr>
        <w:t>transmission</w:t>
      </w:r>
      <w:r w:rsidRPr="00194614">
        <w:rPr>
          <w:szCs w:val="20"/>
          <w:lang w:val="en-GB"/>
        </w:rPr>
        <w:t xml:space="preserve"> power </w:t>
      </w:r>
      <w:r w:rsidRPr="00194614">
        <w:rPr>
          <w:szCs w:val="20"/>
        </w:rPr>
        <w:t xml:space="preserve">for EN-DC operation </w:t>
      </w:r>
      <w:r w:rsidRPr="00194614">
        <w:rPr>
          <w:szCs w:val="20"/>
          <w:lang w:val="en-GB"/>
        </w:rPr>
        <w:t xml:space="preserve">as </w:t>
      </w:r>
      <w:r w:rsidRPr="00194614">
        <w:rPr>
          <w:iCs/>
          <w:szCs w:val="20"/>
          <w:lang w:val="en-GB"/>
        </w:rPr>
        <w:t xml:space="preserve">defined in </w:t>
      </w:r>
      <w:r w:rsidRPr="00194614">
        <w:rPr>
          <w:szCs w:val="20"/>
          <w:lang w:val="en-GB"/>
        </w:rPr>
        <w:t xml:space="preserve">[8-3, TS 38.101-3] for FR1, </w:t>
      </w:r>
      <w:r w:rsidRPr="00194614">
        <w:rPr>
          <w:szCs w:val="20"/>
          <w:lang w:val="en-GB" w:eastAsia="ja-JP"/>
        </w:rPr>
        <w:t>the UE determines a transmission power for the SCG as follows.</w:t>
      </w:r>
    </w:p>
    <w:p w14:paraId="1C3DD501" w14:textId="77777777" w:rsidR="007A5B53" w:rsidRPr="00194614" w:rsidRDefault="007A5B53" w:rsidP="007A5B53">
      <w:pPr>
        <w:spacing w:after="180"/>
        <w:ind w:left="1288" w:hanging="284"/>
        <w:rPr>
          <w:rFonts w:eastAsia="Calibri"/>
          <w:szCs w:val="20"/>
        </w:rPr>
      </w:pPr>
      <w:r w:rsidRPr="00194614">
        <w:rPr>
          <w:rFonts w:eastAsia="Calibri"/>
          <w:szCs w:val="20"/>
          <w:lang w:val="x-none" w:eastAsia="ja-JP"/>
        </w:rPr>
        <w:t>-</w:t>
      </w:r>
      <w:r w:rsidRPr="00194614">
        <w:rPr>
          <w:rFonts w:eastAsia="Calibri"/>
          <w:szCs w:val="20"/>
          <w:lang w:val="x-none" w:eastAsia="ja-JP"/>
        </w:rPr>
        <w:tab/>
        <w:t xml:space="preserve">If the UE </w:t>
      </w:r>
      <w:r w:rsidRPr="00194614">
        <w:rPr>
          <w:rFonts w:eastAsia="Calibri"/>
          <w:szCs w:val="20"/>
          <w:lang w:eastAsia="ja-JP"/>
        </w:rPr>
        <w:t xml:space="preserve">is </w:t>
      </w:r>
      <w:r w:rsidRPr="00194614">
        <w:rPr>
          <w:rFonts w:eastAsia="Calibri"/>
          <w:szCs w:val="20"/>
          <w:lang w:val="x-none" w:eastAsia="zh-CN"/>
        </w:rPr>
        <w:t>configured</w:t>
      </w:r>
      <w:r w:rsidRPr="00194614">
        <w:rPr>
          <w:rFonts w:eastAsia="Calibri"/>
          <w:szCs w:val="20"/>
          <w:lang w:val="x-none"/>
        </w:rPr>
        <w:t xml:space="preserve"> </w:t>
      </w:r>
      <w:r w:rsidRPr="00194614">
        <w:rPr>
          <w:rFonts w:eastAsia="Calibri"/>
          <w:szCs w:val="20"/>
          <w:lang w:val="x-none" w:eastAsia="zh-CN"/>
        </w:rPr>
        <w:t xml:space="preserve">with </w:t>
      </w:r>
      <w:r w:rsidRPr="00194614">
        <w:rPr>
          <w:rFonts w:eastAsia="Calibri"/>
          <w:szCs w:val="20"/>
          <w:lang w:val="x-none"/>
        </w:rPr>
        <w:t>reference TDD configuration</w:t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for E-UTRA (by </w:t>
      </w:r>
      <w:r w:rsidRPr="00194614">
        <w:rPr>
          <w:rFonts w:eastAsia="Calibri"/>
          <w:i/>
          <w:iCs/>
          <w:szCs w:val="20"/>
          <w:lang w:val="x-none" w:eastAsia="zh-CN"/>
        </w:rPr>
        <w:t>tdm-PatternConfig-r15</w:t>
      </w:r>
      <w:r w:rsidRPr="00194614">
        <w:rPr>
          <w:rFonts w:eastAsia="Calibri"/>
          <w:szCs w:val="20"/>
          <w:lang w:eastAsia="zh-CN"/>
        </w:rPr>
        <w:t xml:space="preserve"> or by </w:t>
      </w:r>
      <w:r w:rsidRPr="00194614">
        <w:rPr>
          <w:rFonts w:eastAsia="Calibri"/>
          <w:i/>
          <w:iCs/>
          <w:szCs w:val="20"/>
          <w:lang w:val="x-none" w:eastAsia="zh-CN"/>
        </w:rPr>
        <w:t>tdm-PatternConfig-r16</w:t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in </w:t>
      </w:r>
      <w:r w:rsidRPr="00194614">
        <w:rPr>
          <w:rFonts w:eastAsia="Calibri"/>
          <w:szCs w:val="20"/>
          <w:lang w:val="x-none" w:eastAsia="zh-CN"/>
        </w:rPr>
        <w:t>[13, TS 36.213]</w:t>
      </w:r>
      <w:r w:rsidRPr="00194614">
        <w:rPr>
          <w:rFonts w:eastAsia="Calibri"/>
          <w:szCs w:val="20"/>
          <w:lang w:eastAsia="zh-CN"/>
        </w:rPr>
        <w:t>)</w:t>
      </w:r>
    </w:p>
    <w:p w14:paraId="0B2145EF" w14:textId="77777777" w:rsidR="007A5B53" w:rsidRPr="00194614" w:rsidRDefault="007A5B53" w:rsidP="007A5B53">
      <w:pPr>
        <w:spacing w:after="180"/>
        <w:ind w:left="1571" w:hanging="284"/>
        <w:rPr>
          <w:rFonts w:eastAsia="Calibri"/>
          <w:szCs w:val="20"/>
          <w:lang w:val="x-none"/>
        </w:rPr>
      </w:pPr>
      <w:r w:rsidRPr="00194614">
        <w:rPr>
          <w:rFonts w:eastAsia="Calibri"/>
          <w:szCs w:val="20"/>
        </w:rPr>
        <w:t>-</w:t>
      </w:r>
      <w:r w:rsidRPr="00194614">
        <w:rPr>
          <w:rFonts w:eastAsia="Calibri"/>
          <w:szCs w:val="20"/>
        </w:rPr>
        <w:tab/>
        <w:t xml:space="preserve">If the UE does </w:t>
      </w:r>
      <w:r w:rsidRPr="00194614">
        <w:rPr>
          <w:rFonts w:eastAsia="Calibri"/>
          <w:szCs w:val="20"/>
          <w:lang w:val="x-none" w:eastAsia="ja-JP"/>
        </w:rPr>
        <w:t>not indicate a capability for dynamic power sharing</w:t>
      </w:r>
      <w:r w:rsidRPr="00194614">
        <w:rPr>
          <w:rFonts w:eastAsia="Calibri"/>
          <w:szCs w:val="20"/>
          <w:lang w:eastAsia="ja-JP"/>
        </w:rPr>
        <w:t xml:space="preserve"> between E-UTRA and NR for EN-DC, </w:t>
      </w:r>
      <w:proofErr w:type="spellStart"/>
      <w:r w:rsidRPr="00194614">
        <w:rPr>
          <w:rFonts w:eastAsia="Calibri"/>
          <w:szCs w:val="20"/>
        </w:rPr>
        <w:t>t</w:t>
      </w:r>
      <w:r w:rsidRPr="00194614">
        <w:rPr>
          <w:rFonts w:eastAsia="Calibri"/>
          <w:szCs w:val="20"/>
          <w:lang w:val="x-none"/>
        </w:rPr>
        <w:t>he</w:t>
      </w:r>
      <w:proofErr w:type="spellEnd"/>
      <w:r w:rsidRPr="00194614">
        <w:rPr>
          <w:rFonts w:eastAsia="Calibri"/>
          <w:szCs w:val="20"/>
          <w:lang w:val="x-none"/>
        </w:rPr>
        <w:t xml:space="preserve"> UE </w:t>
      </w:r>
      <w:r w:rsidRPr="00194614">
        <w:rPr>
          <w:rFonts w:eastAsia="Calibri"/>
          <w:szCs w:val="20"/>
          <w:lang w:eastAsia="zh-CN"/>
        </w:rPr>
        <w:t>does</w:t>
      </w:r>
      <w:r w:rsidRPr="00194614">
        <w:rPr>
          <w:rFonts w:eastAsia="Calibri"/>
          <w:szCs w:val="20"/>
          <w:lang w:val="x-none" w:eastAsia="zh-CN"/>
        </w:rPr>
        <w:t xml:space="preserve"> not transmit</w:t>
      </w:r>
      <w:r w:rsidRPr="00194614">
        <w:rPr>
          <w:rFonts w:eastAsia="Calibri"/>
          <w:szCs w:val="20"/>
          <w:lang w:val="x-none"/>
        </w:rPr>
        <w:t xml:space="preserve"> in a slot on the SCG</w:t>
      </w:r>
      <w:r w:rsidRPr="00194614">
        <w:rPr>
          <w:rFonts w:eastAsia="Calibri"/>
          <w:szCs w:val="20"/>
        </w:rPr>
        <w:t xml:space="preserve"> in FR1</w:t>
      </w:r>
      <w:r w:rsidRPr="00194614">
        <w:rPr>
          <w:rFonts w:eastAsia="Calibri"/>
          <w:szCs w:val="20"/>
          <w:lang w:val="x-none"/>
        </w:rPr>
        <w:t xml:space="preserve"> </w:t>
      </w:r>
      <w:r w:rsidRPr="00194614">
        <w:rPr>
          <w:rFonts w:eastAsia="Calibri"/>
          <w:szCs w:val="20"/>
        </w:rPr>
        <w:t>when</w:t>
      </w:r>
      <w:r w:rsidRPr="00194614">
        <w:rPr>
          <w:rFonts w:eastAsia="Calibri"/>
          <w:szCs w:val="20"/>
          <w:lang w:val="x-none"/>
        </w:rPr>
        <w:t xml:space="preserve"> a corresponding subframe on the MCG </w:t>
      </w:r>
      <w:r w:rsidRPr="00194614">
        <w:rPr>
          <w:rFonts w:eastAsia="Calibri"/>
          <w:szCs w:val="20"/>
          <w:lang w:val="x-none" w:eastAsia="zh-CN"/>
        </w:rPr>
        <w:t>is an</w:t>
      </w:r>
      <w:r w:rsidRPr="00194614">
        <w:rPr>
          <w:rFonts w:eastAsia="Calibri"/>
          <w:szCs w:val="20"/>
          <w:lang w:val="x-none"/>
        </w:rPr>
        <w:t xml:space="preserve"> UL </w:t>
      </w:r>
      <w:r w:rsidRPr="00194614">
        <w:rPr>
          <w:rFonts w:eastAsia="Calibri"/>
          <w:szCs w:val="20"/>
          <w:lang w:val="x-none" w:eastAsia="zh-CN"/>
        </w:rPr>
        <w:t xml:space="preserve">subframe </w:t>
      </w:r>
      <w:r w:rsidRPr="00194614">
        <w:rPr>
          <w:rFonts w:eastAsia="Calibri"/>
          <w:szCs w:val="20"/>
          <w:lang w:val="x-none"/>
        </w:rPr>
        <w:t>in the reference TDD configuration.</w:t>
      </w:r>
    </w:p>
    <w:p w14:paraId="168488A4" w14:textId="77777777" w:rsidR="007A5B53" w:rsidRPr="00194614" w:rsidRDefault="007A5B53" w:rsidP="007A5B53">
      <w:pPr>
        <w:spacing w:after="180"/>
        <w:ind w:left="1571" w:hanging="284"/>
        <w:rPr>
          <w:rFonts w:eastAsia="Calibri"/>
          <w:szCs w:val="20"/>
          <w:lang w:val="x-none"/>
        </w:rPr>
      </w:pPr>
      <w:r w:rsidRPr="00194614">
        <w:rPr>
          <w:rFonts w:eastAsia="Calibri"/>
          <w:szCs w:val="20"/>
        </w:rPr>
        <w:t>-</w:t>
      </w:r>
      <w:r w:rsidRPr="00194614">
        <w:rPr>
          <w:rFonts w:eastAsia="Calibri"/>
          <w:szCs w:val="20"/>
        </w:rPr>
        <w:tab/>
      </w:r>
      <w:r w:rsidRPr="00194614">
        <w:rPr>
          <w:rFonts w:eastAsia="Calibri"/>
          <w:strike/>
          <w:szCs w:val="20"/>
        </w:rPr>
        <w:t xml:space="preserve">If </w:t>
      </w:r>
      <w:r w:rsidRPr="00194614">
        <w:rPr>
          <w:rFonts w:eastAsia="Calibri"/>
          <w:strike/>
          <w:szCs w:val="20"/>
          <w:lang w:val="x-none"/>
        </w:rPr>
        <w:t xml:space="preserve">the UE indicates a capability for dynamic power sharing between E-UTRA and NR for EN-DC, and does not indicate a capability </w:t>
      </w:r>
      <w:proofErr w:type="spellStart"/>
      <w:r w:rsidRPr="00194614">
        <w:rPr>
          <w:rFonts w:eastAsia="Calibri"/>
          <w:i/>
          <w:iCs/>
          <w:strike/>
          <w:szCs w:val="20"/>
          <w:lang w:val="x-none"/>
        </w:rPr>
        <w:t>tdm</w:t>
      </w:r>
      <w:proofErr w:type="spellEnd"/>
      <w:r w:rsidRPr="00194614">
        <w:rPr>
          <w:rFonts w:eastAsia="Calibri"/>
          <w:i/>
          <w:iCs/>
          <w:strike/>
          <w:szCs w:val="20"/>
          <w:lang w:val="x-none"/>
        </w:rPr>
        <w:t>-Pattern-</w:t>
      </w:r>
      <w:proofErr w:type="spellStart"/>
      <w:r w:rsidRPr="00194614">
        <w:rPr>
          <w:rFonts w:eastAsia="Calibri"/>
          <w:i/>
          <w:iCs/>
          <w:strike/>
          <w:szCs w:val="20"/>
          <w:lang w:val="x-none"/>
        </w:rPr>
        <w:t>dualTx</w:t>
      </w:r>
      <w:proofErr w:type="spellEnd"/>
      <w:r w:rsidRPr="00194614">
        <w:rPr>
          <w:rFonts w:eastAsia="Calibri"/>
          <w:strike/>
          <w:szCs w:val="20"/>
          <w:lang w:val="x-none"/>
        </w:rPr>
        <w:t xml:space="preserve"> in [16, TS 38.306], and is configured with </w:t>
      </w:r>
      <w:r w:rsidRPr="00194614">
        <w:rPr>
          <w:rFonts w:eastAsia="Calibri"/>
          <w:i/>
          <w:iCs/>
          <w:strike/>
          <w:szCs w:val="20"/>
          <w:lang w:val="x-none"/>
        </w:rPr>
        <w:t>tdm-PatternConfig-r16</w:t>
      </w:r>
      <w:r w:rsidRPr="00194614">
        <w:rPr>
          <w:rFonts w:eastAsia="Calibri"/>
          <w:strike/>
          <w:szCs w:val="20"/>
          <w:lang w:val="x-none"/>
        </w:rPr>
        <w:t>, the UE does not transmit on the SCG in FR1 when the UE has overlapped transmission on a subframe on the MCG.</w:t>
      </w:r>
    </w:p>
    <w:p w14:paraId="757AB27F" w14:textId="77777777" w:rsidR="007A5B53" w:rsidRPr="00194614" w:rsidRDefault="007A5B53" w:rsidP="007A5B53">
      <w:pPr>
        <w:spacing w:after="180"/>
        <w:ind w:left="1288" w:hanging="284"/>
        <w:rPr>
          <w:rFonts w:eastAsia="Calibri"/>
          <w:szCs w:val="20"/>
        </w:rPr>
      </w:pPr>
      <w:r w:rsidRPr="00194614">
        <w:rPr>
          <w:rFonts w:eastAsia="Calibri"/>
          <w:szCs w:val="20"/>
          <w:lang w:val="x-none" w:eastAsia="ja-JP"/>
        </w:rPr>
        <w:t>-</w:t>
      </w:r>
      <w:r w:rsidRPr="00194614">
        <w:rPr>
          <w:rFonts w:eastAsia="Calibri"/>
          <w:szCs w:val="20"/>
          <w:lang w:val="x-none" w:eastAsia="ja-JP"/>
        </w:rPr>
        <w:tab/>
        <w:t>If the UE indicate</w:t>
      </w:r>
      <w:r w:rsidRPr="00194614">
        <w:rPr>
          <w:rFonts w:eastAsia="Calibri"/>
          <w:szCs w:val="20"/>
          <w:lang w:eastAsia="ja-JP"/>
        </w:rPr>
        <w:t>s</w:t>
      </w:r>
      <w:r w:rsidRPr="00194614">
        <w:rPr>
          <w:rFonts w:eastAsia="Calibri"/>
          <w:szCs w:val="20"/>
          <w:lang w:val="x-none" w:eastAsia="ja-JP"/>
        </w:rPr>
        <w:t xml:space="preserve"> a capability for dynamic power sharing</w:t>
      </w:r>
      <w:r w:rsidRPr="00194614">
        <w:rPr>
          <w:rFonts w:eastAsia="Calibri"/>
          <w:szCs w:val="20"/>
          <w:lang w:eastAsia="ja-JP"/>
        </w:rPr>
        <w:t xml:space="preserve"> between E-UTRA and NR for EN-DC and</w:t>
      </w:r>
    </w:p>
    <w:p w14:paraId="7F1EB7CE" w14:textId="77777777" w:rsidR="007A5B53" w:rsidRPr="00194614" w:rsidRDefault="007A5B53" w:rsidP="007A5B53">
      <w:pPr>
        <w:spacing w:after="180"/>
        <w:ind w:left="1571" w:hanging="284"/>
        <w:rPr>
          <w:rFonts w:eastAsia="Calibri"/>
          <w:szCs w:val="20"/>
        </w:rPr>
      </w:pPr>
      <w:r w:rsidRPr="00194614">
        <w:rPr>
          <w:rFonts w:eastAsia="Calibri"/>
          <w:szCs w:val="20"/>
        </w:rPr>
        <w:t>-</w:t>
      </w:r>
      <w:r w:rsidRPr="00194614">
        <w:rPr>
          <w:rFonts w:eastAsia="Calibri"/>
          <w:szCs w:val="20"/>
        </w:rPr>
        <w:tab/>
        <w:t xml:space="preserve">if UE transmission(s) in subframe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1B824167" wp14:editId="6F13C98F">
            <wp:extent cx="95250" cy="184785"/>
            <wp:effectExtent l="0" t="0" r="0" b="5715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of the MCG overlap in time with UE transmission(s) in 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6528552E" wp14:editId="5758A4A5">
            <wp:extent cx="95250" cy="184785"/>
            <wp:effectExtent l="0" t="0" r="0" b="5715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of the SCG in FR1, and</w:t>
      </w:r>
    </w:p>
    <w:p w14:paraId="587E5BD6" w14:textId="77777777" w:rsidR="007A5B53" w:rsidRPr="00194614" w:rsidRDefault="007A5B53" w:rsidP="007A5B53">
      <w:pPr>
        <w:spacing w:after="180"/>
        <w:ind w:left="1571" w:hanging="284"/>
        <w:rPr>
          <w:rFonts w:eastAsia="Calibri"/>
          <w:szCs w:val="20"/>
        </w:rPr>
      </w:pPr>
      <w:r w:rsidRPr="00194614">
        <w:rPr>
          <w:rFonts w:eastAsia="Calibri"/>
          <w:szCs w:val="20"/>
        </w:rPr>
        <w:t>-</w:t>
      </w:r>
      <w:r w:rsidRPr="00194614">
        <w:rPr>
          <w:rFonts w:eastAsia="Calibri"/>
          <w:szCs w:val="20"/>
        </w:rPr>
        <w:tab/>
        <w:t xml:space="preserve">if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7EB12D19" wp14:editId="6E1C0C25">
            <wp:extent cx="1474470" cy="184785"/>
            <wp:effectExtent l="0" t="0" r="0" b="5715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in any portion of </w:t>
      </w:r>
      <w:r w:rsidRPr="00194614">
        <w:rPr>
          <w:rFonts w:eastAsia="Calibri"/>
          <w:szCs w:val="20"/>
          <w:lang w:eastAsia="zh-CN"/>
        </w:rPr>
        <w:t xml:space="preserve">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450ACF38" wp14:editId="4ABC60D9">
            <wp:extent cx="95250" cy="184785"/>
            <wp:effectExtent l="0" t="0" r="0" b="5715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of the SCG</w:t>
      </w:r>
      <w:r w:rsidRPr="00194614">
        <w:rPr>
          <w:rFonts w:eastAsia="Calibri"/>
          <w:szCs w:val="20"/>
          <w:lang w:val="x-none" w:eastAsia="zh-CN"/>
        </w:rPr>
        <w:t xml:space="preserve">, </w:t>
      </w:r>
    </w:p>
    <w:p w14:paraId="02960048" w14:textId="77777777" w:rsidR="007A5B53" w:rsidRPr="00194614" w:rsidRDefault="007A5B53" w:rsidP="007A5B53">
      <w:pPr>
        <w:spacing w:after="180"/>
        <w:ind w:left="1571" w:hanging="284"/>
        <w:rPr>
          <w:rFonts w:eastAsia="Calibri"/>
          <w:szCs w:val="20"/>
        </w:rPr>
      </w:pPr>
      <w:r w:rsidRPr="00194614">
        <w:rPr>
          <w:rFonts w:eastAsia="Calibri"/>
          <w:szCs w:val="20"/>
          <w:lang w:val="x-none"/>
        </w:rPr>
        <w:tab/>
        <w:t xml:space="preserve">the UE </w:t>
      </w:r>
      <w:r w:rsidRPr="00194614">
        <w:rPr>
          <w:rFonts w:eastAsia="Calibri"/>
          <w:szCs w:val="20"/>
          <w:lang w:val="x-none" w:eastAsia="zh-CN"/>
        </w:rPr>
        <w:t xml:space="preserve">reduces </w:t>
      </w:r>
      <w:r w:rsidRPr="00194614">
        <w:rPr>
          <w:rFonts w:eastAsia="Calibri"/>
          <w:szCs w:val="20"/>
          <w:lang w:eastAsia="zh-CN"/>
        </w:rPr>
        <w:t>transmission power</w:t>
      </w:r>
      <w:r w:rsidRPr="00194614">
        <w:rPr>
          <w:rFonts w:eastAsia="Calibri"/>
          <w:szCs w:val="20"/>
          <w:lang w:val="x-none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in any </w:t>
      </w:r>
      <w:r w:rsidRPr="00194614">
        <w:rPr>
          <w:rFonts w:eastAsia="Calibri"/>
          <w:szCs w:val="20"/>
        </w:rPr>
        <w:t xml:space="preserve">portion of </w:t>
      </w:r>
      <w:r w:rsidRPr="00194614">
        <w:rPr>
          <w:rFonts w:eastAsia="Calibri"/>
          <w:szCs w:val="20"/>
          <w:lang w:eastAsia="zh-CN"/>
        </w:rPr>
        <w:t xml:space="preserve">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37DC45F1" wp14:editId="1873F19D">
            <wp:extent cx="95250" cy="184785"/>
            <wp:effectExtent l="0" t="0" r="0" b="5715"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</w:t>
      </w:r>
      <w:r w:rsidRPr="00194614">
        <w:rPr>
          <w:rFonts w:eastAsia="Calibri"/>
          <w:szCs w:val="20"/>
          <w:lang w:val="x-none" w:eastAsia="zh-CN"/>
        </w:rPr>
        <w:t>o</w:t>
      </w:r>
      <w:r w:rsidRPr="00194614">
        <w:rPr>
          <w:rFonts w:eastAsia="Calibri"/>
          <w:szCs w:val="20"/>
          <w:lang w:eastAsia="zh-CN"/>
        </w:rPr>
        <w:t>f</w:t>
      </w:r>
      <w:r w:rsidRPr="00194614">
        <w:rPr>
          <w:rFonts w:eastAsia="Calibri"/>
          <w:szCs w:val="20"/>
          <w:lang w:val="x-none" w:eastAsia="zh-CN"/>
        </w:rPr>
        <w:t xml:space="preserve"> the SCG so that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3308DD51" wp14:editId="761F38A0">
            <wp:extent cx="1379220" cy="184785"/>
            <wp:effectExtent l="0" t="0" r="0" b="5715"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in any portion of </w:t>
      </w:r>
      <w:r w:rsidRPr="00194614">
        <w:rPr>
          <w:rFonts w:eastAsia="Calibri"/>
          <w:szCs w:val="20"/>
          <w:lang w:eastAsia="zh-CN"/>
        </w:rPr>
        <w:t xml:space="preserve">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26CC47EA" wp14:editId="05EFA42B">
            <wp:extent cx="95250" cy="184785"/>
            <wp:effectExtent l="0" t="0" r="0" b="5715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>,</w:t>
      </w:r>
      <w:r w:rsidRPr="00194614">
        <w:rPr>
          <w:rFonts w:eastAsia="Calibri"/>
          <w:szCs w:val="20"/>
          <w:lang w:val="x-none" w:eastAsia="zh-CN"/>
        </w:rPr>
        <w:t xml:space="preserve"> where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5579B606" wp14:editId="3948EB0F">
            <wp:extent cx="354330" cy="184785"/>
            <wp:effectExtent l="0" t="0" r="7620" b="5715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  <w:lang w:val="x-none"/>
        </w:rPr>
        <w:t xml:space="preserve"> and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3D6E60FC" wp14:editId="4E8B88C6">
            <wp:extent cx="464820" cy="184785"/>
            <wp:effectExtent l="0" t="0" r="0" b="5715"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  <w:lang w:val="x-none"/>
        </w:rPr>
        <w:t xml:space="preserve"> </w:t>
      </w:r>
      <w:r w:rsidRPr="00194614">
        <w:rPr>
          <w:rFonts w:eastAsia="Calibri"/>
          <w:szCs w:val="20"/>
        </w:rPr>
        <w:t xml:space="preserve">are </w:t>
      </w:r>
      <w:r w:rsidRPr="00194614">
        <w:rPr>
          <w:rFonts w:eastAsia="Calibri"/>
          <w:szCs w:val="20"/>
          <w:lang w:val="x-none"/>
        </w:rPr>
        <w:t xml:space="preserve">the linear values of the </w:t>
      </w:r>
      <w:r w:rsidRPr="00194614">
        <w:rPr>
          <w:rFonts w:eastAsia="Calibri"/>
          <w:szCs w:val="20"/>
        </w:rPr>
        <w:t xml:space="preserve">total </w:t>
      </w:r>
      <w:r w:rsidRPr="00194614">
        <w:rPr>
          <w:rFonts w:eastAsia="Calibri"/>
          <w:szCs w:val="20"/>
          <w:lang w:val="x-none"/>
        </w:rPr>
        <w:t>UE transmi</w:t>
      </w:r>
      <w:r w:rsidRPr="00194614">
        <w:rPr>
          <w:rFonts w:eastAsia="Calibri"/>
          <w:szCs w:val="20"/>
        </w:rPr>
        <w:t>ssion</w:t>
      </w:r>
      <w:r w:rsidRPr="00194614">
        <w:rPr>
          <w:rFonts w:eastAsia="Calibri"/>
          <w:szCs w:val="20"/>
          <w:lang w:val="x-none"/>
        </w:rPr>
        <w:t xml:space="preserve"> power</w:t>
      </w:r>
      <w:r w:rsidRPr="00194614">
        <w:rPr>
          <w:rFonts w:eastAsia="Calibri"/>
          <w:szCs w:val="20"/>
          <w:lang w:val="x-none" w:eastAsia="zh-CN"/>
        </w:rPr>
        <w:t>s</w:t>
      </w:r>
      <w:r w:rsidRPr="00194614">
        <w:rPr>
          <w:rFonts w:eastAsia="Calibri"/>
          <w:szCs w:val="20"/>
          <w:lang w:val="x-none"/>
        </w:rPr>
        <w:t xml:space="preserve"> </w:t>
      </w:r>
      <w:r w:rsidRPr="00194614">
        <w:rPr>
          <w:rFonts w:eastAsia="Calibri"/>
          <w:szCs w:val="20"/>
        </w:rPr>
        <w:t>in</w:t>
      </w:r>
      <w:r w:rsidRPr="00194614">
        <w:rPr>
          <w:rFonts w:eastAsia="Calibri"/>
          <w:szCs w:val="20"/>
          <w:lang w:val="x-none" w:eastAsia="zh-CN"/>
        </w:rPr>
        <w:t xml:space="preserve"> subframe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5A0AFCFA" wp14:editId="7297F5FB">
            <wp:extent cx="95250" cy="184785"/>
            <wp:effectExtent l="0" t="0" r="0" b="5715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of the MCG </w:t>
      </w:r>
      <w:r w:rsidRPr="00194614">
        <w:rPr>
          <w:rFonts w:eastAsia="Calibri"/>
          <w:szCs w:val="20"/>
          <w:lang w:val="x-none"/>
        </w:rPr>
        <w:t xml:space="preserve">and </w:t>
      </w:r>
      <w:r w:rsidRPr="00194614">
        <w:rPr>
          <w:rFonts w:eastAsia="Calibri"/>
          <w:szCs w:val="20"/>
        </w:rPr>
        <w:t>in</w:t>
      </w:r>
      <w:r w:rsidRPr="00194614">
        <w:rPr>
          <w:rFonts w:eastAsia="Calibri"/>
          <w:szCs w:val="20"/>
          <w:lang w:val="x-none" w:eastAsia="zh-CN"/>
        </w:rPr>
        <w:t xml:space="preserve"> 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4AC4A55B" wp14:editId="7508619B">
            <wp:extent cx="95250" cy="184785"/>
            <wp:effectExtent l="0" t="0" r="0" b="5715"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of the SCG in FR1</w:t>
      </w:r>
      <w:r w:rsidRPr="00194614">
        <w:rPr>
          <w:rFonts w:eastAsia="Calibri"/>
          <w:szCs w:val="20"/>
          <w:lang w:val="x-none"/>
        </w:rPr>
        <w:t>, respectively.</w:t>
      </w:r>
      <w:r w:rsidRPr="00194614">
        <w:rPr>
          <w:rFonts w:eastAsia="Calibri"/>
          <w:szCs w:val="20"/>
        </w:rPr>
        <w:t xml:space="preserve"> The UE is not required to transmit </w:t>
      </w:r>
      <w:r w:rsidRPr="00194614">
        <w:rPr>
          <w:rFonts w:eastAsia="Calibri"/>
          <w:szCs w:val="20"/>
          <w:lang w:eastAsia="zh-CN"/>
        </w:rPr>
        <w:t xml:space="preserve">in any </w:t>
      </w:r>
      <w:r w:rsidRPr="00194614">
        <w:rPr>
          <w:rFonts w:eastAsia="Calibri"/>
          <w:szCs w:val="20"/>
        </w:rPr>
        <w:t xml:space="preserve">portion of </w:t>
      </w:r>
      <w:r w:rsidRPr="00194614">
        <w:rPr>
          <w:rFonts w:eastAsia="Calibri"/>
          <w:szCs w:val="20"/>
          <w:lang w:eastAsia="zh-CN"/>
        </w:rPr>
        <w:t xml:space="preserve">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5D95776F" wp14:editId="4A13CE8A">
            <wp:extent cx="95250" cy="184785"/>
            <wp:effectExtent l="0" t="0" r="0" b="5715"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of the SCG if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74E76F94" wp14:editId="6DB06CBC">
            <wp:extent cx="464820" cy="184785"/>
            <wp:effectExtent l="0" t="0" r="0" b="5715"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 would need to be reduced by more than the value provided by </w:t>
      </w:r>
      <w:r w:rsidRPr="00194614">
        <w:rPr>
          <w:rFonts w:eastAsia="Calibri"/>
          <w:i/>
          <w:szCs w:val="20"/>
        </w:rPr>
        <w:t>X</w:t>
      </w:r>
      <w:r w:rsidRPr="00194614">
        <w:rPr>
          <w:rFonts w:eastAsia="Calibri"/>
          <w:i/>
          <w:szCs w:val="20"/>
          <w:vertAlign w:val="subscript"/>
        </w:rPr>
        <w:t>SCALE</w:t>
      </w:r>
      <w:r w:rsidRPr="00194614">
        <w:rPr>
          <w:rFonts w:eastAsia="Calibri"/>
          <w:szCs w:val="20"/>
        </w:rPr>
        <w:t xml:space="preserve"> in order for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24485EC3" wp14:editId="07681910">
            <wp:extent cx="1379220" cy="184785"/>
            <wp:effectExtent l="0" t="0" r="0" b="5715"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 in any portion of 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3F963375" wp14:editId="0040F5A3">
            <wp:extent cx="95250" cy="184785"/>
            <wp:effectExtent l="0" t="0" r="0" b="5715"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  <w:lang w:val="x-none" w:eastAsia="zh-CN"/>
        </w:rPr>
        <w:t xml:space="preserve"> o</w:t>
      </w:r>
      <w:r w:rsidRPr="00194614">
        <w:rPr>
          <w:rFonts w:eastAsia="Calibri"/>
          <w:szCs w:val="20"/>
          <w:lang w:eastAsia="zh-CN"/>
        </w:rPr>
        <w:t>f</w:t>
      </w:r>
      <w:r w:rsidRPr="00194614">
        <w:rPr>
          <w:rFonts w:eastAsia="Calibri"/>
          <w:szCs w:val="20"/>
          <w:lang w:val="x-none" w:eastAsia="zh-CN"/>
        </w:rPr>
        <w:t xml:space="preserve"> the SCG</w:t>
      </w:r>
      <w:r w:rsidRPr="00194614">
        <w:rPr>
          <w:rFonts w:eastAsia="Calibri"/>
          <w:szCs w:val="20"/>
        </w:rPr>
        <w:t xml:space="preserve">. The UE is required to transmit </w:t>
      </w:r>
      <w:r w:rsidRPr="00194614">
        <w:rPr>
          <w:rFonts w:eastAsia="Calibri"/>
          <w:szCs w:val="20"/>
          <w:lang w:eastAsia="zh-CN"/>
        </w:rPr>
        <w:t xml:space="preserve">in 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571C116E" wp14:editId="6AD59109">
            <wp:extent cx="95250" cy="184785"/>
            <wp:effectExtent l="0" t="0" r="0" b="5715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 of the SCG if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1E29F9F6" wp14:editId="4B67173A">
            <wp:extent cx="354330" cy="184785"/>
            <wp:effectExtent l="0" t="0" r="7620" b="5715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 would not need to be reduced by more than the value provided by </w:t>
      </w:r>
      <w:r w:rsidRPr="00194614">
        <w:rPr>
          <w:rFonts w:eastAsia="Calibri"/>
          <w:i/>
          <w:szCs w:val="20"/>
        </w:rPr>
        <w:t>X</w:t>
      </w:r>
      <w:r w:rsidRPr="00194614">
        <w:rPr>
          <w:rFonts w:eastAsia="Calibri"/>
          <w:i/>
          <w:szCs w:val="20"/>
          <w:vertAlign w:val="subscript"/>
        </w:rPr>
        <w:t>SCALE</w:t>
      </w:r>
      <w:r w:rsidRPr="00194614">
        <w:rPr>
          <w:rFonts w:eastAsia="Calibri"/>
          <w:szCs w:val="20"/>
        </w:rPr>
        <w:t xml:space="preserve"> in order for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4CF2E323" wp14:editId="1D00921B">
            <wp:extent cx="1268730" cy="184785"/>
            <wp:effectExtent l="0" t="0" r="7620" b="5715"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 xml:space="preserve"> in all portions of slot </w:t>
      </w:r>
      <w:r w:rsidRPr="00194614">
        <w:rPr>
          <w:rFonts w:eastAsia="Calibri"/>
          <w:noProof/>
          <w:position w:val="-10"/>
          <w:szCs w:val="20"/>
          <w:lang w:val="x-none"/>
        </w:rPr>
        <w:drawing>
          <wp:inline distT="0" distB="0" distL="0" distR="0" wp14:anchorId="39F1C7DD" wp14:editId="0B8D29A7">
            <wp:extent cx="95250" cy="184785"/>
            <wp:effectExtent l="0" t="0" r="0" b="5715"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614">
        <w:rPr>
          <w:rFonts w:eastAsia="Calibri"/>
          <w:szCs w:val="20"/>
        </w:rPr>
        <w:t>.</w:t>
      </w:r>
    </w:p>
    <w:p w14:paraId="4F956DF9" w14:textId="77777777" w:rsidR="007A5B53" w:rsidRPr="00194614" w:rsidRDefault="007A5B53" w:rsidP="007A5B53">
      <w:pPr>
        <w:spacing w:after="180"/>
        <w:ind w:left="1288" w:hanging="284"/>
        <w:rPr>
          <w:rFonts w:eastAsia="Calibri"/>
          <w:szCs w:val="20"/>
          <w:lang w:val="x-none"/>
        </w:rPr>
      </w:pPr>
      <w:r w:rsidRPr="00194614">
        <w:rPr>
          <w:rFonts w:eastAsia="Calibri"/>
          <w:szCs w:val="20"/>
          <w:lang w:val="x-none"/>
        </w:rPr>
        <w:t>-</w:t>
      </w:r>
      <w:r w:rsidRPr="00194614">
        <w:rPr>
          <w:rFonts w:eastAsia="Calibri"/>
          <w:szCs w:val="20"/>
          <w:lang w:val="x-none"/>
        </w:rPr>
        <w:tab/>
        <w:t xml:space="preserve">If the UE </w:t>
      </w:r>
      <w:r w:rsidRPr="00194614">
        <w:rPr>
          <w:rFonts w:eastAsia="Calibri"/>
          <w:szCs w:val="20"/>
        </w:rPr>
        <w:t xml:space="preserve">does </w:t>
      </w:r>
      <w:r w:rsidRPr="00194614">
        <w:rPr>
          <w:rFonts w:eastAsia="Calibri"/>
          <w:szCs w:val="20"/>
          <w:lang w:val="x-none" w:eastAsia="ja-JP"/>
        </w:rPr>
        <w:t>not indicate a capability for dynamic power sharing</w:t>
      </w:r>
      <w:r w:rsidRPr="00194614">
        <w:rPr>
          <w:rFonts w:eastAsia="Calibri"/>
          <w:szCs w:val="20"/>
          <w:lang w:eastAsia="ja-JP"/>
        </w:rPr>
        <w:t xml:space="preserve"> between E-UTRA and NR for EN-DC, the UE expects to be configured </w:t>
      </w:r>
      <w:r w:rsidRPr="00194614">
        <w:rPr>
          <w:rFonts w:eastAsia="Calibri"/>
          <w:szCs w:val="20"/>
          <w:lang w:val="x-none" w:eastAsia="zh-CN"/>
        </w:rPr>
        <w:t xml:space="preserve">with </w:t>
      </w:r>
      <w:r w:rsidRPr="00194614">
        <w:rPr>
          <w:rFonts w:eastAsia="Calibri"/>
          <w:szCs w:val="20"/>
          <w:lang w:val="x-none"/>
        </w:rPr>
        <w:t>reference TDD configuration</w:t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for E-UTRA (by </w:t>
      </w:r>
      <w:r w:rsidRPr="00194614">
        <w:rPr>
          <w:rFonts w:eastAsia="Calibri"/>
          <w:i/>
          <w:iCs/>
          <w:szCs w:val="20"/>
          <w:lang w:val="x-none" w:eastAsia="zh-CN"/>
        </w:rPr>
        <w:t>tdm-PatternConfig-r15</w:t>
      </w:r>
      <w:r w:rsidRPr="00194614">
        <w:rPr>
          <w:rFonts w:eastAsia="Calibri"/>
          <w:szCs w:val="20"/>
          <w:lang w:eastAsia="zh-CN"/>
        </w:rPr>
        <w:t xml:space="preserve"> or by </w:t>
      </w:r>
      <w:r w:rsidRPr="00194614">
        <w:rPr>
          <w:rFonts w:eastAsia="Calibri"/>
          <w:i/>
          <w:iCs/>
          <w:szCs w:val="20"/>
          <w:lang w:val="x-none" w:eastAsia="zh-CN"/>
        </w:rPr>
        <w:t>tdm-PatternConfig-r16</w:t>
      </w:r>
      <w:r w:rsidRPr="00194614">
        <w:rPr>
          <w:rFonts w:eastAsia="Calibri"/>
          <w:szCs w:val="20"/>
          <w:lang w:val="x-none" w:eastAsia="zh-CN"/>
        </w:rPr>
        <w:t xml:space="preserve"> </w:t>
      </w:r>
      <w:r w:rsidRPr="00194614">
        <w:rPr>
          <w:rFonts w:eastAsia="Calibri"/>
          <w:szCs w:val="20"/>
          <w:lang w:eastAsia="zh-CN"/>
        </w:rPr>
        <w:t xml:space="preserve">in </w:t>
      </w:r>
      <w:r w:rsidRPr="00194614">
        <w:rPr>
          <w:rFonts w:eastAsia="Calibri"/>
          <w:szCs w:val="20"/>
          <w:lang w:val="x-none" w:eastAsia="zh-CN"/>
        </w:rPr>
        <w:t>[13, TS 36.213]</w:t>
      </w:r>
      <w:r w:rsidRPr="00194614">
        <w:rPr>
          <w:rFonts w:eastAsia="Calibri"/>
          <w:szCs w:val="20"/>
          <w:lang w:eastAsia="zh-CN"/>
        </w:rPr>
        <w:t>).</w:t>
      </w:r>
      <w:r w:rsidRPr="00194614">
        <w:rPr>
          <w:rFonts w:eastAsia="Calibri"/>
          <w:szCs w:val="20"/>
          <w:lang w:val="x-none"/>
        </w:rPr>
        <w:t xml:space="preserve"> </w:t>
      </w:r>
    </w:p>
    <w:p w14:paraId="32A8BC8E" w14:textId="77777777" w:rsidR="007A5B53" w:rsidRDefault="007A5B53" w:rsidP="007A5B53">
      <w:pPr>
        <w:jc w:val="both"/>
      </w:pPr>
    </w:p>
    <w:p w14:paraId="0E566EED" w14:textId="77777777" w:rsidR="007A5B53" w:rsidRDefault="007A5B53" w:rsidP="007A5B53">
      <w:pPr>
        <w:jc w:val="both"/>
      </w:pPr>
      <w:r>
        <w:t>---------------------------- end TP1 -----------------------------------------------------------------------------------</w:t>
      </w:r>
    </w:p>
    <w:p w14:paraId="63510F38" w14:textId="77777777" w:rsidR="007A5B53" w:rsidRPr="00845331" w:rsidRDefault="007A5B53" w:rsidP="00B6502F">
      <w:pPr>
        <w:pStyle w:val="ListParagraph"/>
        <w:ind w:left="0"/>
      </w:pPr>
    </w:p>
    <w:p w14:paraId="60A29F43" w14:textId="0DA094C7" w:rsidR="00B6502F" w:rsidRDefault="00F338C1" w:rsidP="00B6502F">
      <w:pPr>
        <w:pStyle w:val="Heading1"/>
      </w:pPr>
      <w:r>
        <w:t>Annex</w:t>
      </w:r>
    </w:p>
    <w:p w14:paraId="6478572E" w14:textId="77B56516" w:rsidR="00577C84" w:rsidRDefault="00577C84" w:rsidP="00577C84">
      <w:pPr>
        <w:pStyle w:val="BodyText"/>
      </w:pPr>
    </w:p>
    <w:p w14:paraId="04F3F3FB" w14:textId="06E82028" w:rsidR="00577C84" w:rsidRPr="00577C84" w:rsidRDefault="00577C84" w:rsidP="00577C84">
      <w:pPr>
        <w:pStyle w:val="BodyText"/>
      </w:pPr>
      <w:r>
        <w:lastRenderedPageBreak/>
        <w:t>Relevant Rel15 UE capabilities from TS 38.306 v15.8.0</w:t>
      </w:r>
    </w:p>
    <w:p w14:paraId="69E1E1BE" w14:textId="45EB42A8" w:rsidR="00535BE6" w:rsidRDefault="00535BE6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F338C1" w:rsidRPr="00EC530E" w14:paraId="2E65024E" w14:textId="77777777" w:rsidTr="00047F97">
        <w:trPr>
          <w:cantSplit/>
          <w:tblHeader/>
        </w:trPr>
        <w:tc>
          <w:tcPr>
            <w:tcW w:w="6917" w:type="dxa"/>
          </w:tcPr>
          <w:p w14:paraId="2D17455F" w14:textId="77777777" w:rsidR="00F338C1" w:rsidRPr="00EC530E" w:rsidRDefault="00F338C1" w:rsidP="00047F9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C530E">
              <w:rPr>
                <w:b/>
                <w:bCs/>
                <w:i/>
                <w:iCs/>
              </w:rPr>
              <w:t>singleUL</w:t>
            </w:r>
            <w:proofErr w:type="spellEnd"/>
            <w:r w:rsidRPr="00EC530E">
              <w:rPr>
                <w:b/>
                <w:bCs/>
                <w:i/>
                <w:iCs/>
              </w:rPr>
              <w:t>-Transmission</w:t>
            </w:r>
          </w:p>
          <w:p w14:paraId="70CD0688" w14:textId="77777777" w:rsidR="00F338C1" w:rsidRPr="00EC530E" w:rsidRDefault="00F338C1" w:rsidP="00047F97">
            <w:pPr>
              <w:pStyle w:val="TAL"/>
            </w:pPr>
            <w:r w:rsidRPr="00EC530E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</w:tc>
        <w:tc>
          <w:tcPr>
            <w:tcW w:w="709" w:type="dxa"/>
          </w:tcPr>
          <w:p w14:paraId="04807204" w14:textId="77777777" w:rsidR="00F338C1" w:rsidRPr="00EC530E" w:rsidRDefault="00F338C1" w:rsidP="00047F97">
            <w:pPr>
              <w:pStyle w:val="TAL"/>
              <w:jc w:val="center"/>
            </w:pPr>
            <w:r w:rsidRPr="00EC530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EA2B86D" w14:textId="77777777" w:rsidR="00F338C1" w:rsidRPr="00EC530E" w:rsidRDefault="00F338C1" w:rsidP="00047F97">
            <w:pPr>
              <w:pStyle w:val="TAL"/>
              <w:jc w:val="center"/>
            </w:pPr>
            <w:r w:rsidRPr="00EC530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38A178C" w14:textId="77777777" w:rsidR="00F338C1" w:rsidRPr="00EC530E" w:rsidRDefault="00F338C1" w:rsidP="00047F97">
            <w:pPr>
              <w:pStyle w:val="TAL"/>
              <w:jc w:val="center"/>
            </w:pPr>
            <w:r w:rsidRPr="00EC530E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14:paraId="73B6298D" w14:textId="77777777" w:rsidR="00F338C1" w:rsidRPr="00EC530E" w:rsidRDefault="00F338C1" w:rsidP="00047F97">
            <w:pPr>
              <w:pStyle w:val="TAL"/>
              <w:jc w:val="center"/>
            </w:pPr>
            <w:r w:rsidRPr="00EC530E">
              <w:t>No</w:t>
            </w:r>
          </w:p>
        </w:tc>
      </w:tr>
      <w:tr w:rsidR="00F338C1" w:rsidRPr="00EC530E" w14:paraId="6D9BBF2F" w14:textId="77777777" w:rsidTr="00047F97">
        <w:trPr>
          <w:cantSplit/>
          <w:tblHeader/>
        </w:trPr>
        <w:tc>
          <w:tcPr>
            <w:tcW w:w="6917" w:type="dxa"/>
          </w:tcPr>
          <w:p w14:paraId="74163C61" w14:textId="77777777" w:rsidR="00F338C1" w:rsidRPr="00EC530E" w:rsidRDefault="00F338C1" w:rsidP="00047F9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C530E">
              <w:rPr>
                <w:b/>
                <w:bCs/>
                <w:i/>
                <w:iCs/>
              </w:rPr>
              <w:t>tdm</w:t>
            </w:r>
            <w:proofErr w:type="spellEnd"/>
            <w:r w:rsidRPr="00EC530E">
              <w:rPr>
                <w:b/>
                <w:bCs/>
                <w:i/>
                <w:iCs/>
              </w:rPr>
              <w:t>-Pattern</w:t>
            </w:r>
          </w:p>
          <w:p w14:paraId="14175179" w14:textId="77777777" w:rsidR="00F338C1" w:rsidRPr="00EC530E" w:rsidRDefault="00F338C1" w:rsidP="00047F97">
            <w:pPr>
              <w:pStyle w:val="TAL"/>
            </w:pPr>
            <w:r w:rsidRPr="00EC530E">
              <w:rPr>
                <w:lang w:eastAsia="zh-CN"/>
              </w:rPr>
              <w:t xml:space="preserve">Indicates whether the UE supports the </w:t>
            </w:r>
            <w:proofErr w:type="spellStart"/>
            <w:r w:rsidRPr="00EC530E">
              <w:rPr>
                <w:i/>
                <w:lang w:eastAsia="zh-CN"/>
              </w:rPr>
              <w:t>tdm-PatternConfig</w:t>
            </w:r>
            <w:proofErr w:type="spellEnd"/>
            <w:r w:rsidRPr="00EC530E">
              <w:rPr>
                <w:lang w:eastAsia="zh-CN"/>
              </w:rPr>
              <w:t xml:space="preserve"> for </w:t>
            </w:r>
            <w:r w:rsidRPr="00EC530E">
              <w:rPr>
                <w:i/>
                <w:lang w:eastAsia="zh-CN"/>
              </w:rPr>
              <w:t>single UL-transmission</w:t>
            </w:r>
            <w:r w:rsidRPr="00EC530E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EC530E">
              <w:rPr>
                <w:lang w:eastAsia="zh-CN"/>
              </w:rPr>
              <w:t>dynamicPowerSharingENDC</w:t>
            </w:r>
            <w:proofErr w:type="spellEnd"/>
            <w:r w:rsidRPr="00EC530E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EC530E">
              <w:rPr>
                <w:lang w:eastAsia="zh-CN"/>
              </w:rPr>
              <w:t>dynamicPowerSharingNEDC</w:t>
            </w:r>
            <w:proofErr w:type="spellEnd"/>
            <w:r w:rsidRPr="00EC530E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5D9D48BA" w14:textId="77777777" w:rsidR="00F338C1" w:rsidRPr="00EC530E" w:rsidRDefault="00F338C1" w:rsidP="00047F97">
            <w:pPr>
              <w:pStyle w:val="TAL"/>
              <w:jc w:val="center"/>
            </w:pPr>
            <w:r w:rsidRPr="00EC530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5FBE321" w14:textId="77777777" w:rsidR="00F338C1" w:rsidRPr="00EC530E" w:rsidRDefault="00F338C1" w:rsidP="00047F97">
            <w:pPr>
              <w:pStyle w:val="TAL"/>
              <w:jc w:val="center"/>
            </w:pPr>
            <w:r w:rsidRPr="00EC530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5B4567D7" w14:textId="77777777" w:rsidR="00F338C1" w:rsidRPr="00EC530E" w:rsidRDefault="00F338C1" w:rsidP="00047F97">
            <w:pPr>
              <w:pStyle w:val="TAL"/>
              <w:jc w:val="center"/>
            </w:pPr>
            <w:r w:rsidRPr="00EC530E">
              <w:rPr>
                <w:bCs/>
                <w:iCs/>
              </w:rPr>
              <w:t>Yes</w:t>
            </w:r>
          </w:p>
        </w:tc>
        <w:tc>
          <w:tcPr>
            <w:tcW w:w="728" w:type="dxa"/>
          </w:tcPr>
          <w:p w14:paraId="10AD90E1" w14:textId="77777777" w:rsidR="00F338C1" w:rsidRPr="00EC530E" w:rsidRDefault="00F338C1" w:rsidP="00047F97">
            <w:pPr>
              <w:pStyle w:val="TAL"/>
              <w:jc w:val="center"/>
            </w:pPr>
            <w:r w:rsidRPr="00EC530E">
              <w:t>Yes</w:t>
            </w:r>
          </w:p>
        </w:tc>
      </w:tr>
      <w:tr w:rsidR="00577C84" w:rsidRPr="00EC530E" w14:paraId="34313CCD" w14:textId="77777777" w:rsidTr="00577C8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906A66" w14:textId="77777777" w:rsidR="00577C84" w:rsidRPr="00EC530E" w:rsidRDefault="00577C84" w:rsidP="00047F9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C530E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364EB514" w14:textId="77777777" w:rsidR="00577C84" w:rsidRPr="00577C84" w:rsidRDefault="00577C84" w:rsidP="00047F97">
            <w:pPr>
              <w:pStyle w:val="TAL"/>
              <w:rPr>
                <w:i/>
                <w:iCs/>
              </w:rPr>
            </w:pPr>
            <w:r w:rsidRPr="00577C84">
              <w:rPr>
                <w:i/>
                <w:iCs/>
              </w:rPr>
              <w:t>Indicates whether the UE supports dynamic (NG)EN-DC power sharing between NR FR1 carriers and the LTE carriers. If the UE supports this capability the UE supports the dynamic power sharing behaviour as specified in clause 7 of TS 38.213 [11].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859AEF" w14:textId="77777777" w:rsidR="00577C84" w:rsidRPr="00577C84" w:rsidRDefault="00577C84" w:rsidP="00047F97">
            <w:pPr>
              <w:pStyle w:val="TAL"/>
              <w:jc w:val="center"/>
              <w:rPr>
                <w:bCs/>
                <w:iCs/>
              </w:rPr>
            </w:pPr>
            <w:r w:rsidRPr="00EC530E"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956E10" w14:textId="77777777" w:rsidR="00577C84" w:rsidRPr="00577C84" w:rsidRDefault="00577C84" w:rsidP="00047F97">
            <w:pPr>
              <w:pStyle w:val="TAL"/>
              <w:jc w:val="center"/>
              <w:rPr>
                <w:bCs/>
                <w:iCs/>
              </w:rPr>
            </w:pPr>
            <w:r w:rsidRPr="00EC530E">
              <w:rPr>
                <w:bCs/>
                <w:iCs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C07DF" w14:textId="77777777" w:rsidR="00577C84" w:rsidRPr="00577C84" w:rsidRDefault="00577C84" w:rsidP="00047F97">
            <w:pPr>
              <w:pStyle w:val="TAL"/>
              <w:jc w:val="center"/>
              <w:rPr>
                <w:bCs/>
                <w:iCs/>
              </w:rPr>
            </w:pPr>
            <w:r w:rsidRPr="00EC530E">
              <w:rPr>
                <w:bCs/>
                <w:iCs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B6C85C" w14:textId="77777777" w:rsidR="00577C84" w:rsidRPr="00EC530E" w:rsidRDefault="00577C84" w:rsidP="00047F97">
            <w:pPr>
              <w:pStyle w:val="TAL"/>
              <w:jc w:val="center"/>
            </w:pPr>
            <w:r w:rsidRPr="00EC530E">
              <w:t>FR1 only</w:t>
            </w:r>
          </w:p>
        </w:tc>
      </w:tr>
    </w:tbl>
    <w:p w14:paraId="6D68FE2C" w14:textId="77777777" w:rsidR="00F338C1" w:rsidRDefault="00F338C1"/>
    <w:sectPr w:rsidR="00F338C1">
      <w:head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51D1F" w14:textId="77777777" w:rsidR="00F23B0B" w:rsidRDefault="00F23B0B">
      <w:r>
        <w:separator/>
      </w:r>
    </w:p>
  </w:endnote>
  <w:endnote w:type="continuationSeparator" w:id="0">
    <w:p w14:paraId="0D2D3040" w14:textId="77777777" w:rsidR="00F23B0B" w:rsidRDefault="00F2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3A03E" w14:textId="77777777" w:rsidR="00F23B0B" w:rsidRDefault="00F23B0B">
      <w:r>
        <w:separator/>
      </w:r>
    </w:p>
  </w:footnote>
  <w:footnote w:type="continuationSeparator" w:id="0">
    <w:p w14:paraId="4C83747A" w14:textId="77777777" w:rsidR="00F23B0B" w:rsidRDefault="00F23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E1BAD" w14:textId="77777777" w:rsidR="00E832CA" w:rsidRDefault="00F23B0B" w:rsidP="00C44D46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C559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A5BBF"/>
    <w:multiLevelType w:val="hybridMultilevel"/>
    <w:tmpl w:val="F3E8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271DE6"/>
    <w:multiLevelType w:val="hybridMultilevel"/>
    <w:tmpl w:val="C8F2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31C28"/>
    <w:multiLevelType w:val="hybridMultilevel"/>
    <w:tmpl w:val="6D3AB01E"/>
    <w:lvl w:ilvl="0" w:tplc="2360831C">
      <w:start w:val="5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AD26723"/>
    <w:multiLevelType w:val="hybridMultilevel"/>
    <w:tmpl w:val="88F47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95E0C"/>
    <w:multiLevelType w:val="hybridMultilevel"/>
    <w:tmpl w:val="5FA6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0D1EB9"/>
    <w:multiLevelType w:val="hybridMultilevel"/>
    <w:tmpl w:val="70C6C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0" w15:restartNumberingAfterBreak="0">
    <w:nsid w:val="7DB43F61"/>
    <w:multiLevelType w:val="hybridMultilevel"/>
    <w:tmpl w:val="747AE70C"/>
    <w:lvl w:ilvl="0" w:tplc="75082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3"/>
  </w:num>
  <w:num w:numId="6">
    <w:abstractNumId w:val="10"/>
  </w:num>
  <w:num w:numId="7">
    <w:abstractNumId w:val="2"/>
  </w:num>
  <w:num w:numId="8">
    <w:abstractNumId w:val="6"/>
  </w:num>
  <w:num w:numId="9">
    <w:abstractNumId w:val="1"/>
  </w:num>
  <w:num w:numId="10">
    <w:abstractNumId w:val="6"/>
  </w:num>
  <w:num w:numId="11">
    <w:abstractNumId w:val="1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02F"/>
    <w:rsid w:val="00194614"/>
    <w:rsid w:val="0021173B"/>
    <w:rsid w:val="0029642C"/>
    <w:rsid w:val="002B157A"/>
    <w:rsid w:val="00330057"/>
    <w:rsid w:val="003902F5"/>
    <w:rsid w:val="003A64A0"/>
    <w:rsid w:val="003D2674"/>
    <w:rsid w:val="00420356"/>
    <w:rsid w:val="00432BC1"/>
    <w:rsid w:val="004617AF"/>
    <w:rsid w:val="00535BE6"/>
    <w:rsid w:val="00577C84"/>
    <w:rsid w:val="005C4A3A"/>
    <w:rsid w:val="0061739E"/>
    <w:rsid w:val="00627C67"/>
    <w:rsid w:val="00677879"/>
    <w:rsid w:val="00677AD4"/>
    <w:rsid w:val="006A49B1"/>
    <w:rsid w:val="00765A99"/>
    <w:rsid w:val="00767D38"/>
    <w:rsid w:val="007A5B53"/>
    <w:rsid w:val="007A73E4"/>
    <w:rsid w:val="00810D90"/>
    <w:rsid w:val="008711A3"/>
    <w:rsid w:val="009615BD"/>
    <w:rsid w:val="00972582"/>
    <w:rsid w:val="00977FEB"/>
    <w:rsid w:val="00A53538"/>
    <w:rsid w:val="00B164EC"/>
    <w:rsid w:val="00B6502F"/>
    <w:rsid w:val="00B92A34"/>
    <w:rsid w:val="00BC7D63"/>
    <w:rsid w:val="00D367FA"/>
    <w:rsid w:val="00D50E69"/>
    <w:rsid w:val="00DB60D7"/>
    <w:rsid w:val="00E05B97"/>
    <w:rsid w:val="00E12A82"/>
    <w:rsid w:val="00E21A2D"/>
    <w:rsid w:val="00E24138"/>
    <w:rsid w:val="00E8369E"/>
    <w:rsid w:val="00E86E81"/>
    <w:rsid w:val="00EE6370"/>
    <w:rsid w:val="00F23B0B"/>
    <w:rsid w:val="00F3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CB32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6502F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B6502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B6502F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B6502F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B6502F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B6502F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B6502F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6502F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6502F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B6502F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B6502F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B6502F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6502F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6502F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6502F"/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0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02F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617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17A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17A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7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17A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725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2582"/>
    <w:rPr>
      <w:rFonts w:ascii="Times New Roman" w:eastAsia="Times New Roman" w:hAnsi="Times New Roman" w:cs="Times New Roman"/>
      <w:sz w:val="20"/>
      <w:szCs w:val="24"/>
    </w:rPr>
  </w:style>
  <w:style w:type="paragraph" w:customStyle="1" w:styleId="TAL">
    <w:name w:val="TAL"/>
    <w:basedOn w:val="Normal"/>
    <w:link w:val="TALCar"/>
    <w:qFormat/>
    <w:rsid w:val="00F338C1"/>
    <w:pPr>
      <w:keepNext/>
      <w:keepLines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338C1"/>
    <w:rPr>
      <w:rFonts w:ascii="Arial" w:eastAsia="Malgun Gothic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0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1493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2020-02-15T05:45:00Z</dcterms:created>
  <dcterms:modified xsi:type="dcterms:W3CDTF">2020-02-15T05:45:00Z</dcterms:modified>
</cp:coreProperties>
</file>