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6C47E" w14:textId="3ED102F9" w:rsidR="00292CE2" w:rsidRPr="001A659D" w:rsidRDefault="00292CE2" w:rsidP="00292C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16742">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21A2A">
        <w:rPr>
          <w:rFonts w:ascii="Arial" w:hAnsi="Arial" w:cs="Arial"/>
          <w:b/>
          <w:sz w:val="24"/>
          <w:szCs w:val="24"/>
        </w:rPr>
        <w:t>1</w:t>
      </w:r>
      <w:r w:rsidR="00F52419">
        <w:rPr>
          <w:rFonts w:ascii="Arial" w:hAnsi="Arial" w:cs="Arial"/>
          <w:b/>
          <w:sz w:val="24"/>
          <w:szCs w:val="24"/>
        </w:rPr>
        <w:t>2419</w:t>
      </w:r>
    </w:p>
    <w:p w14:paraId="129CDF6E" w14:textId="06546C1B" w:rsidR="00292CE2" w:rsidRPr="004B566C" w:rsidRDefault="00292CE2" w:rsidP="00292CE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616742">
        <w:rPr>
          <w:rFonts w:ascii="Arial" w:hAnsi="Arial" w:cs="Arial"/>
          <w:b/>
          <w:sz w:val="24"/>
        </w:rPr>
        <w:t>Sep</w:t>
      </w:r>
      <w:r w:rsidR="00521300">
        <w:rPr>
          <w:rFonts w:ascii="Arial" w:hAnsi="Arial" w:cs="Arial"/>
          <w:b/>
          <w:sz w:val="24"/>
        </w:rPr>
        <w:t>.</w:t>
      </w:r>
      <w:r>
        <w:rPr>
          <w:rFonts w:ascii="Arial" w:hAnsi="Arial" w:cs="Arial"/>
          <w:b/>
          <w:sz w:val="24"/>
        </w:rPr>
        <w:t xml:space="preserve"> </w:t>
      </w:r>
      <w:r w:rsidR="009C7E28">
        <w:rPr>
          <w:rFonts w:ascii="Arial" w:hAnsi="Arial" w:cs="Arial"/>
          <w:b/>
          <w:sz w:val="24"/>
        </w:rPr>
        <w:t>1</w:t>
      </w:r>
      <w:r w:rsidR="00616742">
        <w:rPr>
          <w:rFonts w:ascii="Arial" w:hAnsi="Arial" w:cs="Arial"/>
          <w:b/>
          <w:sz w:val="24"/>
        </w:rPr>
        <w:t>3</w:t>
      </w:r>
      <w:r>
        <w:rPr>
          <w:rFonts w:ascii="Arial" w:hAnsi="Arial" w:cs="Arial"/>
          <w:b/>
          <w:sz w:val="24"/>
        </w:rPr>
        <w:t>-</w:t>
      </w:r>
      <w:r w:rsidR="002E61C7">
        <w:rPr>
          <w:rFonts w:ascii="Arial" w:hAnsi="Arial" w:cs="Arial"/>
          <w:b/>
          <w:sz w:val="24"/>
        </w:rPr>
        <w:t>1</w:t>
      </w:r>
      <w:r w:rsidR="00616742">
        <w:rPr>
          <w:rFonts w:ascii="Arial" w:hAnsi="Arial" w:cs="Arial"/>
          <w:b/>
          <w:sz w:val="24"/>
        </w:rPr>
        <w:t>7</w:t>
      </w:r>
      <w:r w:rsidRPr="001A659D">
        <w:rPr>
          <w:rFonts w:ascii="Arial" w:hAnsi="Arial" w:cs="Arial"/>
          <w:b/>
          <w:sz w:val="24"/>
        </w:rPr>
        <w:t>, 20</w:t>
      </w:r>
      <w:r>
        <w:rPr>
          <w:rFonts w:ascii="Arial" w:hAnsi="Arial" w:cs="Arial"/>
          <w:b/>
          <w:sz w:val="24"/>
        </w:rPr>
        <w:t>2</w:t>
      </w:r>
      <w:r w:rsidR="009C7E28">
        <w:rPr>
          <w:rFonts w:ascii="Arial" w:hAnsi="Arial" w:cs="Arial"/>
          <w:b/>
          <w:sz w:val="24"/>
        </w:rPr>
        <w:t>1</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293DADF7"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BB2958">
        <w:rPr>
          <w:rFonts w:ascii="Arial" w:hAnsi="Arial" w:cs="Arial"/>
          <w:lang w:eastAsia="ja-JP"/>
        </w:rPr>
        <w:t>3</w:t>
      </w:r>
      <w:r w:rsidR="00C21339" w:rsidRPr="004F55A8">
        <w:rPr>
          <w:rFonts w:ascii="Arial" w:hAnsi="Arial" w:cs="Arial" w:hint="eastAsia"/>
          <w:lang w:eastAsia="ja-JP"/>
        </w:rPr>
        <w:t>.</w:t>
      </w:r>
      <w:r w:rsidR="00671158">
        <w:rPr>
          <w:rFonts w:ascii="Arial" w:hAnsi="Arial" w:cs="Arial"/>
          <w:lang w:eastAsia="ja-JP"/>
        </w:rPr>
        <w:t>1.</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41698B9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w:t>
            </w:r>
            <w:r w:rsidR="00F817D4">
              <w:rPr>
                <w:rFonts w:ascii="Arial" w:hAnsi="Arial" w:cs="Arial"/>
                <w:lang w:eastAsia="ja-JP"/>
              </w:rPr>
              <w:t>211345</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mm/yyyy</w:t>
            </w:r>
          </w:p>
        </w:tc>
        <w:tc>
          <w:tcPr>
            <w:tcW w:w="1842" w:type="dxa"/>
          </w:tcPr>
          <w:p w14:paraId="1ACE7EEF" w14:textId="247BCC4F"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mm/yyyy</w:t>
            </w:r>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mm/yyyy</w:t>
            </w:r>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4F273D6E" w:rsidR="00871653" w:rsidRPr="004F55A8" w:rsidRDefault="00EB697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65</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Cross-carrier scheduling from SCell to PCell/PSCell</w:t>
      </w:r>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Following scheduling combinations are allowed/not allowed when cross-carrier scheduling from an SCell to PCell/PSCell is configured</w:t>
      </w:r>
    </w:p>
    <w:p w14:paraId="377F55AA" w14:textId="77777777" w:rsidR="00CD32B3" w:rsidRDefault="00881A64" w:rsidP="000933C5">
      <w:pPr>
        <w:numPr>
          <w:ilvl w:val="1"/>
          <w:numId w:val="6"/>
        </w:numPr>
        <w:overflowPunct/>
        <w:autoSpaceDE/>
        <w:autoSpaceDN/>
        <w:adjustRightInd/>
        <w:spacing w:after="0"/>
        <w:textAlignment w:val="auto"/>
      </w:pPr>
      <w:r>
        <w:t>self-scheduling on PCell/PSCell is allowed</w:t>
      </w:r>
    </w:p>
    <w:p w14:paraId="6BA28D9C" w14:textId="77777777" w:rsidR="00CD32B3" w:rsidRDefault="00881A64" w:rsidP="000933C5">
      <w:pPr>
        <w:numPr>
          <w:ilvl w:val="1"/>
          <w:numId w:val="6"/>
        </w:numPr>
        <w:overflowPunct/>
        <w:autoSpaceDE/>
        <w:autoSpaceDN/>
        <w:adjustRightInd/>
        <w:spacing w:after="0"/>
        <w:textAlignment w:val="auto"/>
      </w:pPr>
      <w:r>
        <w:t>cross-carrier scheduling from PCell/PSCell to another SCell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‘SCell used for scheduling PCell/PSCell’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‘SCell used for scheduling PCell/PSCell’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‘SCell used for scheduling PCell/PSCell’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Configuring 2 or more Scells to schedule the PCell/PSCell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When CCS from an SCell (sSCell) to PCell/PSCell is configured, UE monitors Type 0/0A/1/2 CSS sets (for the DCI formats associated with those SS sets) only on the PCell/PSCell and not on the sSCell</w:t>
      </w:r>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Note: UE monitors Type 0/0A/2 CSS only on PCell while Type 1 CSS can be monitored on PCell/PSCell</w:t>
      </w:r>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When CCS from sSCell to PCell/PSCell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Note: The SCell configured with CCS to Pcell/PSCell is referred to as ‘sSCell’</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When the PCell/PSCell and sSCell use different numerologies, the PDSCH reception preparation time between the PDCCH on the sSCell and the PDSCH on the PCell/PSCell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When CCS from sSCell to PCell/PSCell is configured,</w:t>
      </w:r>
      <w:r w:rsidRPr="00E3638E">
        <w:rPr>
          <w:lang w:eastAsia="zh-CN"/>
        </w:rPr>
        <w:t xml:space="preserve"> UE cannot be configured to monitor DCI formats 0_1,1_1,0_2,1_2 on PCell/PSCell USS set(s), and can be configured to monitor them only on the sSCell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When CCS from sSCell to PCell/PSCell is configured,</w:t>
      </w:r>
      <w:r w:rsidRPr="00E3638E">
        <w:rPr>
          <w:lang w:eastAsia="zh-CN"/>
        </w:rPr>
        <w:t xml:space="preserve"> UE can be configured to monitor DCI formats 0_1/1_1/0_2/1_2 on PCell/PSCell USS set(s), and/or on sSCell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can monitor DCI formats 0_1,1_1,0_2,1_2 on both PCell USS set(s) and sSCell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FFS activation/deactivation of scheduling from sSCell to PCell/PSCell</w:t>
      </w:r>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Dynamic switching of PDCCH monitoring of DCI formats 0_1,1_1,0_2,1_2 between monitoring on PCell/PSCell USS sets and monitoring on sSCell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e.g. based on SS group switching, based on BWP switching,…</w:t>
      </w:r>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DCI formats 0_1,1_1,0_2,1_2 on both PCell USS set(s) and sSCell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the same DCI format on both PCell USS set(s) and sSCell USS sets simultaneously. UE can monitor some DCI formats on sSCell USS sets and other DCI formats on PCell/PSCell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The USS set(s) on PSCell/PCell and the USS set(s) on sSCell are configured such that UE does not monitor DCI formats 0_1,1_1,0_2,1_2 on both PCell USS set(s) and sSCell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of sSCell activation/deactivation and sSCell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including considering PDCCH monitoring on CSS sets and PDCCH monitoring of ‘DCI formats 0_0, 1_0 scheduling PUSCH/PDSCH on PCell/PSCell’</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sSCell is supported or not supported and impact (if any) on overbooking handling on PCell/PSCell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from different numerologies between PDCCH on the PCell/PSCell and that on the sSCell</w:t>
      </w:r>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Whether or not to have mechanism for activation/deactivation of scheduling from sSCell to PCell/PSCell</w:t>
      </w:r>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PCell/PSCell)</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sSCell to PCell/PSCell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PCell/PSCell scheduled by PDCCH on PCell/PSCell and b) PDSCH on PCell/PSCell scheduled by PDCCH on sSCell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PCell/PSCell scheduled by PDCCH on PCell/PSCell and b) PUSCH on PCell/PSCell scheduled by PDCCH on sSCell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sSCell to PCell/PSCell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Simultaneous reception of a) unicast PDSCH on PCell/PSCell scheduled from PCell/PSCell and b) unicast PDSCH on PCell/PSCell scheduled from sSCell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Simultaneous transmission of a) PUSCH on PCell/PSCell scheduled from PCell/PSCell and b) PUSCH on PCell/PSCell scheduled from sSCell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When CCS from sSCell to PCell/PSCell is configured, CA activation/deactivation operation for the sSCell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The WA to be confirmed after agreements are made on PDCCH BD/CCE handling and PDCCH overbooking handling for CCS from sSCell to PCell/PSCell</w:t>
      </w:r>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When CCS from sSCell to PCell/PSCell is configured, UE monitors ‘DCI formats 0_0 and 1_0 in CSS that schedule PDSCH/PUSCH on PCell/PSCell’ only on the PCell/PSCell and not on the sSCell</w:t>
      </w:r>
    </w:p>
    <w:p w14:paraId="0AA8EC4F" w14:textId="77777777" w:rsidR="00883A56" w:rsidRPr="00AC1918" w:rsidRDefault="00883A56" w:rsidP="00AC1918">
      <w:pPr>
        <w:rPr>
          <w:lang w:eastAsia="ja-JP"/>
        </w:rPr>
      </w:pPr>
    </w:p>
    <w:p w14:paraId="36FA903A" w14:textId="36603823" w:rsidR="00B630A0" w:rsidRDefault="00B630A0" w:rsidP="00B630A0">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47A31C3B"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577ED9D3" w14:textId="77777777" w:rsidR="00B630A0" w:rsidRPr="00B630A0" w:rsidRDefault="00B630A0" w:rsidP="00B630A0">
      <w:pPr>
        <w:spacing w:after="0"/>
        <w:contextualSpacing/>
        <w:rPr>
          <w:rFonts w:ascii="Times" w:eastAsia="Batang" w:hAnsi="Times"/>
          <w:szCs w:val="24"/>
          <w:lang w:eastAsia="zh-CN"/>
        </w:rPr>
      </w:pPr>
      <w:r w:rsidRPr="00B630A0">
        <w:rPr>
          <w:rFonts w:ascii="Times" w:eastAsia="Batang" w:hAnsi="Times"/>
          <w:szCs w:val="24"/>
          <w:lang w:eastAsia="zh-CN"/>
        </w:rPr>
        <w:t>When CCS from sSCell to PCell/PSCell is configured</w:t>
      </w:r>
    </w:p>
    <w:p w14:paraId="38775E0D" w14:textId="77777777" w:rsidR="00B630A0" w:rsidRPr="00B630A0" w:rsidRDefault="00B630A0" w:rsidP="00B630A0">
      <w:pPr>
        <w:numPr>
          <w:ilvl w:val="0"/>
          <w:numId w:val="15"/>
        </w:numPr>
        <w:overflowPunct/>
        <w:autoSpaceDE/>
        <w:autoSpaceDN/>
        <w:adjustRightInd/>
        <w:spacing w:after="0"/>
        <w:contextualSpacing/>
        <w:textAlignment w:val="auto"/>
        <w:rPr>
          <w:rFonts w:ascii="Times" w:eastAsia="Batang" w:hAnsi="Times"/>
          <w:szCs w:val="24"/>
          <w:lang w:eastAsia="zh-CN"/>
        </w:rPr>
      </w:pPr>
      <w:r w:rsidRPr="00B630A0">
        <w:rPr>
          <w:rFonts w:ascii="Times" w:eastAsia="Batang" w:hAnsi="Times"/>
          <w:szCs w:val="24"/>
          <w:lang w:eastAsia="zh-CN"/>
        </w:rPr>
        <w:t>CIF=0 used for sSCell self-scheduling, and CIF for sSCell to PCell cross-carrier scheduling is explicitly configured using RRC signalling</w:t>
      </w:r>
    </w:p>
    <w:p w14:paraId="338B467B" w14:textId="691A5B62" w:rsidR="00292CE2" w:rsidRDefault="00292CE2" w:rsidP="00292CE2">
      <w:pPr>
        <w:overflowPunct/>
        <w:autoSpaceDE/>
        <w:autoSpaceDN/>
        <w:adjustRightInd/>
        <w:spacing w:after="0"/>
        <w:textAlignment w:val="auto"/>
      </w:pPr>
    </w:p>
    <w:p w14:paraId="45DE1CC7"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7502D296" w14:textId="77777777" w:rsidR="00B630A0" w:rsidRPr="00B630A0" w:rsidRDefault="00B630A0" w:rsidP="00B630A0">
      <w:pPr>
        <w:overflowPunct/>
        <w:autoSpaceDE/>
        <w:autoSpaceDN/>
        <w:adjustRightInd/>
        <w:spacing w:after="0"/>
        <w:textAlignment w:val="auto"/>
        <w:rPr>
          <w:rFonts w:ascii="Times" w:eastAsia="Batang" w:hAnsi="Times"/>
          <w:szCs w:val="24"/>
          <w:lang w:eastAsia="zh-CN"/>
        </w:rPr>
      </w:pPr>
      <w:r w:rsidRPr="00B630A0">
        <w:rPr>
          <w:rFonts w:ascii="Times" w:eastAsia="Batang" w:hAnsi="Times"/>
          <w:szCs w:val="24"/>
          <w:lang w:eastAsia="zh-CN"/>
        </w:rPr>
        <w:t>PDCCH overbooking on sSCell USS set(s) is not allowed</w:t>
      </w:r>
    </w:p>
    <w:p w14:paraId="3330BB82" w14:textId="661106DF" w:rsidR="00B630A0" w:rsidRDefault="00B630A0" w:rsidP="00292CE2">
      <w:pPr>
        <w:overflowPunct/>
        <w:autoSpaceDE/>
        <w:autoSpaceDN/>
        <w:adjustRightInd/>
        <w:spacing w:after="0"/>
        <w:textAlignment w:val="auto"/>
      </w:pPr>
    </w:p>
    <w:p w14:paraId="68B19131" w14:textId="16F93B3C"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1400D1CB" w14:textId="77777777" w:rsidR="00671158" w:rsidRPr="00671158" w:rsidRDefault="00671158" w:rsidP="00671158">
      <w:pPr>
        <w:overflowPunct/>
        <w:autoSpaceDE/>
        <w:autoSpaceDN/>
        <w:adjustRightInd/>
        <w:spacing w:after="0"/>
        <w:textAlignment w:val="auto"/>
        <w:rPr>
          <w:rFonts w:ascii="Times" w:eastAsia="Batang" w:hAnsi="Times" w:cs="Times"/>
          <w:b/>
          <w:bCs/>
          <w:szCs w:val="22"/>
          <w:highlight w:val="green"/>
          <w:lang w:eastAsia="x-none"/>
        </w:rPr>
      </w:pPr>
      <w:r w:rsidRPr="00671158">
        <w:rPr>
          <w:rFonts w:ascii="Times" w:eastAsia="Batang" w:hAnsi="Times" w:cs="Times"/>
          <w:b/>
          <w:bCs/>
          <w:szCs w:val="22"/>
          <w:highlight w:val="green"/>
          <w:lang w:eastAsia="x-none"/>
        </w:rPr>
        <w:t>Agreement</w:t>
      </w:r>
    </w:p>
    <w:p w14:paraId="7E7D10B7" w14:textId="77777777" w:rsidR="00671158" w:rsidRPr="00671158" w:rsidRDefault="00671158" w:rsidP="00671158">
      <w:pPr>
        <w:overflowPunct/>
        <w:autoSpaceDE/>
        <w:autoSpaceDN/>
        <w:adjustRightInd/>
        <w:spacing w:after="160" w:line="256" w:lineRule="auto"/>
        <w:contextualSpacing/>
        <w:textAlignment w:val="auto"/>
        <w:rPr>
          <w:rFonts w:ascii="Times" w:eastAsia="MS Mincho" w:hAnsi="Times" w:cs="Times"/>
          <w:szCs w:val="22"/>
          <w:lang w:eastAsia="x-none"/>
        </w:rPr>
      </w:pPr>
      <w:r w:rsidRPr="00671158">
        <w:rPr>
          <w:rFonts w:ascii="Times" w:eastAsia="MS Mincho" w:hAnsi="Times" w:cs="Times"/>
          <w:szCs w:val="22"/>
          <w:lang w:eastAsia="x-none"/>
        </w:rPr>
        <w:t xml:space="preserve">Two types of UEs (Type A and Type B) can support CCS from sSCell to P(S)Cell </w:t>
      </w:r>
    </w:p>
    <w:p w14:paraId="1EF7309F"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UE</w:t>
      </w:r>
    </w:p>
    <w:p w14:paraId="0C110C39"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At least 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sSCell are configured so that the UE does not monitor them in overlapping [slot/symbol] of P(S)Cell and sSCell</w:t>
      </w:r>
    </w:p>
    <w:p w14:paraId="050E8CA0"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1A358628"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0_1,1_1,0_2,1_2 (if supported for Type A UE)</w:t>
      </w:r>
    </w:p>
    <w:p w14:paraId="12687092"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4BB341D1"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6F0D24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4FBFE873"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10456AE2"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222112E"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B UE</w:t>
      </w:r>
    </w:p>
    <w:p w14:paraId="7FF9EA93"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 xml:space="preserve">sSCell </w:t>
      </w:r>
      <w:r w:rsidRPr="00671158">
        <w:rPr>
          <w:rFonts w:ascii="Times" w:eastAsia="MS Mincho" w:hAnsi="Times" w:cs="Times"/>
          <w:szCs w:val="22"/>
          <w:lang w:eastAsia="x-none"/>
        </w:rPr>
        <w:t>can be</w:t>
      </w:r>
      <w:r w:rsidRPr="00671158">
        <w:rPr>
          <w:rFonts w:ascii="Times" w:eastAsia="Calibri" w:hAnsi="Times" w:cs="Times"/>
          <w:szCs w:val="22"/>
          <w:lang w:eastAsia="x-none"/>
        </w:rPr>
        <w:t xml:space="preserve"> configured so that the UE monitor</w:t>
      </w:r>
      <w:r w:rsidRPr="00671158">
        <w:rPr>
          <w:rFonts w:ascii="Times" w:eastAsia="MS Mincho" w:hAnsi="Times" w:cs="Times"/>
          <w:szCs w:val="22"/>
          <w:lang w:eastAsia="x-none"/>
        </w:rPr>
        <w:t>s</w:t>
      </w:r>
      <w:r w:rsidRPr="00671158">
        <w:rPr>
          <w:rFonts w:ascii="Times" w:eastAsia="Calibri" w:hAnsi="Times" w:cs="Times"/>
          <w:szCs w:val="22"/>
          <w:lang w:eastAsia="x-none"/>
        </w:rPr>
        <w:t xml:space="preserve"> them in overlapping [slot/symbol] of P(S)Cell and sSCell</w:t>
      </w:r>
    </w:p>
    <w:p w14:paraId="31A8F394"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39953714"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2C6ECA97"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15ED1E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1DA77CF6"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3D71AE60" w14:textId="77777777" w:rsidR="00671158" w:rsidRPr="00671158" w:rsidRDefault="00671158" w:rsidP="00671158">
      <w:pPr>
        <w:numPr>
          <w:ilvl w:val="1"/>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 xml:space="preserve">For handling ‘USS sets </w:t>
      </w:r>
      <w:r w:rsidRPr="00671158">
        <w:rPr>
          <w:rFonts w:ascii="Times" w:eastAsia="Calibri" w:hAnsi="Times" w:cs="Times"/>
          <w:szCs w:val="22"/>
          <w:lang w:eastAsia="x-none"/>
        </w:rPr>
        <w:t>for scheduling P(S)Cell’</w:t>
      </w:r>
      <w:r w:rsidRPr="00671158">
        <w:rPr>
          <w:rFonts w:ascii="Times" w:eastAsia="MS Mincho" w:hAnsi="Times" w:cs="Times"/>
          <w:szCs w:val="22"/>
          <w:lang w:eastAsia="x-none"/>
        </w:rPr>
        <w:t xml:space="preserve"> on P(S)Cell and/or on sSCell for DCI formats 0_1,1_1,0_2,1_2</w:t>
      </w:r>
    </w:p>
    <w:p w14:paraId="4D3B7DE1" w14:textId="77777777" w:rsidR="00671158" w:rsidRPr="00671158" w:rsidRDefault="00671158" w:rsidP="00671158">
      <w:pPr>
        <w:numPr>
          <w:ilvl w:val="2"/>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Alt 2-1 is adopted</w:t>
      </w:r>
    </w:p>
    <w:p w14:paraId="7E58F4E1"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lastRenderedPageBreak/>
        <w:t>There is no restriction on Type-0/0A/1/2-CSS sets configurations</w:t>
      </w:r>
    </w:p>
    <w:p w14:paraId="35B75B44"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6351F89"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and/or Type B UE</w:t>
      </w:r>
    </w:p>
    <w:p w14:paraId="4F07B0D2" w14:textId="77777777" w:rsidR="00671158" w:rsidRPr="00671158" w:rsidRDefault="00671158" w:rsidP="00671158">
      <w:pPr>
        <w:numPr>
          <w:ilvl w:val="1"/>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eastAsia="zh-CN"/>
        </w:rPr>
        <w:t xml:space="preserve">FFS: </w:t>
      </w:r>
      <w:r w:rsidRPr="00671158">
        <w:rPr>
          <w:rFonts w:ascii="Times" w:eastAsia="Batang" w:hAnsi="Times" w:cs="Times"/>
          <w:szCs w:val="22"/>
          <w:lang w:val="en-US" w:eastAsia="zh-CN"/>
        </w:rPr>
        <w:t xml:space="preserve">switching to ‘normal’ PDCCH monitoring on P(S)Cell when sSCell is </w:t>
      </w:r>
      <w:r w:rsidRPr="00671158">
        <w:rPr>
          <w:rFonts w:ascii="Times" w:eastAsia="Batang" w:hAnsi="Times" w:cs="Times"/>
          <w:szCs w:val="22"/>
          <w:lang w:eastAsia="zh-CN"/>
        </w:rPr>
        <w:t>d</w:t>
      </w:r>
      <w:r w:rsidRPr="00671158">
        <w:rPr>
          <w:rFonts w:ascii="Times" w:eastAsia="Batang" w:hAnsi="Times" w:cs="Times"/>
          <w:szCs w:val="22"/>
          <w:lang w:val="en-US" w:eastAsia="zh-CN"/>
        </w:rPr>
        <w:t>eactivated</w:t>
      </w:r>
    </w:p>
    <w:p w14:paraId="75175143"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Type A is specified or is Type-B with restrictions (as part of UE features discussion)</w:t>
      </w:r>
    </w:p>
    <w:p w14:paraId="1A95638A"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UE can be configured with unaligned CA</w:t>
      </w:r>
    </w:p>
    <w:p w14:paraId="701863B2"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above applies for multicast PDSCH</w:t>
      </w:r>
    </w:p>
    <w:p w14:paraId="36418163" w14:textId="4D6854B7" w:rsidR="00671158" w:rsidRDefault="00671158" w:rsidP="00292CE2">
      <w:pPr>
        <w:overflowPunct/>
        <w:autoSpaceDE/>
        <w:autoSpaceDN/>
        <w:adjustRightInd/>
        <w:spacing w:after="0"/>
        <w:textAlignment w:val="auto"/>
      </w:pPr>
    </w:p>
    <w:p w14:paraId="6B9F425F" w14:textId="29F7C198" w:rsidR="00165A92" w:rsidRDefault="00165A92" w:rsidP="00165A92">
      <w:pPr>
        <w:pStyle w:val="Heading6"/>
        <w:rPr>
          <w:lang w:eastAsia="ja-JP"/>
        </w:rPr>
      </w:pPr>
      <w:r w:rsidRPr="00D21A2A">
        <w:rPr>
          <w:lang w:eastAsia="ja-JP"/>
        </w:rPr>
        <w:t>RAN1#10</w:t>
      </w:r>
      <w:r>
        <w:rPr>
          <w:lang w:eastAsia="ja-JP"/>
        </w:rPr>
        <w:t>6</w:t>
      </w:r>
      <w:r w:rsidRPr="00D21A2A">
        <w:rPr>
          <w:lang w:eastAsia="ja-JP"/>
        </w:rPr>
        <w:t>-e (</w:t>
      </w:r>
      <w:r>
        <w:rPr>
          <w:lang w:eastAsia="ja-JP"/>
        </w:rPr>
        <w:t>August</w:t>
      </w:r>
      <w:r w:rsidRPr="00D21A2A">
        <w:rPr>
          <w:lang w:eastAsia="ja-JP"/>
        </w:rPr>
        <w:t xml:space="preserve"> 202</w:t>
      </w:r>
      <w:r>
        <w:rPr>
          <w:lang w:eastAsia="ja-JP"/>
        </w:rPr>
        <w:t>1</w:t>
      </w:r>
      <w:r w:rsidRPr="00D21A2A">
        <w:rPr>
          <w:lang w:eastAsia="ja-JP"/>
        </w:rPr>
        <w:t>)</w:t>
      </w:r>
    </w:p>
    <w:p w14:paraId="6761D0F1"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2E999FE5" w14:textId="77777777" w:rsidR="00165A92" w:rsidRPr="00B3303F" w:rsidRDefault="00165A92" w:rsidP="00165A92">
      <w:pPr>
        <w:overflowPunct/>
        <w:autoSpaceDE/>
        <w:autoSpaceDN/>
        <w:adjustRightInd/>
        <w:spacing w:after="0"/>
        <w:rPr>
          <w:rFonts w:ascii="Times" w:eastAsia="Batang" w:hAnsi="Times"/>
          <w:szCs w:val="24"/>
          <w:lang w:eastAsia="x-none"/>
        </w:rPr>
      </w:pPr>
      <w:r w:rsidRPr="00B3303F">
        <w:rPr>
          <w:rFonts w:ascii="Times" w:eastAsia="Batang" w:hAnsi="Times"/>
          <w:szCs w:val="24"/>
          <w:lang w:eastAsia="x-none"/>
        </w:rPr>
        <w:t>Specification supports dormant BWP operation on sSCell for a UE is configured CCS from sSCell to P(S)Cell.</w:t>
      </w:r>
    </w:p>
    <w:p w14:paraId="5697CEB6" w14:textId="77777777" w:rsidR="00165A92" w:rsidRPr="00B3303F" w:rsidRDefault="00165A92" w:rsidP="00165A92">
      <w:pPr>
        <w:overflowPunct/>
        <w:autoSpaceDE/>
        <w:autoSpaceDN/>
        <w:adjustRightInd/>
        <w:spacing w:after="0"/>
        <w:rPr>
          <w:rFonts w:ascii="Times" w:eastAsia="Batang" w:hAnsi="Times"/>
          <w:szCs w:val="24"/>
          <w:lang w:eastAsia="x-none"/>
        </w:rPr>
      </w:pPr>
    </w:p>
    <w:p w14:paraId="18E1F0A4"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2ED972DC" w14:textId="77777777" w:rsidR="00165A92" w:rsidRPr="00B3303F" w:rsidRDefault="00165A92" w:rsidP="00165A92">
      <w:pPr>
        <w:numPr>
          <w:ilvl w:val="0"/>
          <w:numId w:val="26"/>
        </w:numPr>
        <w:tabs>
          <w:tab w:val="left" w:pos="720"/>
          <w:tab w:val="left" w:pos="1440"/>
        </w:tabs>
        <w:overflowPunct/>
        <w:autoSpaceDE/>
        <w:autoSpaceDN/>
        <w:adjustRightInd/>
        <w:spacing w:after="0"/>
        <w:contextualSpacing/>
        <w:textAlignment w:val="auto"/>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67182CFF"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258332FE"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3547F385" w14:textId="77777777" w:rsidR="00165A92" w:rsidRPr="00B3303F" w:rsidRDefault="00165A92" w:rsidP="00165A92">
      <w:pPr>
        <w:overflowPunct/>
        <w:autoSpaceDE/>
        <w:autoSpaceDN/>
        <w:adjustRightInd/>
        <w:spacing w:after="0"/>
        <w:rPr>
          <w:noProof/>
        </w:rPr>
      </w:pPr>
    </w:p>
    <w:p w14:paraId="24560677"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1342D235"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0586FFF8"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[based on Option A/C]</w:t>
      </w:r>
    </w:p>
    <w:p w14:paraId="27166FDD"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On P(S)Cell (for self-scheduling)</w:t>
      </w:r>
    </w:p>
    <w:p w14:paraId="22CE2F8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5B030BE3"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On sSCell (for cross-carrier scheduling to P(S)Cell)</w:t>
      </w:r>
    </w:p>
    <w:p w14:paraId="1EEBF13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5C92689B"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77C3EC08"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3242D410"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FFS the following for [based on Option A/C]</w:t>
      </w:r>
    </w:p>
    <w:p w14:paraId="48CE25AE" w14:textId="77777777" w:rsidR="00165A92" w:rsidRPr="00B3303F" w:rsidRDefault="00165A92" w:rsidP="00165A92">
      <w:pPr>
        <w:numPr>
          <w:ilvl w:val="3"/>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27886312" w14:textId="77777777" w:rsidR="00165A92" w:rsidRPr="00B3303F" w:rsidRDefault="00165A92" w:rsidP="00165A92">
      <w:pPr>
        <w:numPr>
          <w:ilvl w:val="4"/>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364D81BB"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 xml:space="preserve"> Alt1</w:t>
      </w:r>
    </w:p>
    <w:p w14:paraId="5676B4C1"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23013771"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Alt 2</w:t>
      </w:r>
    </w:p>
    <w:p w14:paraId="00B8B00A"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The additional BD limitation is per P(S)Cell slot and no further restrictions</w:t>
      </w:r>
    </w:p>
    <w:p w14:paraId="484615C5"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Alt 3</w:t>
      </w:r>
    </w:p>
    <w:p w14:paraId="43BE11DD" w14:textId="77777777" w:rsidR="00165A92" w:rsidRPr="00B3303F" w:rsidRDefault="00165A92" w:rsidP="00165A92">
      <w:pPr>
        <w:numPr>
          <w:ilvl w:val="6"/>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The additional BD limitation is per P(S)SCell slot with below further limitation</w:t>
      </w:r>
    </w:p>
    <w:p w14:paraId="6DC034C8" w14:textId="77777777" w:rsidR="00165A92" w:rsidRPr="00B3303F" w:rsidRDefault="00165A92" w:rsidP="00165A92">
      <w:pPr>
        <w:numPr>
          <w:ilvl w:val="7"/>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1B5D346"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3776C639"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lastRenderedPageBreak/>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629F4F79"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[based on Option C]</w:t>
      </w:r>
    </w:p>
    <w:p w14:paraId="14B8D2D7"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On P(S)Cell (for self-scheduling)</w:t>
      </w:r>
    </w:p>
    <w:p w14:paraId="117D3B94"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0C635C75"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DengXian" w:hAnsi="Times"/>
          <w:color w:val="4472C4"/>
          <w:szCs w:val="24"/>
        </w:rPr>
        <w:t>On sSCell (for cross-carrier scheduling to P(S)Cell)</w:t>
      </w:r>
    </w:p>
    <w:p w14:paraId="5ADEB71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2D23BFBC"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F7F4DDD"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61DAE476"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257B6028"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0924977B"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FFS the following</w:t>
      </w:r>
    </w:p>
    <w:p w14:paraId="5BD3FEF5"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DengXian" w:hAnsi="Times"/>
          <w:color w:val="4472C4"/>
          <w:szCs w:val="24"/>
        </w:rPr>
        <w:t>Allowed combinations of s1 and s2 , and whether they are fixed or configured via RRC</w:t>
      </w:r>
    </w:p>
    <w:p w14:paraId="6EE8DC76"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65E8470" w14:textId="77777777" w:rsidR="00165A92" w:rsidRPr="00B3303F" w:rsidRDefault="00165A92" w:rsidP="00165A92">
      <w:pPr>
        <w:overflowPunct/>
        <w:autoSpaceDE/>
        <w:autoSpaceDN/>
        <w:adjustRightInd/>
        <w:spacing w:after="160" w:line="259" w:lineRule="auto"/>
        <w:ind w:left="2880"/>
        <w:contextualSpacing/>
        <w:rPr>
          <w:rFonts w:ascii="Times" w:eastAsia="DengXian" w:hAnsi="Times"/>
          <w:color w:val="4472C4"/>
          <w:szCs w:val="24"/>
        </w:rPr>
      </w:pPr>
    </w:p>
    <w:p w14:paraId="230BBA58"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FFS the following</w:t>
      </w:r>
    </w:p>
    <w:p w14:paraId="13F88CF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Multi-TRP handling</w:t>
      </w:r>
    </w:p>
    <w:p w14:paraId="4144FF7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0F09CF0E" w14:textId="77777777" w:rsidR="00165A92" w:rsidRDefault="00165A92" w:rsidP="00165A92">
      <w:pPr>
        <w:rPr>
          <w:lang w:val="en-US" w:eastAsia="zh-CN"/>
        </w:rPr>
      </w:pPr>
    </w:p>
    <w:p w14:paraId="0658F680"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1DF538A3" w14:textId="77777777" w:rsidR="00165A92" w:rsidRPr="00B3303F" w:rsidRDefault="00165A92" w:rsidP="00165A92">
      <w:pPr>
        <w:numPr>
          <w:ilvl w:val="0"/>
          <w:numId w:val="27"/>
        </w:numPr>
        <w:overflowPunct/>
        <w:autoSpaceDE/>
        <w:autoSpaceDN/>
        <w:adjustRightInd/>
        <w:spacing w:after="0"/>
        <w:ind w:left="360"/>
        <w:contextualSpacing/>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638A782A" w14:textId="77777777" w:rsidR="00165A92" w:rsidRPr="00B3303F" w:rsidRDefault="00165A92" w:rsidP="00165A92">
      <w:pPr>
        <w:numPr>
          <w:ilvl w:val="0"/>
          <w:numId w:val="27"/>
        </w:numPr>
        <w:overflowPunct/>
        <w:autoSpaceDE/>
        <w:autoSpaceDN/>
        <w:adjustRightInd/>
        <w:spacing w:after="0"/>
        <w:ind w:left="360"/>
        <w:contextualSpacing/>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5230D0E1" w14:textId="77777777" w:rsidR="00165A92" w:rsidRPr="00B3303F" w:rsidRDefault="00165A92" w:rsidP="00165A92">
      <w:pPr>
        <w:spacing w:after="0"/>
        <w:ind w:left="360"/>
        <w:contextualSpacing/>
        <w:rPr>
          <w:rFonts w:ascii="Times" w:eastAsia="DengXian" w:hAnsi="Times" w:cs="Times"/>
          <w:szCs w:val="24"/>
          <w:lang w:val="en-US" w:eastAsia="zh-CN"/>
        </w:rPr>
      </w:pPr>
    </w:p>
    <w:p w14:paraId="35CA179D"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start TP1 for 38.300 v.xyz -------------------------------------------</w:t>
      </w:r>
    </w:p>
    <w:p w14:paraId="24F8ADA4" w14:textId="77777777" w:rsidR="00165A92" w:rsidRPr="00B3303F" w:rsidRDefault="00165A92" w:rsidP="00165A92">
      <w:pPr>
        <w:overflowPunct/>
        <w:autoSpaceDE/>
        <w:autoSpaceDN/>
        <w:adjustRightInd/>
        <w:spacing w:after="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732A2A9E" w14:textId="77777777" w:rsidR="00165A92" w:rsidRPr="00B3303F" w:rsidRDefault="00165A92" w:rsidP="00165A92">
      <w:pPr>
        <w:overflowPunct/>
        <w:autoSpaceDE/>
        <w:autoSpaceDN/>
        <w:adjustRightInd/>
        <w:spacing w:after="0"/>
        <w:rPr>
          <w:rFonts w:ascii="Calibri" w:hAnsi="Calibri" w:cs="Calibri"/>
          <w:szCs w:val="24"/>
          <w:lang w:eastAsia="ja-JP"/>
        </w:rPr>
      </w:pPr>
      <w:r w:rsidRPr="00B3303F">
        <w:rPr>
          <w:rFonts w:ascii="Times" w:hAnsi="Times"/>
          <w:szCs w:val="24"/>
          <w:lang w:eastAsia="ja-JP"/>
        </w:rPr>
        <w:t>Cross-carrier scheduling with the Carrier Indicator Field (CIF) allows the PDCCH of a serving cell to schedule resources on another serving cell but with the following restrictions:</w:t>
      </w:r>
    </w:p>
    <w:p w14:paraId="33B1D886"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r>
      <w:r w:rsidRPr="00B3303F">
        <w:rPr>
          <w:rFonts w:ascii="Times" w:hAnsi="Times"/>
          <w:strike/>
          <w:szCs w:val="24"/>
          <w:lang w:val="en-US"/>
        </w:rPr>
        <w:t>Cross-carrier scheduling does not apply to Pcell i.e</w:t>
      </w:r>
      <w:r w:rsidRPr="00B3303F">
        <w:rPr>
          <w:rFonts w:ascii="Times" w:hAnsi="Times"/>
          <w:szCs w:val="24"/>
          <w:lang w:val="en-US"/>
        </w:rPr>
        <w:t xml:space="preserve">. </w:t>
      </w:r>
      <w:r w:rsidRPr="00B3303F">
        <w:rPr>
          <w:rFonts w:ascii="Times" w:hAnsi="Times"/>
          <w:color w:val="C00000"/>
          <w:szCs w:val="24"/>
          <w:lang w:val="en-US" w:eastAsia="zh-CN"/>
        </w:rPr>
        <w:t>When cross-carrier scheduling from an SCell to Pcell is not configured,</w:t>
      </w:r>
      <w:r w:rsidRPr="00B3303F">
        <w:rPr>
          <w:rFonts w:ascii="Times" w:hAnsi="Times"/>
          <w:color w:val="FF0000"/>
          <w:szCs w:val="24"/>
          <w:u w:val="single"/>
          <w:lang w:val="en-US" w:eastAsia="zh-CN"/>
        </w:rPr>
        <w:t xml:space="preserve"> </w:t>
      </w:r>
      <w:r w:rsidRPr="00B3303F">
        <w:rPr>
          <w:rFonts w:ascii="Times" w:hAnsi="Times"/>
          <w:szCs w:val="24"/>
          <w:lang w:val="en-US"/>
        </w:rPr>
        <w:t xml:space="preserve">Pcell </w:t>
      </w:r>
      <w:r w:rsidRPr="00B3303F">
        <w:rPr>
          <w:rFonts w:ascii="Times" w:hAnsi="Times"/>
          <w:color w:val="C00000"/>
          <w:szCs w:val="24"/>
          <w:lang w:val="en-US"/>
        </w:rPr>
        <w:t xml:space="preserve">can only be </w:t>
      </w:r>
      <w:r w:rsidRPr="00B3303F">
        <w:rPr>
          <w:rFonts w:ascii="Times" w:hAnsi="Times"/>
          <w:strike/>
          <w:szCs w:val="24"/>
          <w:lang w:val="en-US"/>
        </w:rPr>
        <w:t>is always</w:t>
      </w:r>
      <w:r w:rsidRPr="00B3303F">
        <w:rPr>
          <w:rFonts w:ascii="Times" w:hAnsi="Times"/>
          <w:szCs w:val="24"/>
          <w:lang w:val="en-US"/>
        </w:rPr>
        <w:t xml:space="preserve"> scheduled via its PDCCH;</w:t>
      </w:r>
    </w:p>
    <w:p w14:paraId="48CC6086" w14:textId="77777777" w:rsidR="00165A92" w:rsidRPr="00B3303F" w:rsidRDefault="00165A92" w:rsidP="00165A92">
      <w:pPr>
        <w:overflowPunct/>
        <w:autoSpaceDE/>
        <w:autoSpaceDN/>
        <w:adjustRightInd/>
        <w:spacing w:after="0"/>
        <w:rPr>
          <w:rFonts w:ascii="Times" w:hAnsi="Times"/>
          <w:color w:val="C00000"/>
          <w:szCs w:val="24"/>
          <w:lang w:val="en-US" w:eastAsia="zh-CN"/>
        </w:rPr>
      </w:pPr>
      <w:r w:rsidRPr="00B3303F">
        <w:rPr>
          <w:rFonts w:ascii="Times" w:hAnsi="Times"/>
          <w:color w:val="FF0000"/>
          <w:szCs w:val="24"/>
          <w:lang w:val="en-US" w:eastAsia="zh-CN"/>
        </w:rPr>
        <w:t>-</w:t>
      </w:r>
      <w:r w:rsidRPr="00B3303F">
        <w:rPr>
          <w:rFonts w:ascii="Times" w:hAnsi="Times"/>
          <w:color w:val="FF0000"/>
          <w:szCs w:val="24"/>
          <w:lang w:val="en-US" w:eastAsia="zh-CN"/>
        </w:rPr>
        <w:tab/>
      </w:r>
      <w:r w:rsidRPr="00B3303F">
        <w:rPr>
          <w:rFonts w:ascii="Times" w:hAnsi="Times"/>
          <w:color w:val="C00000"/>
          <w:szCs w:val="24"/>
          <w:lang w:val="en-US" w:eastAsia="zh-CN"/>
        </w:rPr>
        <w:t xml:space="preserve">When cross-carrier scheduling from an SCell to Pcell is configured, </w:t>
      </w:r>
      <w:r w:rsidRPr="00B3303F">
        <w:rPr>
          <w:rFonts w:ascii="Times" w:hAnsi="Times"/>
          <w:color w:val="7030A0"/>
          <w:szCs w:val="24"/>
          <w:lang w:val="en-US"/>
        </w:rPr>
        <w:t xml:space="preserve">PDCCH on that SCell can schedule Pcell’s PDSCH and PUSCH, and PDCCH on the Pcell can also schedule Pcell’s PDSCH and PUSCH, </w:t>
      </w:r>
      <w:r w:rsidRPr="00B3303F">
        <w:rPr>
          <w:rFonts w:ascii="Times" w:hAnsi="Times"/>
          <w:color w:val="C00000"/>
          <w:szCs w:val="24"/>
          <w:lang w:val="en-US"/>
        </w:rPr>
        <w:t>and PDCCH on Pcell cannot schedule PDSCH and PUSCH on any other cell. Only one SCell can be configured to be used for cross-carrier scheduling to Pcell;</w:t>
      </w:r>
    </w:p>
    <w:p w14:paraId="639FD855"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configured with a PDCCH, that cell’s PDSCH and PUSCH are always scheduled by the PDCCH on this SCell;</w:t>
      </w:r>
    </w:p>
    <w:p w14:paraId="063B250D"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not configured with a PDCCH, that SCell’s PDSCH and PUSCH are always scheduled by a PDCCH on another serving cell;</w:t>
      </w:r>
    </w:p>
    <w:p w14:paraId="260913FA"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The scheduling PDCCH and the scheduled PDSCH/PUSCH can use the same or different numerologies.</w:t>
      </w:r>
    </w:p>
    <w:p w14:paraId="455036C3"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end TP1 -----------------------------------------------</w:t>
      </w:r>
    </w:p>
    <w:p w14:paraId="3686C779" w14:textId="16F31FEC" w:rsidR="00165A92" w:rsidRDefault="00165A92" w:rsidP="00292CE2">
      <w:pPr>
        <w:overflowPunct/>
        <w:autoSpaceDE/>
        <w:autoSpaceDN/>
        <w:adjustRightInd/>
        <w:spacing w:after="0"/>
        <w:textAlignment w:val="auto"/>
      </w:pPr>
    </w:p>
    <w:p w14:paraId="10925CC8" w14:textId="536188F4"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Draft LS </w:t>
      </w:r>
      <w:r w:rsidRPr="00165A92">
        <w:rPr>
          <w:rFonts w:ascii="Times" w:eastAsia="Batang" w:hAnsi="Times"/>
          <w:color w:val="0000FF"/>
          <w:szCs w:val="24"/>
          <w:highlight w:val="green"/>
          <w:u w:val="single"/>
          <w:lang w:eastAsia="en-US"/>
        </w:rPr>
        <w:t>R1-2108576</w:t>
      </w:r>
      <w:r w:rsidRPr="00165A92">
        <w:rPr>
          <w:rFonts w:ascii="Times" w:eastAsia="Batang" w:hAnsi="Times"/>
          <w:szCs w:val="24"/>
          <w:highlight w:val="green"/>
          <w:lang w:eastAsia="en-US"/>
        </w:rPr>
        <w:t xml:space="preserve"> is endorsed in principle</w:t>
      </w:r>
    </w:p>
    <w:p w14:paraId="59FE0E04"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p>
    <w:p w14:paraId="026C937D" w14:textId="41EA5471"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 xml:space="preserve">Final LS </w:t>
      </w:r>
      <w:r w:rsidRPr="00165A92">
        <w:rPr>
          <w:rFonts w:ascii="Times" w:eastAsia="Batang" w:hAnsi="Times"/>
          <w:color w:val="0000FF"/>
          <w:szCs w:val="24"/>
          <w:highlight w:val="green"/>
          <w:u w:val="single"/>
          <w:lang w:eastAsia="en-US"/>
        </w:rPr>
        <w:t>R1-2108662</w:t>
      </w:r>
      <w:r w:rsidRPr="00165A92">
        <w:rPr>
          <w:rFonts w:ascii="Times" w:eastAsia="Batang" w:hAnsi="Times"/>
          <w:szCs w:val="24"/>
          <w:highlight w:val="green"/>
          <w:lang w:eastAsia="en-US"/>
        </w:rPr>
        <w:t xml:space="preserve"> is endorsed</w:t>
      </w:r>
    </w:p>
    <w:p w14:paraId="081C6140" w14:textId="77777777" w:rsidR="00165A92" w:rsidRPr="001B536C" w:rsidRDefault="00165A92" w:rsidP="00292CE2">
      <w:pPr>
        <w:overflowPunct/>
        <w:autoSpaceDE/>
        <w:autoSpaceDN/>
        <w:adjustRightInd/>
        <w:spacing w:after="0"/>
        <w:textAlignment w:val="auto"/>
      </w:pPr>
    </w:p>
    <w:p w14:paraId="289A4CEB" w14:textId="26FD5034" w:rsidR="00CD32B3" w:rsidRDefault="00957B5F" w:rsidP="00CD32B3">
      <w:pPr>
        <w:pStyle w:val="Heading5"/>
        <w:rPr>
          <w:i/>
          <w:iCs/>
          <w:u w:val="single"/>
          <w:lang w:eastAsia="ja-JP"/>
        </w:rPr>
      </w:pPr>
      <w:bookmarkStart w:id="2"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UE configured with Inter-band CA with PCell and an SCell</w:t>
      </w:r>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r w:rsidRPr="00BB4A09">
        <w:lastRenderedPageBreak/>
        <w:t>PCell for the UE is operated on a DSS carrier (i.e.,  same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Case 1: Different SCS for PCell and SCell</w:t>
      </w:r>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Case 2: Same SCS for PCell and Scell</w:t>
      </w:r>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Inter-band CA case with PCell and more than one SCell (at least the SCells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3BCDD5FF"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PCell 10MHz + SCell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PCell 20MHz + SCell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lastRenderedPageBreak/>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Note 1: For two-cell scheduling via a single DCI, PDCCH transmitted on SCell schedules one PDSCH on the SCell and another PDSCH on PCell.</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Note 2: For comparison, for single-cell scheduling, one PDCCH transmitted on SCell schedules one PDSCH on the SCell via self-scheduling and another PDCCH transmitted on the SCell schedules another PDSCH on PCell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lastRenderedPageBreak/>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8 dBi</w:t>
            </w:r>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explantion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Observations from Section 2.6 of R1-2102138 for PDSCH throughput are shown below (the Note in first bullet is 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t>
      </w:r>
      <w:r w:rsidRPr="00883A56">
        <w:rPr>
          <w:rFonts w:eastAsia="Gulim"/>
          <w:snapToGrid w:val="0"/>
          <w:szCs w:val="22"/>
          <w:lang w:eastAsia="ko-KR"/>
        </w:rPr>
        <w:lastRenderedPageBreak/>
        <w:t xml:space="preserve">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w:t>
      </w:r>
      <w:r w:rsidRPr="00883A56">
        <w:rPr>
          <w:rFonts w:eastAsia="Gulim"/>
          <w:snapToGrid w:val="0"/>
          <w:szCs w:val="22"/>
          <w:lang w:eastAsia="ko-KR"/>
        </w:rPr>
        <w:lastRenderedPageBreak/>
        <w:t>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Gulim"/>
          <w:bCs/>
          <w:snapToGrid w:val="0"/>
          <w:szCs w:val="22"/>
          <w:lang w:eastAsia="ko-KR"/>
        </w:rPr>
        <w:t>3.6</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t>
      </w:r>
      <w:r w:rsidRPr="00883A56">
        <w:rPr>
          <w:rFonts w:eastAsia="Gulim"/>
          <w:snapToGrid w:val="0"/>
          <w:szCs w:val="22"/>
          <w:lang w:eastAsia="ko-KR"/>
        </w:rPr>
        <w:lastRenderedPageBreak/>
        <w:t>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(i.e.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 xml:space="preserve">r combination1,for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lastRenderedPageBreak/>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2C198B64" w14:textId="6B055876" w:rsidR="00671158" w:rsidRDefault="00671158" w:rsidP="00671158">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5F66061A" w14:textId="5586B960" w:rsidR="00671158" w:rsidRDefault="00671158" w:rsidP="00671158">
      <w:pPr>
        <w:rPr>
          <w:color w:val="4472C4" w:themeColor="accent5"/>
          <w:lang w:eastAsia="ja-JP"/>
        </w:rPr>
      </w:pPr>
      <w:r>
        <w:rPr>
          <w:color w:val="4472C4" w:themeColor="accent5"/>
          <w:lang w:eastAsia="ja-JP"/>
        </w:rPr>
        <w:t>Rapporteur</w:t>
      </w:r>
      <w:r w:rsidRPr="00347AA2">
        <w:rPr>
          <w:color w:val="4472C4" w:themeColor="accent5"/>
          <w:lang w:eastAsia="ja-JP"/>
        </w:rPr>
        <w:t xml:space="preserve"> Note</w:t>
      </w:r>
      <w:r>
        <w:rPr>
          <w:color w:val="4472C4" w:themeColor="accent5"/>
          <w:lang w:eastAsia="ja-JP"/>
        </w:rPr>
        <w:t>: Topic was not discussed in this meeting</w:t>
      </w:r>
    </w:p>
    <w:p w14:paraId="235FAA82" w14:textId="09BD60EE"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4C7731B9" w14:textId="77777777" w:rsidR="00671158" w:rsidRPr="00671158" w:rsidRDefault="00671158" w:rsidP="00671158">
      <w:pPr>
        <w:overflowPunct/>
        <w:autoSpaceDE/>
        <w:autoSpaceDN/>
        <w:adjustRightInd/>
        <w:spacing w:after="0"/>
        <w:textAlignment w:val="auto"/>
        <w:rPr>
          <w:rFonts w:ascii="Times" w:eastAsia="Batang" w:hAnsi="Times"/>
          <w:b/>
          <w:szCs w:val="24"/>
          <w:lang w:eastAsia="x-none"/>
        </w:rPr>
      </w:pPr>
      <w:r w:rsidRPr="00671158">
        <w:rPr>
          <w:rFonts w:ascii="Times" w:eastAsia="Batang" w:hAnsi="Times"/>
          <w:b/>
          <w:szCs w:val="24"/>
          <w:lang w:eastAsia="x-none"/>
        </w:rPr>
        <w:t>Conclusion</w:t>
      </w:r>
    </w:p>
    <w:p w14:paraId="13BB5F00" w14:textId="77777777" w:rsidR="00671158" w:rsidRPr="00671158" w:rsidRDefault="00671158" w:rsidP="00671158">
      <w:p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Stop the RAN1 work on two-cell PDSCH scheduling via a single DCI for specification support in Rel-17 DSS</w:t>
      </w:r>
    </w:p>
    <w:p w14:paraId="16383FD8"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6F607D5"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It is up to RAN to decide whether or not the feature is studied/specified in Rel-18 with extension to more than 2 carriers for both UL and DL within FR1 and FR2.</w:t>
      </w:r>
    </w:p>
    <w:p w14:paraId="471F9E9A" w14:textId="77777777" w:rsidR="00671158" w:rsidRPr="00671158" w:rsidRDefault="00671158" w:rsidP="00671158">
      <w:pPr>
        <w:rPr>
          <w:lang w:eastAsia="ja-JP"/>
        </w:rPr>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0933C5">
      <w:pPr>
        <w:pStyle w:val="ListParagraph"/>
        <w:numPr>
          <w:ilvl w:val="0"/>
          <w:numId w:val="8"/>
        </w:numPr>
        <w:ind w:leftChars="0"/>
        <w:rPr>
          <w:rFonts w:ascii="Times New Roman" w:hAnsi="Times New Roman"/>
          <w:sz w:val="20"/>
          <w:szCs w:val="20"/>
        </w:rPr>
      </w:pPr>
      <w:r w:rsidRPr="00EA1D5D">
        <w:rPr>
          <w:rFonts w:ascii="Times New Roman" w:hAnsi="Times New Roman"/>
          <w:sz w:val="20"/>
          <w:szCs w:val="20"/>
        </w:rPr>
        <w:t>Cross-carrier scheduling from SCell to PCell/PSCell</w:t>
      </w:r>
    </w:p>
    <w:p w14:paraId="7784202F" w14:textId="5058D0C7" w:rsidR="00231DC4" w:rsidRPr="00487EFF" w:rsidRDefault="00647610" w:rsidP="00D878B9">
      <w:pPr>
        <w:pStyle w:val="ListParagraph"/>
        <w:numPr>
          <w:ilvl w:val="1"/>
          <w:numId w:val="8"/>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SCell to PCell/PSCell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t>SAx/CTs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7BCE9796" w14:textId="38ED4D68"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August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Tdoc list  - </w:t>
      </w:r>
      <w:hyperlink r:id="rId10"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Tdoc list  - </w:t>
      </w:r>
      <w:hyperlink r:id="rId11"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Tdoc list  - </w:t>
      </w:r>
      <w:hyperlink r:id="rId12" w:history="1">
        <w:r w:rsidRPr="00582FDC">
          <w:rPr>
            <w:rStyle w:val="Hyperlink"/>
            <w:lang w:eastAsia="ja-JP"/>
          </w:rPr>
          <w:t>link</w:t>
        </w:r>
      </w:hyperlink>
      <w:r>
        <w:rPr>
          <w:lang w:eastAsia="ja-JP"/>
        </w:rPr>
        <w:t>)</w:t>
      </w:r>
    </w:p>
    <w:p w14:paraId="6D8F4FDF" w14:textId="4E65F184" w:rsidR="000E255F" w:rsidRPr="00005306" w:rsidRDefault="000E255F" w:rsidP="000E255F">
      <w:pPr>
        <w:pStyle w:val="Heading4"/>
        <w:rPr>
          <w:sz w:val="20"/>
          <w:szCs w:val="16"/>
          <w:u w:val="single"/>
          <w:lang w:eastAsia="ja-JP"/>
        </w:rPr>
      </w:pPr>
      <w:r w:rsidRPr="00005306">
        <w:rPr>
          <w:sz w:val="20"/>
          <w:szCs w:val="16"/>
          <w:u w:val="single"/>
          <w:lang w:eastAsia="ja-JP"/>
        </w:rPr>
        <w:t>RAN1#104</w:t>
      </w:r>
      <w:r>
        <w:rPr>
          <w:sz w:val="20"/>
          <w:szCs w:val="16"/>
          <w:u w:val="single"/>
          <w:lang w:eastAsia="ja-JP"/>
        </w:rPr>
        <w:t>b</w:t>
      </w:r>
      <w:r w:rsidRPr="00005306">
        <w:rPr>
          <w:sz w:val="20"/>
          <w:szCs w:val="16"/>
          <w:u w:val="single"/>
          <w:lang w:eastAsia="ja-JP"/>
        </w:rPr>
        <w:t>-e (</w:t>
      </w:r>
      <w:r>
        <w:rPr>
          <w:sz w:val="20"/>
          <w:szCs w:val="16"/>
          <w:u w:val="single"/>
          <w:lang w:eastAsia="ja-JP"/>
        </w:rPr>
        <w:t>Apr</w:t>
      </w:r>
      <w:r w:rsidRPr="00005306">
        <w:rPr>
          <w:sz w:val="20"/>
          <w:szCs w:val="16"/>
          <w:u w:val="single"/>
          <w:lang w:eastAsia="ja-JP"/>
        </w:rPr>
        <w:t xml:space="preserve"> 2021)</w:t>
      </w:r>
    </w:p>
    <w:p w14:paraId="2CAE847C" w14:textId="43EC636B" w:rsidR="000E255F" w:rsidRPr="00582FDC" w:rsidRDefault="000E255F" w:rsidP="000E255F">
      <w:pPr>
        <w:ind w:left="567"/>
        <w:rPr>
          <w:lang w:eastAsia="ja-JP"/>
        </w:rPr>
      </w:pPr>
      <w:r>
        <w:rPr>
          <w:lang w:eastAsia="ja-JP"/>
        </w:rPr>
        <w:t>23 contributions (for details, please see A.I. 8.13, 8.13.1 in RAN1#104</w:t>
      </w:r>
      <w:r w:rsidR="00F75BE7">
        <w:rPr>
          <w:lang w:eastAsia="ja-JP"/>
        </w:rPr>
        <w:t>b</w:t>
      </w:r>
      <w:r>
        <w:rPr>
          <w:lang w:eastAsia="ja-JP"/>
        </w:rPr>
        <w:t xml:space="preserve">-e Tdoc list  - </w:t>
      </w:r>
      <w:hyperlink r:id="rId13" w:history="1">
        <w:r w:rsidRPr="00582FDC">
          <w:rPr>
            <w:rStyle w:val="Hyperlink"/>
            <w:lang w:eastAsia="ja-JP"/>
          </w:rPr>
          <w:t>link</w:t>
        </w:r>
      </w:hyperlink>
      <w:r>
        <w:rPr>
          <w:lang w:eastAsia="ja-JP"/>
        </w:rPr>
        <w:t>)</w:t>
      </w:r>
    </w:p>
    <w:p w14:paraId="64994CDE" w14:textId="6B7B992A" w:rsidR="000E255F" w:rsidRPr="00005306" w:rsidRDefault="000E255F" w:rsidP="000E255F">
      <w:pPr>
        <w:pStyle w:val="Heading4"/>
        <w:rPr>
          <w:sz w:val="20"/>
          <w:szCs w:val="16"/>
          <w:u w:val="single"/>
          <w:lang w:eastAsia="ja-JP"/>
        </w:rPr>
      </w:pPr>
      <w:r w:rsidRPr="00005306">
        <w:rPr>
          <w:sz w:val="20"/>
          <w:szCs w:val="16"/>
          <w:u w:val="single"/>
          <w:lang w:eastAsia="ja-JP"/>
        </w:rPr>
        <w:t>RAN1#10</w:t>
      </w:r>
      <w:r>
        <w:rPr>
          <w:sz w:val="20"/>
          <w:szCs w:val="16"/>
          <w:u w:val="single"/>
          <w:lang w:eastAsia="ja-JP"/>
        </w:rPr>
        <w:t>5</w:t>
      </w:r>
      <w:r w:rsidRPr="00005306">
        <w:rPr>
          <w:sz w:val="20"/>
          <w:szCs w:val="16"/>
          <w:u w:val="single"/>
          <w:lang w:eastAsia="ja-JP"/>
        </w:rPr>
        <w:t>-e (</w:t>
      </w:r>
      <w:r>
        <w:rPr>
          <w:sz w:val="20"/>
          <w:szCs w:val="16"/>
          <w:u w:val="single"/>
          <w:lang w:eastAsia="ja-JP"/>
        </w:rPr>
        <w:t>May</w:t>
      </w:r>
      <w:r w:rsidRPr="00005306">
        <w:rPr>
          <w:sz w:val="20"/>
          <w:szCs w:val="16"/>
          <w:u w:val="single"/>
          <w:lang w:eastAsia="ja-JP"/>
        </w:rPr>
        <w:t xml:space="preserve"> 2021)</w:t>
      </w:r>
    </w:p>
    <w:p w14:paraId="6826C799" w14:textId="332DA2F3" w:rsidR="000E255F" w:rsidRPr="00582FDC" w:rsidRDefault="000E255F" w:rsidP="000E255F">
      <w:pPr>
        <w:ind w:left="567"/>
        <w:rPr>
          <w:lang w:eastAsia="ja-JP"/>
        </w:rPr>
      </w:pPr>
      <w:r>
        <w:rPr>
          <w:lang w:eastAsia="ja-JP"/>
        </w:rPr>
        <w:t>46 contributions (for details, please see A.I. 8.13, 8.13.1 and 8.13.2 in RAN1#10</w:t>
      </w:r>
      <w:r w:rsidR="009862AD">
        <w:rPr>
          <w:lang w:eastAsia="ja-JP"/>
        </w:rPr>
        <w:t>5</w:t>
      </w:r>
      <w:r>
        <w:rPr>
          <w:lang w:eastAsia="ja-JP"/>
        </w:rPr>
        <w:t xml:space="preserve">-e Tdoc list  - </w:t>
      </w:r>
      <w:hyperlink r:id="rId14" w:history="1">
        <w:r w:rsidRPr="00582FDC">
          <w:rPr>
            <w:rStyle w:val="Hyperlink"/>
            <w:lang w:eastAsia="ja-JP"/>
          </w:rPr>
          <w:t>link</w:t>
        </w:r>
      </w:hyperlink>
      <w:r>
        <w:rPr>
          <w:lang w:eastAsia="ja-JP"/>
        </w:rPr>
        <w:t>)</w:t>
      </w:r>
    </w:p>
    <w:p w14:paraId="31719878" w14:textId="52B6D477" w:rsidR="009862AD" w:rsidRPr="00005306" w:rsidRDefault="009862AD" w:rsidP="009862AD">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Pr="00005306">
        <w:rPr>
          <w:sz w:val="20"/>
          <w:szCs w:val="16"/>
          <w:u w:val="single"/>
          <w:lang w:eastAsia="ja-JP"/>
        </w:rPr>
        <w:t>-e (</w:t>
      </w:r>
      <w:r w:rsidR="00970F0B">
        <w:rPr>
          <w:sz w:val="20"/>
          <w:szCs w:val="16"/>
          <w:u w:val="single"/>
          <w:lang w:eastAsia="ja-JP"/>
        </w:rPr>
        <w:t>August</w:t>
      </w:r>
      <w:r w:rsidRPr="00005306">
        <w:rPr>
          <w:sz w:val="20"/>
          <w:szCs w:val="16"/>
          <w:u w:val="single"/>
          <w:lang w:eastAsia="ja-JP"/>
        </w:rPr>
        <w:t xml:space="preserve"> 2021)</w:t>
      </w:r>
    </w:p>
    <w:p w14:paraId="6DF3057D" w14:textId="1F5566F1" w:rsidR="009862AD" w:rsidRDefault="009862AD" w:rsidP="009862AD">
      <w:pPr>
        <w:ind w:left="567"/>
        <w:rPr>
          <w:lang w:eastAsia="ja-JP"/>
        </w:rPr>
      </w:pPr>
      <w:r>
        <w:rPr>
          <w:lang w:eastAsia="ja-JP"/>
        </w:rPr>
        <w:t>28 contributions (for details</w:t>
      </w:r>
      <w:r w:rsidR="0096119B">
        <w:rPr>
          <w:lang w:eastAsia="ja-JP"/>
        </w:rPr>
        <w:t>,</w:t>
      </w:r>
      <w:r>
        <w:rPr>
          <w:lang w:eastAsia="ja-JP"/>
        </w:rPr>
        <w:t xml:space="preserve"> please see A.I. 8.13, 8.13.1 in RAN1#106-e Tdoc list - </w:t>
      </w:r>
      <w:hyperlink r:id="rId15" w:history="1">
        <w:r w:rsidRPr="00582FDC">
          <w:rPr>
            <w:rStyle w:val="Hyperlink"/>
            <w:lang w:eastAsia="ja-JP"/>
          </w:rPr>
          <w:t>link</w:t>
        </w:r>
      </w:hyperlink>
      <w:r>
        <w:rPr>
          <w:lang w:eastAsia="ja-JP"/>
        </w:rPr>
        <w:t>)</w:t>
      </w:r>
    </w:p>
    <w:p w14:paraId="48403124" w14:textId="77777777" w:rsidR="009862AD" w:rsidRPr="00582FDC" w:rsidRDefault="009862AD" w:rsidP="009862AD">
      <w:pPr>
        <w:ind w:left="567"/>
        <w:rPr>
          <w:lang w:eastAsia="ja-JP"/>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715AB555" w14:textId="77777777" w:rsidR="009862AD" w:rsidRDefault="009862AD" w:rsidP="009862AD">
      <w:pPr>
        <w:pStyle w:val="FP"/>
        <w:rPr>
          <w:sz w:val="12"/>
          <w:szCs w:val="12"/>
          <w:lang w:val="en-US" w:eastAsia="en-US"/>
        </w:rPr>
      </w:pPr>
      <w:r>
        <w:rPr>
          <w:rFonts w:hint="eastAsia"/>
          <w:sz w:val="12"/>
          <w:szCs w:val="12"/>
        </w:rPr>
        <w:tab/>
        <w:t>08.08.2021</w:t>
      </w:r>
      <w:r>
        <w:rPr>
          <w:rFonts w:hint="eastAsia"/>
          <w:sz w:val="12"/>
          <w:szCs w:val="12"/>
        </w:rPr>
        <w:tab/>
      </w:r>
      <w:r>
        <w:rPr>
          <w:rFonts w:hint="eastAsia"/>
          <w:sz w:val="12"/>
          <w:szCs w:val="12"/>
        </w:rPr>
        <w:tab/>
        <w:t>minor adaptations for RAN #93e</w:t>
      </w:r>
    </w:p>
    <w:p w14:paraId="3FEB661B" w14:textId="77777777" w:rsidR="009862AD" w:rsidRDefault="009862AD" w:rsidP="009862AD">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44B8E6C3" w14:textId="77777777" w:rsidR="009862AD" w:rsidRDefault="009862AD" w:rsidP="009862AD">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243E8A78" w:rsidR="006A3ADF" w:rsidRPr="006A3ADF" w:rsidRDefault="006A3ADF" w:rsidP="00C75F0B">
      <w:pPr>
        <w:pStyle w:val="FP"/>
        <w:rPr>
          <w:sz w:val="12"/>
          <w:szCs w:val="12"/>
        </w:rPr>
      </w:pP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75F61" w14:textId="77777777" w:rsidR="003B7434" w:rsidRDefault="003B7434">
      <w:r>
        <w:separator/>
      </w:r>
    </w:p>
  </w:endnote>
  <w:endnote w:type="continuationSeparator" w:id="0">
    <w:p w14:paraId="656200AC" w14:textId="77777777" w:rsidR="003B7434" w:rsidRDefault="003B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3F70" w14:textId="77777777" w:rsidR="00EB6978" w:rsidRDefault="00EB697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45B53" w14:textId="77777777" w:rsidR="003B7434" w:rsidRDefault="003B7434">
      <w:r>
        <w:separator/>
      </w:r>
    </w:p>
  </w:footnote>
  <w:footnote w:type="continuationSeparator" w:id="0">
    <w:p w14:paraId="4F945FA3" w14:textId="77777777" w:rsidR="003B7434" w:rsidRDefault="003B7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E69E3"/>
    <w:multiLevelType w:val="hybridMultilevel"/>
    <w:tmpl w:val="421445E6"/>
    <w:lvl w:ilvl="0" w:tplc="24C88A4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25"/>
  </w:num>
  <w:num w:numId="4">
    <w:abstractNumId w:val="7"/>
  </w:num>
  <w:num w:numId="5">
    <w:abstractNumId w:val="4"/>
  </w:num>
  <w:num w:numId="6">
    <w:abstractNumId w:val="24"/>
  </w:num>
  <w:num w:numId="7">
    <w:abstractNumId w:val="6"/>
  </w:num>
  <w:num w:numId="8">
    <w:abstractNumId w:val="10"/>
  </w:num>
  <w:num w:numId="9">
    <w:abstractNumId w:val="3"/>
  </w:num>
  <w:num w:numId="10">
    <w:abstractNumId w:val="20"/>
  </w:num>
  <w:num w:numId="11">
    <w:abstractNumId w:val="21"/>
  </w:num>
  <w:num w:numId="12">
    <w:abstractNumId w:val="18"/>
  </w:num>
  <w:num w:numId="13">
    <w:abstractNumId w:val="18"/>
  </w:num>
  <w:num w:numId="14">
    <w:abstractNumId w:val="5"/>
  </w:num>
  <w:num w:numId="15">
    <w:abstractNumId w:val="1"/>
  </w:num>
  <w:num w:numId="16">
    <w:abstractNumId w:val="8"/>
  </w:num>
  <w:num w:numId="17">
    <w:abstractNumId w:val="9"/>
  </w:num>
  <w:num w:numId="18">
    <w:abstractNumId w:val="15"/>
  </w:num>
  <w:num w:numId="19">
    <w:abstractNumId w:val="12"/>
  </w:num>
  <w:num w:numId="20">
    <w:abstractNumId w:val="14"/>
  </w:num>
  <w:num w:numId="21">
    <w:abstractNumId w:val="13"/>
  </w:num>
  <w:num w:numId="22">
    <w:abstractNumId w:val="2"/>
  </w:num>
  <w:num w:numId="23">
    <w:abstractNumId w:val="22"/>
  </w:num>
  <w:num w:numId="24">
    <w:abstractNumId w:val="0"/>
  </w:num>
  <w:num w:numId="25">
    <w:abstractNumId w:val="23"/>
  </w:num>
  <w:num w:numId="26">
    <w:abstractNumId w:val="16"/>
  </w:num>
  <w:num w:numId="2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4677"/>
    <w:rsid w:val="000276C5"/>
    <w:rsid w:val="00035F00"/>
    <w:rsid w:val="0004456C"/>
    <w:rsid w:val="00046995"/>
    <w:rsid w:val="0005259B"/>
    <w:rsid w:val="00053FEE"/>
    <w:rsid w:val="00060AE4"/>
    <w:rsid w:val="00060EFF"/>
    <w:rsid w:val="000625CC"/>
    <w:rsid w:val="000746A7"/>
    <w:rsid w:val="000910BB"/>
    <w:rsid w:val="000926AF"/>
    <w:rsid w:val="000933C5"/>
    <w:rsid w:val="000A3ED2"/>
    <w:rsid w:val="000A407A"/>
    <w:rsid w:val="000C00FA"/>
    <w:rsid w:val="000C4D8D"/>
    <w:rsid w:val="000C51AA"/>
    <w:rsid w:val="000D17BC"/>
    <w:rsid w:val="000D2186"/>
    <w:rsid w:val="000E1A16"/>
    <w:rsid w:val="000E255F"/>
    <w:rsid w:val="000E4F35"/>
    <w:rsid w:val="000F08AB"/>
    <w:rsid w:val="000F1FF9"/>
    <w:rsid w:val="000F6C1C"/>
    <w:rsid w:val="001135DD"/>
    <w:rsid w:val="00116F4B"/>
    <w:rsid w:val="001229F4"/>
    <w:rsid w:val="00137471"/>
    <w:rsid w:val="00150FD3"/>
    <w:rsid w:val="001524AD"/>
    <w:rsid w:val="001533C8"/>
    <w:rsid w:val="00160DBF"/>
    <w:rsid w:val="00165A92"/>
    <w:rsid w:val="001724DD"/>
    <w:rsid w:val="00175280"/>
    <w:rsid w:val="00180F2A"/>
    <w:rsid w:val="00184428"/>
    <w:rsid w:val="00195C55"/>
    <w:rsid w:val="001A248F"/>
    <w:rsid w:val="001A3B5F"/>
    <w:rsid w:val="001A659D"/>
    <w:rsid w:val="001B2D6E"/>
    <w:rsid w:val="001B51AB"/>
    <w:rsid w:val="001B5CA8"/>
    <w:rsid w:val="001C0BF0"/>
    <w:rsid w:val="001C4490"/>
    <w:rsid w:val="001D1941"/>
    <w:rsid w:val="001D2C1A"/>
    <w:rsid w:val="001D3BA2"/>
    <w:rsid w:val="001D44B7"/>
    <w:rsid w:val="001D79BE"/>
    <w:rsid w:val="001E0075"/>
    <w:rsid w:val="001F1B1F"/>
    <w:rsid w:val="001F2A20"/>
    <w:rsid w:val="001F486F"/>
    <w:rsid w:val="00207DC4"/>
    <w:rsid w:val="00213471"/>
    <w:rsid w:val="00220532"/>
    <w:rsid w:val="00220FE2"/>
    <w:rsid w:val="00222C4B"/>
    <w:rsid w:val="0022485E"/>
    <w:rsid w:val="00231DC4"/>
    <w:rsid w:val="00243A99"/>
    <w:rsid w:val="00246283"/>
    <w:rsid w:val="002707E9"/>
    <w:rsid w:val="00284BD6"/>
    <w:rsid w:val="00292CE2"/>
    <w:rsid w:val="0029567C"/>
    <w:rsid w:val="00295AA6"/>
    <w:rsid w:val="002B25E3"/>
    <w:rsid w:val="002C0B82"/>
    <w:rsid w:val="002D2696"/>
    <w:rsid w:val="002D6DE9"/>
    <w:rsid w:val="002E61C7"/>
    <w:rsid w:val="00301B7A"/>
    <w:rsid w:val="00306D59"/>
    <w:rsid w:val="00307487"/>
    <w:rsid w:val="0032503A"/>
    <w:rsid w:val="00325EE1"/>
    <w:rsid w:val="003357C0"/>
    <w:rsid w:val="00344D60"/>
    <w:rsid w:val="00346477"/>
    <w:rsid w:val="00347AA2"/>
    <w:rsid w:val="00347CB0"/>
    <w:rsid w:val="0036248C"/>
    <w:rsid w:val="0036552D"/>
    <w:rsid w:val="003666A8"/>
    <w:rsid w:val="00367401"/>
    <w:rsid w:val="00375678"/>
    <w:rsid w:val="0037714D"/>
    <w:rsid w:val="0039390A"/>
    <w:rsid w:val="00394AB0"/>
    <w:rsid w:val="00394B2C"/>
    <w:rsid w:val="003954C3"/>
    <w:rsid w:val="00396252"/>
    <w:rsid w:val="003A03A8"/>
    <w:rsid w:val="003A2D8B"/>
    <w:rsid w:val="003A4B47"/>
    <w:rsid w:val="003B24AF"/>
    <w:rsid w:val="003B7182"/>
    <w:rsid w:val="003B7434"/>
    <w:rsid w:val="003D5036"/>
    <w:rsid w:val="003D764D"/>
    <w:rsid w:val="003E3A1A"/>
    <w:rsid w:val="003E48F7"/>
    <w:rsid w:val="003F1B9F"/>
    <w:rsid w:val="0040091C"/>
    <w:rsid w:val="0040174B"/>
    <w:rsid w:val="00406D7A"/>
    <w:rsid w:val="004116AD"/>
    <w:rsid w:val="004258BA"/>
    <w:rsid w:val="004273DF"/>
    <w:rsid w:val="00440B4F"/>
    <w:rsid w:val="00443E64"/>
    <w:rsid w:val="00451D10"/>
    <w:rsid w:val="004531C9"/>
    <w:rsid w:val="00457D91"/>
    <w:rsid w:val="00460C31"/>
    <w:rsid w:val="00464E5B"/>
    <w:rsid w:val="0047055A"/>
    <w:rsid w:val="00474450"/>
    <w:rsid w:val="00475784"/>
    <w:rsid w:val="004873E6"/>
    <w:rsid w:val="00487EFF"/>
    <w:rsid w:val="004B15B8"/>
    <w:rsid w:val="004B3AD7"/>
    <w:rsid w:val="004B566C"/>
    <w:rsid w:val="004B7B48"/>
    <w:rsid w:val="004C5173"/>
    <w:rsid w:val="004D4AB1"/>
    <w:rsid w:val="004F218A"/>
    <w:rsid w:val="004F3CB9"/>
    <w:rsid w:val="004F55A8"/>
    <w:rsid w:val="0050334E"/>
    <w:rsid w:val="00503835"/>
    <w:rsid w:val="00505387"/>
    <w:rsid w:val="0050743F"/>
    <w:rsid w:val="00512DF7"/>
    <w:rsid w:val="005141E7"/>
    <w:rsid w:val="00517E63"/>
    <w:rsid w:val="00521300"/>
    <w:rsid w:val="00526B0D"/>
    <w:rsid w:val="0055346F"/>
    <w:rsid w:val="00555683"/>
    <w:rsid w:val="005579FF"/>
    <w:rsid w:val="005776DD"/>
    <w:rsid w:val="00582117"/>
    <w:rsid w:val="00582FDC"/>
    <w:rsid w:val="0058478F"/>
    <w:rsid w:val="00584CDB"/>
    <w:rsid w:val="00593315"/>
    <w:rsid w:val="00595BDA"/>
    <w:rsid w:val="005A170D"/>
    <w:rsid w:val="005A6C96"/>
    <w:rsid w:val="005B38D6"/>
    <w:rsid w:val="005D0418"/>
    <w:rsid w:val="005D4044"/>
    <w:rsid w:val="005E1D58"/>
    <w:rsid w:val="006043C0"/>
    <w:rsid w:val="0060459E"/>
    <w:rsid w:val="00610E37"/>
    <w:rsid w:val="00616742"/>
    <w:rsid w:val="006207ED"/>
    <w:rsid w:val="00626BC9"/>
    <w:rsid w:val="006458DF"/>
    <w:rsid w:val="00647610"/>
    <w:rsid w:val="0065092F"/>
    <w:rsid w:val="00650D52"/>
    <w:rsid w:val="00656CC1"/>
    <w:rsid w:val="006615B2"/>
    <w:rsid w:val="00662313"/>
    <w:rsid w:val="006670CE"/>
    <w:rsid w:val="00671158"/>
    <w:rsid w:val="00672C5A"/>
    <w:rsid w:val="00672F37"/>
    <w:rsid w:val="00673911"/>
    <w:rsid w:val="006870C9"/>
    <w:rsid w:val="00691155"/>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B79AB"/>
    <w:rsid w:val="007D42D2"/>
    <w:rsid w:val="007E1D15"/>
    <w:rsid w:val="007E1DEA"/>
    <w:rsid w:val="007E2202"/>
    <w:rsid w:val="008145EA"/>
    <w:rsid w:val="00815869"/>
    <w:rsid w:val="00816B81"/>
    <w:rsid w:val="00823B90"/>
    <w:rsid w:val="0083266E"/>
    <w:rsid w:val="00852FB4"/>
    <w:rsid w:val="008546E5"/>
    <w:rsid w:val="00865EA8"/>
    <w:rsid w:val="00871653"/>
    <w:rsid w:val="00880684"/>
    <w:rsid w:val="00881A64"/>
    <w:rsid w:val="00881D74"/>
    <w:rsid w:val="00881E7B"/>
    <w:rsid w:val="008836AC"/>
    <w:rsid w:val="00883A56"/>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6A6"/>
    <w:rsid w:val="00957B5F"/>
    <w:rsid w:val="0096119B"/>
    <w:rsid w:val="00970F0B"/>
    <w:rsid w:val="0097397E"/>
    <w:rsid w:val="0097574B"/>
    <w:rsid w:val="009862AD"/>
    <w:rsid w:val="00995338"/>
    <w:rsid w:val="00996777"/>
    <w:rsid w:val="009C0BC7"/>
    <w:rsid w:val="009C0D92"/>
    <w:rsid w:val="009C14DA"/>
    <w:rsid w:val="009C1A74"/>
    <w:rsid w:val="009C6592"/>
    <w:rsid w:val="009C7E28"/>
    <w:rsid w:val="009D0145"/>
    <w:rsid w:val="009E209B"/>
    <w:rsid w:val="009E5A5C"/>
    <w:rsid w:val="009E5E83"/>
    <w:rsid w:val="009F0747"/>
    <w:rsid w:val="00A03514"/>
    <w:rsid w:val="00A17079"/>
    <w:rsid w:val="00A3181A"/>
    <w:rsid w:val="00A35363"/>
    <w:rsid w:val="00A448C3"/>
    <w:rsid w:val="00A458D4"/>
    <w:rsid w:val="00A46FB7"/>
    <w:rsid w:val="00A53118"/>
    <w:rsid w:val="00A630BC"/>
    <w:rsid w:val="00A63887"/>
    <w:rsid w:val="00A65881"/>
    <w:rsid w:val="00A86AB5"/>
    <w:rsid w:val="00A91BC0"/>
    <w:rsid w:val="00A95302"/>
    <w:rsid w:val="00A97226"/>
    <w:rsid w:val="00AA0E64"/>
    <w:rsid w:val="00AA142F"/>
    <w:rsid w:val="00AA1B56"/>
    <w:rsid w:val="00AA53DB"/>
    <w:rsid w:val="00AB239A"/>
    <w:rsid w:val="00AC1918"/>
    <w:rsid w:val="00AC39FB"/>
    <w:rsid w:val="00AD4DA9"/>
    <w:rsid w:val="00AD53C7"/>
    <w:rsid w:val="00AD7ADC"/>
    <w:rsid w:val="00AE08EB"/>
    <w:rsid w:val="00AE1322"/>
    <w:rsid w:val="00AF3414"/>
    <w:rsid w:val="00B00BBE"/>
    <w:rsid w:val="00B07D8B"/>
    <w:rsid w:val="00B10710"/>
    <w:rsid w:val="00B15A9D"/>
    <w:rsid w:val="00B208FA"/>
    <w:rsid w:val="00B22542"/>
    <w:rsid w:val="00B25709"/>
    <w:rsid w:val="00B25C12"/>
    <w:rsid w:val="00B2766F"/>
    <w:rsid w:val="00B31ABC"/>
    <w:rsid w:val="00B445ED"/>
    <w:rsid w:val="00B46AED"/>
    <w:rsid w:val="00B6300F"/>
    <w:rsid w:val="00B630A0"/>
    <w:rsid w:val="00B70389"/>
    <w:rsid w:val="00B707D0"/>
    <w:rsid w:val="00B7682C"/>
    <w:rsid w:val="00B84623"/>
    <w:rsid w:val="00BA51EF"/>
    <w:rsid w:val="00BB2958"/>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74DAF"/>
    <w:rsid w:val="00C75F0B"/>
    <w:rsid w:val="00C80116"/>
    <w:rsid w:val="00C82F6C"/>
    <w:rsid w:val="00C87BFC"/>
    <w:rsid w:val="00CD32B3"/>
    <w:rsid w:val="00CF5E71"/>
    <w:rsid w:val="00CF7FAC"/>
    <w:rsid w:val="00D113A2"/>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878B9"/>
    <w:rsid w:val="00D920E6"/>
    <w:rsid w:val="00DA004C"/>
    <w:rsid w:val="00DC54A8"/>
    <w:rsid w:val="00DE2A08"/>
    <w:rsid w:val="00DE2B4D"/>
    <w:rsid w:val="00DF22BF"/>
    <w:rsid w:val="00E00E44"/>
    <w:rsid w:val="00E049A8"/>
    <w:rsid w:val="00E12ECB"/>
    <w:rsid w:val="00E1451F"/>
    <w:rsid w:val="00E15A72"/>
    <w:rsid w:val="00E15E28"/>
    <w:rsid w:val="00E16265"/>
    <w:rsid w:val="00E16577"/>
    <w:rsid w:val="00E22D89"/>
    <w:rsid w:val="00E3018E"/>
    <w:rsid w:val="00E36051"/>
    <w:rsid w:val="00E3638E"/>
    <w:rsid w:val="00E42C1A"/>
    <w:rsid w:val="00E544FA"/>
    <w:rsid w:val="00E55E83"/>
    <w:rsid w:val="00E5792E"/>
    <w:rsid w:val="00E6077C"/>
    <w:rsid w:val="00E632C8"/>
    <w:rsid w:val="00E6618E"/>
    <w:rsid w:val="00E77436"/>
    <w:rsid w:val="00E80950"/>
    <w:rsid w:val="00E82C8E"/>
    <w:rsid w:val="00E87CFA"/>
    <w:rsid w:val="00E93D77"/>
    <w:rsid w:val="00E94CF5"/>
    <w:rsid w:val="00E95264"/>
    <w:rsid w:val="00EA1D5D"/>
    <w:rsid w:val="00EA2172"/>
    <w:rsid w:val="00EA2DC1"/>
    <w:rsid w:val="00EB6978"/>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0DA7"/>
    <w:rsid w:val="00F24DDD"/>
    <w:rsid w:val="00F25722"/>
    <w:rsid w:val="00F2770B"/>
    <w:rsid w:val="00F32069"/>
    <w:rsid w:val="00F40449"/>
    <w:rsid w:val="00F44CD0"/>
    <w:rsid w:val="00F52419"/>
    <w:rsid w:val="00F549A3"/>
    <w:rsid w:val="00F55CBF"/>
    <w:rsid w:val="00F72B10"/>
    <w:rsid w:val="00F75BE7"/>
    <w:rsid w:val="00F77359"/>
    <w:rsid w:val="00F80560"/>
    <w:rsid w:val="00F817D4"/>
    <w:rsid w:val="00F86A73"/>
    <w:rsid w:val="00F93276"/>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926355">
      <w:bodyDiv w:val="1"/>
      <w:marLeft w:val="0"/>
      <w:marRight w:val="0"/>
      <w:marTop w:val="0"/>
      <w:marBottom w:val="0"/>
      <w:divBdr>
        <w:top w:val="none" w:sz="0" w:space="0" w:color="auto"/>
        <w:left w:val="none" w:sz="0" w:space="0" w:color="auto"/>
        <w:bottom w:val="none" w:sz="0" w:space="0" w:color="auto"/>
        <w:right w:val="none" w:sz="0" w:space="0" w:color="auto"/>
      </w:divBdr>
    </w:div>
    <w:div w:id="478765626">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7238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7293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53787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5876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863301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70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4b-e/Docs/TDoc_List_Meeting_RAN1%23104-bis-e.xls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04-e/Docs/TDoc_List_Meeting_RAN1%23104-e.xls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3-e/Docs/TDoc_List_Meeting_RAN1%23103-e.xlsx" TargetMode="External"/><Relationship Id="rId5" Type="http://schemas.openxmlformats.org/officeDocument/2006/relationships/styles" Target="styles.xml"/><Relationship Id="rId15" Type="http://schemas.openxmlformats.org/officeDocument/2006/relationships/hyperlink" Target="https://www.3gpp.org/ftp/tsg_ran/WG1_RL1/TSGR1_106-e/Docs/TDoc_List_Meeting_RAN1%23106-e.xlsx" TargetMode="External"/><Relationship Id="rId10" Type="http://schemas.openxmlformats.org/officeDocument/2006/relationships/hyperlink" Target="https://www.3gpp.org/ftp/tsg_ran/WG1_RL1/TSGR1_102-e/docs/TDoc_List_Meeting_RAN1%23102-e.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5-e/Docs/TDoc_List_Meeting_RAN1%23105-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F6058-3D1F-41C6-AA11-180ABC03E37F}">
  <ds:schemaRefs>
    <ds:schemaRef ds:uri="http://schemas.microsoft.com/sharepoint/v3/contenttype/forms"/>
  </ds:schemaRefs>
</ds:datastoreItem>
</file>

<file path=customXml/itemProps2.xml><?xml version="1.0" encoding="utf-8"?>
<ds:datastoreItem xmlns:ds="http://schemas.openxmlformats.org/officeDocument/2006/customXml" ds:itemID="{D5F7DA99-D6E5-4D03-9B6E-5F0E757202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4E683D-F42A-4318-852A-D50884C13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6694</Words>
  <Characters>38158</Characters>
  <Application>Microsoft Office Word</Application>
  <DocSecurity>0</DocSecurity>
  <Lines>317</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44763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5</cp:revision>
  <dcterms:created xsi:type="dcterms:W3CDTF">2021-09-06T17:34:00Z</dcterms:created>
  <dcterms:modified xsi:type="dcterms:W3CDTF">2021-09-06T17:43:00Z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