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w:t>
      </w:r>
      <w:proofErr w:type="spellStart"/>
      <w:r>
        <w:t>tdoc</w:t>
      </w:r>
      <w:proofErr w:type="spellEnd"/>
      <w:r>
        <w:t xml:space="preserve">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c"/>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c"/>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c"/>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c"/>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c"/>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b"/>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77777777"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4E00C4B2" w14:textId="38DC7108" w:rsidR="00572C20" w:rsidRDefault="00964E17" w:rsidP="00572C20">
      <w:pPr>
        <w:pStyle w:val="2"/>
      </w:pPr>
      <w:r>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rFonts w:hint="eastAsia"/>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rFonts w:hint="eastAsia"/>
                <w:lang w:eastAsia="zh-CN"/>
              </w:rPr>
            </w:pPr>
            <w:proofErr w:type="spellStart"/>
            <w:r>
              <w:rPr>
                <w:rFonts w:hint="eastAsia"/>
                <w:lang w:eastAsia="zh-CN"/>
              </w:rPr>
              <w:t>X</w:t>
            </w:r>
            <w:r>
              <w:rPr>
                <w:lang w:eastAsia="zh-CN"/>
              </w:rPr>
              <w:t>izeng</w:t>
            </w:r>
            <w:proofErr w:type="spellEnd"/>
            <w:r>
              <w:rPr>
                <w:lang w:eastAsia="zh-CN"/>
              </w:rPr>
              <w:t xml:space="preserve"> Dai, daixizeng@huawei.com</w:t>
            </w:r>
            <w:bookmarkStart w:id="4" w:name="_GoBack"/>
            <w:bookmarkEnd w:id="4"/>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970F4" w14:textId="77777777" w:rsidR="008253F2" w:rsidRDefault="008253F2">
      <w:r>
        <w:separator/>
      </w:r>
    </w:p>
  </w:endnote>
  <w:endnote w:type="continuationSeparator" w:id="0">
    <w:p w14:paraId="13B2901A" w14:textId="77777777" w:rsidR="008253F2" w:rsidRDefault="0082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0F2E">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AC758" w14:textId="77777777" w:rsidR="008253F2" w:rsidRDefault="008253F2">
      <w:r>
        <w:separator/>
      </w:r>
    </w:p>
  </w:footnote>
  <w:footnote w:type="continuationSeparator" w:id="0">
    <w:p w14:paraId="5D7FCBD0" w14:textId="77777777" w:rsidR="008253F2" w:rsidRDefault="00825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5"/>
  </w:num>
  <w:num w:numId="6">
    <w:abstractNumId w:val="7"/>
  </w:num>
  <w:num w:numId="7">
    <w:abstractNumId w:val="4"/>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25C98"/>
    <w:rsid w:val="000308DF"/>
    <w:rsid w:val="00033397"/>
    <w:rsid w:val="00040095"/>
    <w:rsid w:val="00046011"/>
    <w:rsid w:val="00080512"/>
    <w:rsid w:val="00081180"/>
    <w:rsid w:val="000901A4"/>
    <w:rsid w:val="00090F2E"/>
    <w:rsid w:val="000A1062"/>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A29E0"/>
    <w:rsid w:val="001B5707"/>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306CA9"/>
    <w:rsid w:val="003172DC"/>
    <w:rsid w:val="00337251"/>
    <w:rsid w:val="003545FB"/>
    <w:rsid w:val="0035462D"/>
    <w:rsid w:val="003671DB"/>
    <w:rsid w:val="0037253C"/>
    <w:rsid w:val="00372994"/>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5087"/>
    <w:rsid w:val="00567B86"/>
    <w:rsid w:val="00571348"/>
    <w:rsid w:val="00572C20"/>
    <w:rsid w:val="005961A5"/>
    <w:rsid w:val="005B495A"/>
    <w:rsid w:val="005F2692"/>
    <w:rsid w:val="0062234C"/>
    <w:rsid w:val="00624446"/>
    <w:rsid w:val="00625151"/>
    <w:rsid w:val="00640C3D"/>
    <w:rsid w:val="00641A68"/>
    <w:rsid w:val="00655604"/>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490C"/>
    <w:rsid w:val="008253F2"/>
    <w:rsid w:val="00841A17"/>
    <w:rsid w:val="00845A5A"/>
    <w:rsid w:val="0086007F"/>
    <w:rsid w:val="0086295A"/>
    <w:rsid w:val="008768CA"/>
    <w:rsid w:val="00876EC9"/>
    <w:rsid w:val="008871EE"/>
    <w:rsid w:val="00897451"/>
    <w:rsid w:val="008A211C"/>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1B44"/>
    <w:rsid w:val="009A1169"/>
    <w:rsid w:val="009A3435"/>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6608A"/>
    <w:rsid w:val="00A82346"/>
    <w:rsid w:val="00A91493"/>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E40681"/>
    <w:rsid w:val="00E63A89"/>
    <w:rsid w:val="00E7095A"/>
    <w:rsid w:val="00E77645"/>
    <w:rsid w:val="00EA03E3"/>
    <w:rsid w:val="00EA3073"/>
    <w:rsid w:val="00EB266A"/>
    <w:rsid w:val="00EB5463"/>
    <w:rsid w:val="00EC4A25"/>
    <w:rsid w:val="00ED3648"/>
    <w:rsid w:val="00ED6A76"/>
    <w:rsid w:val="00EF27B5"/>
    <w:rsid w:val="00F025A2"/>
    <w:rsid w:val="00F47AB9"/>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
    <w:basedOn w:val="a"/>
    <w:link w:val="Char3"/>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Char3">
    <w:name w:val="列出段落 Char"/>
    <w:aliases w:val="- Bullets Char,?? ?? Char,????? Char,???? Char"/>
    <w:link w:val="ac"/>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0C343A-5714-4FCF-9406-5E8F4F96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2246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Huawei</cp:lastModifiedBy>
  <cp:revision>4</cp:revision>
  <dcterms:created xsi:type="dcterms:W3CDTF">2020-12-07T16:58:00Z</dcterms:created>
  <dcterms:modified xsi:type="dcterms:W3CDTF">2020-12-08T01:30:00Z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ies>
</file>