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9B0" w:rsidRPr="00470835" w:rsidRDefault="00F93096" w:rsidP="00B059B0">
      <w:pPr>
        <w:pStyle w:val="CRCoverPage"/>
        <w:outlineLvl w:val="0"/>
        <w:rPr>
          <w:b/>
          <w:noProof/>
          <w:sz w:val="24"/>
          <w:lang w:eastAsia="zh-CN"/>
        </w:rPr>
      </w:pPr>
      <w:r w:rsidRPr="00F93096">
        <w:rPr>
          <w:b/>
          <w:noProof/>
          <w:sz w:val="24"/>
          <w:lang w:eastAsia="zh-CN"/>
        </w:rPr>
        <w:t>3GPP TSG-RAN2 Meeting #109 electronic</w:t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B059B0">
        <w:rPr>
          <w:rFonts w:hint="eastAsia"/>
          <w:b/>
          <w:noProof/>
          <w:sz w:val="24"/>
          <w:lang w:eastAsia="zh-CN"/>
        </w:rPr>
        <w:tab/>
      </w:r>
      <w:r w:rsidR="00A2576B" w:rsidRPr="00A2576B">
        <w:rPr>
          <w:b/>
          <w:noProof/>
          <w:sz w:val="24"/>
          <w:lang w:eastAsia="zh-CN"/>
        </w:rPr>
        <w:t>R2-2002107</w:t>
      </w:r>
    </w:p>
    <w:p w:rsidR="00B059B0" w:rsidRPr="00B059B0" w:rsidRDefault="00F93096" w:rsidP="00F93096">
      <w:pPr>
        <w:spacing w:after="120"/>
        <w:outlineLvl w:val="0"/>
        <w:rPr>
          <w:b/>
          <w:noProof/>
          <w:sz w:val="24"/>
          <w:lang w:eastAsia="zh-CN"/>
        </w:rPr>
      </w:pPr>
      <w:r w:rsidRPr="00F93096">
        <w:rPr>
          <w:rFonts w:ascii="Arial" w:hAnsi="Arial" w:cs="Arial"/>
          <w:b/>
          <w:sz w:val="24"/>
          <w:lang w:val="de-DE" w:eastAsia="zh-CN"/>
        </w:rPr>
        <w:t>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6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2B52" w:rsidP="00547111">
            <w:pPr>
              <w:pStyle w:val="CRCoverPage"/>
              <w:spacing w:after="0"/>
              <w:rPr>
                <w:noProof/>
              </w:rPr>
            </w:pPr>
            <w:r w:rsidRPr="00732B52">
              <w:rPr>
                <w:rFonts w:hint="eastAsia"/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5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24A06" w:rsidRDefault="00540806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="009E59ED"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059B0">
              <w:rPr>
                <w:b/>
                <w:noProof/>
                <w:sz w:val="28"/>
              </w:rPr>
              <w:t>15.</w:t>
            </w:r>
            <w:r w:rsidR="00461E4B">
              <w:rPr>
                <w:b/>
                <w:noProof/>
                <w:sz w:val="28"/>
                <w:lang w:eastAsia="zh-CN"/>
              </w:rPr>
              <w:t>8</w:t>
            </w:r>
            <w:r w:rsidR="00D563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6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B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9B0" w:rsidP="00B059B0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inter-band EN-DC PC2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5686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12F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D1D7E">
              <w:rPr>
                <w:noProof/>
              </w:rPr>
              <w:t>ENDC_UE_PC2_TDD_TDD</w:t>
            </w:r>
            <w:r w:rsidR="00577B3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568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D665E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5D665E">
              <w:rPr>
                <w:noProof/>
              </w:rPr>
              <w:t>2</w:t>
            </w:r>
            <w:r>
              <w:rPr>
                <w:rFonts w:eastAsiaTheme="minorEastAsia" w:hint="eastAsia"/>
                <w:noProof/>
                <w:lang w:eastAsia="zh-CN"/>
              </w:rPr>
              <w:t>-</w:t>
            </w:r>
            <w:r w:rsidR="005D665E">
              <w:rPr>
                <w:rFonts w:eastAsiaTheme="minorEastAsia"/>
                <w:noProof/>
                <w:lang w:eastAsia="zh-CN"/>
              </w:rPr>
              <w:t>24</w:t>
            </w:r>
            <w:r w:rsidR="00540806">
              <w:fldChar w:fldCharType="begin"/>
            </w:r>
            <w:r w:rsidR="009E59ED">
              <w:instrText xml:space="preserve"> DOCPROPERTY  ResDate  \* MERGEFORMAT </w:instrText>
            </w:r>
            <w:r w:rsidR="005408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172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7B32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957F2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D8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3D84" w:rsidRDefault="00673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3D84" w:rsidRPr="004E0B36" w:rsidRDefault="00673D84" w:rsidP="00B12B6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</w:rPr>
              <w:t xml:space="preserve">In 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RAN4#91 meeting, RAN4 agreed the LS on UE capability of </w:t>
            </w:r>
            <w:proofErr w:type="spellStart"/>
            <w:r w:rsidRPr="00594861">
              <w:rPr>
                <w:rFonts w:ascii="Arial" w:hAnsi="Arial" w:cs="Arial"/>
                <w:bCs/>
                <w:lang w:eastAsia="zh-CN"/>
              </w:rPr>
              <w:t>maxUplinkDutyCycle</w:t>
            </w:r>
            <w:proofErr w:type="spellEnd"/>
            <w:r w:rsidRPr="00594861">
              <w:rPr>
                <w:rFonts w:ascii="Arial" w:hAnsi="Arial" w:cs="Arial"/>
                <w:bCs/>
                <w:lang w:eastAsia="zh-CN"/>
              </w:rPr>
              <w:t xml:space="preserve"> for PC2 inter-band EN-DC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 w:rsidRPr="00594861">
              <w:rPr>
                <w:rFonts w:ascii="Arial" w:hAnsi="Arial" w:cs="Arial"/>
                <w:bCs/>
                <w:lang w:eastAsia="zh-CN"/>
              </w:rPr>
              <w:t>(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LTE </w:t>
            </w:r>
            <w:r w:rsidRPr="00594861">
              <w:rPr>
                <w:rFonts w:ascii="Arial" w:hAnsi="Arial" w:cs="Arial"/>
                <w:bCs/>
                <w:lang w:eastAsia="zh-CN"/>
              </w:rPr>
              <w:t>TDD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 PC3</w:t>
            </w:r>
            <w:r w:rsidRPr="00594861">
              <w:rPr>
                <w:rFonts w:ascii="Arial" w:hAnsi="Arial" w:cs="Arial"/>
                <w:bCs/>
                <w:lang w:eastAsia="zh-CN"/>
              </w:rPr>
              <w:t>+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NR </w:t>
            </w:r>
            <w:r w:rsidRPr="00594861">
              <w:rPr>
                <w:rFonts w:ascii="Arial" w:hAnsi="Arial" w:cs="Arial"/>
                <w:bCs/>
                <w:lang w:eastAsia="zh-CN"/>
              </w:rPr>
              <w:t>TDD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 PC3</w:t>
            </w:r>
            <w:r w:rsidRPr="00594861">
              <w:rPr>
                <w:rFonts w:ascii="Arial" w:hAnsi="Arial" w:cs="Arial"/>
                <w:bCs/>
                <w:lang w:eastAsia="zh-CN"/>
              </w:rPr>
              <w:t xml:space="preserve">)  </w:t>
            </w:r>
            <w:r>
              <w:rPr>
                <w:rFonts w:ascii="Arial" w:hAnsi="Arial" w:cs="Arial" w:hint="eastAsia"/>
                <w:lang w:eastAsia="zh-CN"/>
              </w:rPr>
              <w:t xml:space="preserve">(R4-1907479) and sent the LS to inform RAN2 to design the capability </w:t>
            </w:r>
            <w:r>
              <w:rPr>
                <w:rFonts w:ascii="Arial" w:hAnsi="Arial" w:cs="Arial"/>
                <w:lang w:eastAsia="zh-CN"/>
              </w:rPr>
              <w:t>signalling</w:t>
            </w:r>
            <w:r>
              <w:rPr>
                <w:rFonts w:ascii="Arial" w:hAnsi="Arial" w:cs="Arial" w:hint="eastAsia"/>
                <w:lang w:eastAsia="zh-CN"/>
              </w:rPr>
              <w:t xml:space="preserve">. The </w:t>
            </w:r>
            <w:r>
              <w:rPr>
                <w:rFonts w:ascii="Arial" w:hAnsi="Arial" w:cs="Arial"/>
                <w:lang w:eastAsia="zh-CN"/>
              </w:rPr>
              <w:t>content</w:t>
            </w:r>
            <w:r>
              <w:rPr>
                <w:rFonts w:ascii="Arial" w:hAnsi="Arial" w:cs="Arial" w:hint="eastAsia"/>
                <w:lang w:eastAsia="zh-CN"/>
              </w:rPr>
              <w:t xml:space="preserve"> of LS is provided as below: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80"/>
            </w:tblGrid>
            <w:tr w:rsidR="00673D84" w:rsidTr="00B12B69">
              <w:tc>
                <w:tcPr>
                  <w:tcW w:w="7280" w:type="dxa"/>
                </w:tcPr>
                <w:p w:rsidR="00673D84" w:rsidRPr="004E0B36" w:rsidRDefault="00673D84" w:rsidP="0016095B">
                  <w:pPr>
                    <w:spacing w:afterLines="100" w:after="240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bookmarkStart w:id="2" w:name="OLE_LINK2"/>
                  <w:r w:rsidRPr="00D83042">
                    <w:rPr>
                      <w:rFonts w:ascii="Arial" w:hAnsi="Arial" w:cs="Arial" w:hint="eastAsia"/>
                      <w:color w:val="000000"/>
                    </w:rPr>
                    <w:t xml:space="preserve">RAN4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 xml:space="preserve">has </w:t>
                  </w:r>
                  <w:r w:rsidRPr="00D83042">
                    <w:rPr>
                      <w:rFonts w:ascii="Arial" w:hAnsi="Arial" w:cs="Arial" w:hint="eastAsia"/>
                      <w:color w:val="000000"/>
                    </w:rPr>
                    <w:t xml:space="preserve">discussed the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SAR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>issues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for PC2 </w:t>
                  </w: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inter-band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EN-DC (LTE TDD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>PC3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+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NR TDD 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>PC3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)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.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I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t is agreed to introduce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a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UE capability of </w:t>
                  </w:r>
                  <w:proofErr w:type="spellStart"/>
                  <w:r w:rsidRPr="004E0B36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proofErr w:type="spellEnd"/>
                  <w:r w:rsidRPr="004E0B36">
                    <w:rPr>
                      <w:rFonts w:ascii="Arial" w:hAnsi="Arial" w:cs="Arial" w:hint="eastAsia"/>
                      <w:i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which indicates that the </w:t>
                  </w:r>
                  <w:proofErr w:type="spellStart"/>
                  <w:r w:rsidRPr="004E0B36">
                    <w:rPr>
                      <w:rFonts w:ascii="Arial" w:hAnsi="Arial" w:cs="Arial"/>
                      <w:color w:val="000000"/>
                      <w:lang w:eastAsia="zh-CN"/>
                    </w:rPr>
                    <w:t>maxUplinkDutyCycle</w:t>
                  </w:r>
                  <w:proofErr w:type="spellEnd"/>
                  <w:r w:rsidRPr="004E0B36">
                    <w:rPr>
                      <w:rFonts w:ascii="Arial" w:hAnsi="Arial" w:cs="Arial"/>
                      <w:color w:val="000000"/>
                      <w:lang w:eastAsia="zh-CN"/>
                    </w:rPr>
                    <w:t xml:space="preserve">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capability of NR band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corresponds to LTE UL/DL configuration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.</w:t>
                  </w:r>
                </w:p>
                <w:p w:rsidR="00673D84" w:rsidRPr="004E0B36" w:rsidRDefault="00673D84" w:rsidP="00B12B69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E0B36">
                    <w:rPr>
                      <w:rFonts w:ascii="Arial" w:hAnsi="Arial" w:cs="Arial"/>
                      <w:color w:val="000000"/>
                    </w:rPr>
                    <w:t>The</w:t>
                  </w:r>
                  <w:r w:rsidRPr="004E0B36">
                    <w:rPr>
                      <w:rFonts w:eastAsia="等线"/>
                      <w:lang w:eastAsia="zh-CN"/>
                    </w:rPr>
                    <w:t xml:space="preserve"> </w:t>
                  </w:r>
                  <w:proofErr w:type="spellStart"/>
                  <w:r w:rsidRPr="004E0B36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proofErr w:type="spellEnd"/>
                  <w:r w:rsidRPr="004E0B36">
                    <w:rPr>
                      <w:rFonts w:ascii="Arial" w:hAnsi="Arial" w:cs="Arial" w:hint="eastAsia"/>
                      <w:i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capability for PC2 inter-band EN-DC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(TDD+TDD)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is optional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, when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the percentage of 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NR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uplink symbols transmitted in a certain evaluation period is larger than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its capability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(The exact evaluation period is no less than one radio frame)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, i.e., </w:t>
                  </w:r>
                  <w:proofErr w:type="spellStart"/>
                  <w:r w:rsidRPr="004E0B36">
                    <w:rPr>
                      <w:rFonts w:ascii="Arial" w:hAnsi="Arial" w:cs="Arial"/>
                      <w:color w:val="000000"/>
                    </w:rPr>
                    <w:t>maxUplinkDutyCycle</w:t>
                  </w:r>
                  <w:proofErr w:type="spellEnd"/>
                  <w:r w:rsidRPr="004E0B36">
                    <w:rPr>
                      <w:rFonts w:ascii="Arial" w:hAnsi="Arial" w:cs="Arial" w:hint="eastAsia"/>
                      <w:color w:val="000000"/>
                    </w:rPr>
                    <w:t>-EN-DC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,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 the requirements for </w:t>
                  </w:r>
                  <w:r w:rsidRPr="004E0B36">
                    <w:rPr>
                      <w:rFonts w:ascii="Arial" w:hAnsi="Arial" w:cs="Arial" w:hint="eastAsia"/>
                      <w:lang w:eastAsia="zh-CN"/>
                    </w:rPr>
                    <w:t>PC2 inter-band EN-DC (TDD+TDD)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 are not applicable, and the corresponding requirements for a </w:t>
                  </w:r>
                  <w:r w:rsidRPr="004E0B36">
                    <w:rPr>
                      <w:rFonts w:ascii="Arial" w:hAnsi="Arial" w:cs="Arial" w:hint="eastAsia"/>
                      <w:lang w:eastAsia="zh-CN"/>
                    </w:rPr>
                    <w:t xml:space="preserve">PC3 inter-band EN-DC (TDD+TDD) 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UE shall apply. </w:t>
                  </w:r>
                </w:p>
                <w:p w:rsidR="00673D84" w:rsidRPr="004E0B36" w:rsidRDefault="00673D84" w:rsidP="00B12B69">
                  <w:pPr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</w:p>
                <w:bookmarkEnd w:id="2"/>
                <w:p w:rsidR="00673D84" w:rsidRPr="004E0B36" w:rsidRDefault="00673D84" w:rsidP="00B12B69">
                  <w:pPr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The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capability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of </w:t>
                  </w:r>
                  <w:proofErr w:type="spellStart"/>
                  <w:r w:rsidRPr="004E0B36">
                    <w:rPr>
                      <w:rFonts w:ascii="Arial" w:hAnsi="Arial" w:cs="Arial" w:hint="eastAsia"/>
                      <w:i/>
                      <w:color w:val="000000"/>
                    </w:rPr>
                    <w:t>maxUplinkDutyCycle</w:t>
                  </w:r>
                  <w:proofErr w:type="spellEnd"/>
                  <w:r w:rsidRPr="004E0B36">
                    <w:rPr>
                      <w:rFonts w:ascii="Arial" w:hAnsi="Arial" w:cs="Arial" w:hint="eastAsia"/>
                      <w:i/>
                      <w:color w:val="000000"/>
                    </w:rPr>
                    <w:t>-EN-DC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is reported by UE as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a per band combination capability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. The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granularity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is 10%.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The value range of </w:t>
                  </w:r>
                  <w:proofErr w:type="spellStart"/>
                  <w:r w:rsidRPr="004E0B36">
                    <w:rPr>
                      <w:rFonts w:ascii="Arial" w:hAnsi="Arial" w:cs="Arial"/>
                      <w:i/>
                      <w:color w:val="000000"/>
                    </w:rPr>
                    <w:t>maxUplinkDutyCycle</w:t>
                  </w:r>
                  <w:proofErr w:type="spellEnd"/>
                  <w:r w:rsidRPr="004E0B36">
                    <w:rPr>
                      <w:rFonts w:ascii="Arial" w:hAnsi="Arial" w:cs="Arial" w:hint="eastAsia"/>
                      <w:i/>
                      <w:color w:val="000000"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for PC2 inter-band 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(TDD+TDD)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is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from 20% to 100% and the default value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is 30%.</w:t>
                  </w:r>
                </w:p>
              </w:tc>
            </w:tr>
          </w:tbl>
          <w:p w:rsidR="00E42AC5" w:rsidRPr="00B46E4E" w:rsidRDefault="00673D84" w:rsidP="00B12B6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="00E42AC5"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3D84" w:rsidRDefault="00673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3D84" w:rsidRDefault="00673D84" w:rsidP="00B12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3D84" w:rsidRDefault="00673D84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3D84" w:rsidRPr="001460B3" w:rsidRDefault="00673D84" w:rsidP="00B12B6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:rsidR="00E42AC5" w:rsidRPr="0016149E" w:rsidRDefault="00E42AC5" w:rsidP="00B12B69">
            <w:pPr>
              <w:pStyle w:val="CRCoverPage"/>
              <w:spacing w:after="0"/>
              <w:ind w:left="360"/>
              <w:rPr>
                <w:noProof/>
                <w:u w:val="single"/>
                <w:lang w:eastAsia="zh-CN"/>
              </w:rPr>
            </w:pPr>
            <w:r w:rsidRPr="0016149E">
              <w:rPr>
                <w:rFonts w:hint="eastAsia"/>
                <w:noProof/>
                <w:u w:val="single"/>
                <w:lang w:eastAsia="zh-CN"/>
              </w:rPr>
              <w:t>R</w:t>
            </w:r>
            <w:r w:rsidRPr="0016149E">
              <w:rPr>
                <w:noProof/>
                <w:u w:val="single"/>
                <w:lang w:eastAsia="zh-CN"/>
              </w:rPr>
              <w:t>ev 0:</w:t>
            </w:r>
          </w:p>
          <w:p w:rsidR="00673D84" w:rsidRDefault="00673D84" w:rsidP="00B12B69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eastAsia="zh-CN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</w:t>
            </w:r>
            <w:r w:rsidRPr="005E5C92">
              <w:rPr>
                <w:rFonts w:hint="eastAsia"/>
                <w:i/>
              </w:rPr>
              <w:t>maxUplinkDutyCycle-</w:t>
            </w:r>
            <w:r>
              <w:rPr>
                <w:rFonts w:eastAsiaTheme="minorEastAsia" w:hint="eastAsia"/>
                <w:i/>
                <w:lang w:eastAsia="zh-CN"/>
              </w:rPr>
              <w:t xml:space="preserve">interBandENDC-TDD-PC2 </w:t>
            </w:r>
            <w:r>
              <w:rPr>
                <w:rFonts w:cs="Arial" w:hint="eastAsia"/>
              </w:rPr>
              <w:t>with values {</w:t>
            </w:r>
            <w:r>
              <w:rPr>
                <w:rFonts w:eastAsiaTheme="minorEastAsia" w:cs="Arial" w:hint="eastAsia"/>
                <w:lang w:eastAsia="zh-CN"/>
              </w:rPr>
              <w:t>20%,40%,50%,60%,70%,80%,90%,100%</w:t>
            </w:r>
            <w:r>
              <w:rPr>
                <w:rFonts w:cs="Arial" w:hint="eastAsia"/>
              </w:rPr>
              <w:t>}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to </w:t>
            </w:r>
            <w:r>
              <w:rPr>
                <w:rFonts w:cs="Arial" w:hint="eastAsia"/>
              </w:rPr>
              <w:lastRenderedPageBreak/>
              <w:t>i</w:t>
            </w:r>
            <w:r>
              <w:rPr>
                <w:rFonts w:cs="Arial"/>
              </w:rPr>
              <w:t>ndicate</w:t>
            </w:r>
            <w:r w:rsidRPr="00BE2FBE">
              <w:rPr>
                <w:rFonts w:cs="Arial"/>
              </w:rPr>
              <w:t xml:space="preserve"> the maximum percentage of </w:t>
            </w:r>
            <w:r w:rsidRPr="00BE2FBE">
              <w:rPr>
                <w:rFonts w:cs="Arial" w:hint="eastAsia"/>
              </w:rPr>
              <w:t>symbols</w:t>
            </w:r>
            <w:r w:rsidRPr="00BE2FBE">
              <w:rPr>
                <w:rFonts w:cs="Arial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 xml:space="preserve">during </w:t>
            </w:r>
            <w:proofErr w:type="spellStart"/>
            <w:r>
              <w:rPr>
                <w:rFonts w:eastAsiaTheme="minorEastAsia" w:cs="Arial" w:hint="eastAsia"/>
                <w:lang w:eastAsia="zh-CN"/>
              </w:rPr>
              <w:t>a</w:t>
            </w:r>
            <w:proofErr w:type="spellEnd"/>
            <w:r>
              <w:rPr>
                <w:rFonts w:eastAsiaTheme="minorEastAsia" w:cs="Arial" w:hint="eastAsia"/>
                <w:lang w:eastAsia="zh-CN"/>
              </w:rPr>
              <w:t xml:space="preserve"> </w:t>
            </w:r>
            <w:r>
              <w:rPr>
                <w:rFonts w:eastAsiaTheme="minorEastAsia" w:cs="Arial"/>
                <w:lang w:eastAsia="zh-CN"/>
              </w:rPr>
              <w:t>evaluation</w:t>
            </w:r>
            <w:r>
              <w:rPr>
                <w:rFonts w:eastAsiaTheme="minorEastAsia" w:cs="Arial" w:hint="eastAsia"/>
                <w:lang w:eastAsia="zh-CN"/>
              </w:rPr>
              <w:t xml:space="preserve"> period that can be scheduled for NR uplink transmission under different EUTRA TDD uplink-downlink configurations </w:t>
            </w:r>
            <w:r w:rsidRPr="00BE2FBE">
              <w:rPr>
                <w:rFonts w:cs="Arial" w:hint="eastAsia"/>
              </w:rPr>
              <w:t xml:space="preserve">so as to ensure compliance </w:t>
            </w:r>
            <w:r w:rsidRPr="00BE2FBE">
              <w:rPr>
                <w:rFonts w:cs="Arial"/>
              </w:rPr>
              <w:t xml:space="preserve">with applicable electromagnetic energy absorption requirements provided by regulatory bodies. </w:t>
            </w:r>
            <w:r w:rsidRPr="00D21F0C">
              <w:rPr>
                <w:rFonts w:eastAsiaTheme="minorEastAsia" w:cs="Arial"/>
                <w:bCs/>
                <w:iCs/>
                <w:lang w:eastAsia="zh-CN"/>
              </w:rPr>
              <w:t xml:space="preserve">This field is only applicable for </w:t>
            </w:r>
            <w:r w:rsidRPr="00D21F0C">
              <w:rPr>
                <w:rFonts w:eastAsiaTheme="minorEastAsia" w:cs="Arial" w:hint="eastAsia"/>
                <w:bCs/>
                <w:iCs/>
                <w:lang w:eastAsia="zh-CN"/>
              </w:rPr>
              <w:t xml:space="preserve">inter-band TDD+TDD EN-DC power class 2 UE as specified in TS 38.101-3 [34]. </w:t>
            </w:r>
            <w:r w:rsidRPr="00D21F0C">
              <w:rPr>
                <w:rFonts w:eastAsiaTheme="minorEastAsia" w:cs="Arial"/>
                <w:bCs/>
                <w:iCs/>
                <w:lang w:eastAsia="zh-CN"/>
              </w:rPr>
              <w:t>If</w:t>
            </w:r>
            <w:r w:rsidRPr="00D21F0C">
              <w:rPr>
                <w:rFonts w:eastAsiaTheme="minorEastAsia" w:cs="Arial" w:hint="eastAsia"/>
                <w:bCs/>
                <w:iCs/>
                <w:lang w:eastAsia="zh-CN"/>
              </w:rPr>
              <w:t xml:space="preserve"> the field is absent, 30% shall be applied. Value n20 corresponds to 20%, value n40 corresponds to 4</w:t>
            </w:r>
          </w:p>
          <w:p w:rsidR="00E42AC5" w:rsidRDefault="00E42AC5" w:rsidP="00B12B69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eastAsia="zh-CN"/>
              </w:rPr>
            </w:pPr>
          </w:p>
          <w:p w:rsidR="00E42AC5" w:rsidRPr="0016149E" w:rsidRDefault="00E42AC5" w:rsidP="00E42AC5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u w:val="single"/>
                <w:lang w:eastAsia="zh-CN"/>
              </w:rPr>
            </w:pPr>
            <w:r w:rsidRPr="0016149E">
              <w:rPr>
                <w:rFonts w:eastAsiaTheme="minorEastAsia" w:cs="Arial"/>
                <w:bCs/>
                <w:iCs/>
                <w:u w:val="single"/>
                <w:lang w:eastAsia="zh-CN"/>
              </w:rPr>
              <w:t>Rev 1:</w:t>
            </w:r>
          </w:p>
          <w:p w:rsidR="00E42AC5" w:rsidRDefault="00E42AC5" w:rsidP="00E42AC5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eastAsia="zh-CN"/>
              </w:rPr>
            </w:pPr>
            <w:r w:rsidRPr="00E42AC5">
              <w:rPr>
                <w:rFonts w:eastAsiaTheme="minorEastAsia" w:cs="Arial"/>
                <w:bCs/>
                <w:iCs/>
                <w:lang w:eastAsia="zh-CN"/>
              </w:rPr>
              <w:t>This CR was agreed in principle in RAN2#107 meeting, and is updated to the latest version of the TS and resubmitted to RAN2#109e for formal agree.</w:t>
            </w:r>
          </w:p>
          <w:p w:rsidR="00673D84" w:rsidRPr="00BC1551" w:rsidRDefault="00673D84" w:rsidP="00B12B69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eastAsia="zh-CN"/>
              </w:rPr>
            </w:pPr>
          </w:p>
          <w:p w:rsidR="00673D84" w:rsidRPr="00A2442E" w:rsidRDefault="00673D84" w:rsidP="00B12B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:rsidR="00673D84" w:rsidRPr="00A2442E" w:rsidRDefault="00673D84" w:rsidP="00B12B6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:rsidR="00673D84" w:rsidRPr="00BC1551" w:rsidRDefault="00673D84" w:rsidP="00B12B6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changes only impact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power class 2 UEs. (EN-DC only)</w:t>
            </w:r>
          </w:p>
          <w:p w:rsidR="00673D84" w:rsidRDefault="00673D84" w:rsidP="00B12B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73D84" w:rsidRPr="00DA1D9F" w:rsidRDefault="00673D84" w:rsidP="00B12B6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:rsidR="00673D84" w:rsidRDefault="00673D84" w:rsidP="00B12B69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hint="eastAsia"/>
                <w:noProof/>
              </w:rPr>
              <w:t xml:space="preserve">network cannot know when UE will do power back off in order to ensure compliance with </w:t>
            </w:r>
            <w:r w:rsidRPr="00CD6DFA">
              <w:rPr>
                <w:rFonts w:hint="eastAsia"/>
                <w:noProof/>
              </w:rPr>
              <w:t>applicable electromagnetic energy absorption requirements provided by regulatory bodies</w:t>
            </w:r>
            <w:r>
              <w:rPr>
                <w:rFonts w:hint="eastAsia"/>
                <w:noProof/>
              </w:rPr>
              <w:t>.</w:t>
            </w:r>
          </w:p>
          <w:p w:rsidR="00673D84" w:rsidRPr="00137598" w:rsidRDefault="00673D84" w:rsidP="00B12B69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>
              <w:rPr>
                <w:rFonts w:hint="eastAsia"/>
                <w:noProof/>
              </w:rPr>
              <w:t xml:space="preserve">network scheduler will not consider the </w:t>
            </w:r>
            <w:r w:rsidRPr="005E5C92">
              <w:rPr>
                <w:rFonts w:hint="eastAsia"/>
                <w:i/>
              </w:rPr>
              <w:t>maxUplinkDutyCycle-</w:t>
            </w:r>
            <w:r>
              <w:rPr>
                <w:rFonts w:eastAsiaTheme="minorEastAsia" w:hint="eastAsia"/>
                <w:i/>
                <w:lang w:eastAsia="zh-CN"/>
              </w:rPr>
              <w:t>interBandENDC-TDD-PC2</w:t>
            </w:r>
            <w:r w:rsidRPr="004E0B36"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/>
                <w:noProof/>
              </w:rPr>
              <w:t xml:space="preserve">in order to ensure compliance with </w:t>
            </w:r>
            <w:r w:rsidRPr="00CD6DFA">
              <w:rPr>
                <w:rFonts w:hint="eastAsia"/>
                <w:noProof/>
              </w:rPr>
              <w:t>applicable electromagnetic energy absorption requirements provided by regulatory bodies</w:t>
            </w:r>
            <w:r>
              <w:rPr>
                <w:rFonts w:hint="eastAsia"/>
                <w:noProof/>
              </w:rPr>
              <w:t>, and UE could do power back off when the percentage of uplink transmission within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 certain evaluation period</w:t>
            </w:r>
            <w:r>
              <w:rPr>
                <w:rFonts w:hint="eastAsia"/>
                <w:noProof/>
              </w:rPr>
              <w:t xml:space="preserve"> is larger than its capability.</w:t>
            </w: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3D84" w:rsidRDefault="00673D84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3D84" w:rsidRDefault="00673D84" w:rsidP="00B12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3D84" w:rsidRDefault="00673D84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3D84" w:rsidRDefault="00673D84" w:rsidP="00B12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>
              <w:rPr>
                <w:rFonts w:hint="eastAsia"/>
                <w:i/>
                <w:noProof/>
              </w:rPr>
              <w:t xml:space="preserve"> </w:t>
            </w:r>
            <w:r w:rsidRPr="006D4B99">
              <w:rPr>
                <w:rFonts w:hint="eastAsia"/>
                <w:noProof/>
              </w:rPr>
              <w:t xml:space="preserve">for </w:t>
            </w:r>
            <w:r>
              <w:rPr>
                <w:rFonts w:eastAsiaTheme="minorEastAsia" w:hint="eastAsia"/>
                <w:noProof/>
                <w:lang w:eastAsia="zh-CN"/>
              </w:rPr>
              <w:t>EN-DC power class 2 UE</w:t>
            </w:r>
            <w:r>
              <w:rPr>
                <w:rFonts w:hint="eastAsia"/>
                <w:i/>
                <w:noProof/>
              </w:rPr>
              <w:t xml:space="preserve"> </w:t>
            </w:r>
            <w:r w:rsidRPr="002116F2">
              <w:rPr>
                <w:rFonts w:hint="eastAsia"/>
                <w:noProof/>
              </w:rPr>
              <w:t>is supported.</w:t>
            </w:r>
          </w:p>
        </w:tc>
      </w:tr>
      <w:tr w:rsidR="00324A06" w:rsidTr="00547111">
        <w:tc>
          <w:tcPr>
            <w:tcW w:w="2694" w:type="dxa"/>
            <w:gridSpan w:val="2"/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137868" w:rsidP="00137868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 w:rsidRPr="00137868">
              <w:rPr>
                <w:noProof/>
              </w:rPr>
              <w:t>4.2.7.9</w:t>
            </w:r>
            <w:r w:rsidRPr="00137868">
              <w:rPr>
                <w:noProof/>
              </w:rPr>
              <w:tab/>
            </w:r>
            <w:r w:rsidRPr="00137868">
              <w:rPr>
                <w:i/>
                <w:noProof/>
              </w:rPr>
              <w:t>MRDC-Parameters</w:t>
            </w: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A06" w:rsidRDefault="00577B3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4A06" w:rsidRDefault="004A415B" w:rsidP="004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3CCF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AF3CCF" w:rsidRPr="00AF3CCF">
              <w:rPr>
                <w:noProof/>
              </w:rPr>
              <w:t>1152</w:t>
            </w:r>
            <w:bookmarkStart w:id="3" w:name="_GoBack"/>
            <w:bookmarkEnd w:id="3"/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577B3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577B3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7F25" w:rsidRPr="009B6ED4" w:rsidRDefault="00957F25" w:rsidP="00957F25">
      <w:pPr>
        <w:spacing w:after="0"/>
        <w:rPr>
          <w:color w:val="FF0000"/>
          <w:lang w:val="en-US" w:eastAsia="zh-CN"/>
        </w:rPr>
      </w:pPr>
      <w:bookmarkStart w:id="4" w:name="_Toc5883512"/>
      <w:r>
        <w:rPr>
          <w:color w:val="FF0000"/>
          <w:lang w:val="en-US"/>
        </w:rPr>
        <w:lastRenderedPageBreak/>
        <w:t>**************************</w:t>
      </w:r>
      <w:r w:rsidRPr="007D7B68">
        <w:rPr>
          <w:color w:val="FF0000"/>
          <w:lang w:val="en-US"/>
        </w:rPr>
        <w:t>********** Beginning of changes ******</w:t>
      </w:r>
      <w:r>
        <w:rPr>
          <w:color w:val="FF0000"/>
          <w:lang w:val="en-US"/>
        </w:rPr>
        <w:t>******************************</w:t>
      </w:r>
      <w:r w:rsidRPr="007D7B68">
        <w:rPr>
          <w:color w:val="FF0000"/>
          <w:lang w:val="en-US"/>
        </w:rPr>
        <w:t>*****</w:t>
      </w:r>
    </w:p>
    <w:p w:rsidR="00BC6B48" w:rsidRPr="00666F6D" w:rsidRDefault="00BC6B48" w:rsidP="00BC6B48">
      <w:pPr>
        <w:pStyle w:val="4"/>
      </w:pPr>
      <w:bookmarkStart w:id="5" w:name="_Toc12750901"/>
      <w:bookmarkEnd w:id="4"/>
      <w:r w:rsidRPr="00666F6D">
        <w:lastRenderedPageBreak/>
        <w:t>4.2.7.9</w:t>
      </w:r>
      <w:r w:rsidRPr="00666F6D">
        <w:tab/>
      </w:r>
      <w:r w:rsidRPr="00666F6D">
        <w:rPr>
          <w:i/>
        </w:rPr>
        <w:t>MRDC-Parameters</w:t>
      </w:r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H"/>
            </w:pPr>
            <w:r w:rsidRPr="00666F6D">
              <w:t>Definitions for parameters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H"/>
            </w:pPr>
            <w:r w:rsidRPr="00666F6D">
              <w:t>Per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H"/>
            </w:pPr>
            <w:r w:rsidRPr="00666F6D">
              <w:t>M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H"/>
            </w:pPr>
            <w:r w:rsidRPr="00666F6D">
              <w:t>FDD-TDD</w:t>
            </w:r>
          </w:p>
          <w:p w:rsidR="00BC6B48" w:rsidRPr="00666F6D" w:rsidRDefault="00BC6B48" w:rsidP="00B12B69">
            <w:pPr>
              <w:pStyle w:val="TAH"/>
            </w:pPr>
            <w:r w:rsidRPr="00666F6D">
              <w:t>DIFF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H"/>
            </w:pPr>
            <w:r w:rsidRPr="00666F6D">
              <w:t>FR1-FR2</w:t>
            </w:r>
          </w:p>
          <w:p w:rsidR="00BC6B48" w:rsidRPr="00666F6D" w:rsidRDefault="00BC6B48" w:rsidP="00B12B69">
            <w:pPr>
              <w:pStyle w:val="TAH"/>
            </w:pPr>
            <w:r w:rsidRPr="00666F6D">
              <w:t>DIFF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asyncIntraBandENDC</w:t>
            </w:r>
            <w:proofErr w:type="spellEnd"/>
          </w:p>
          <w:p w:rsidR="00BC6B48" w:rsidRPr="00666F6D" w:rsidRDefault="00BC6B48" w:rsidP="00B12B69">
            <w:pPr>
              <w:pStyle w:val="TAL"/>
            </w:pPr>
            <w:r w:rsidRPr="00666F6D">
              <w:t>Indicates whether the UE supports asynchronous FDD-FDD intra-band EN-DC with MRTD and MTTD as specified in clause 7.5 and 7.6 of TS 38.133 [5]. If it is not supported for FDD-FDD intra-band EN-DC, the UE supports only synchronous FDD-FDD intra-band EN-DC.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FDD only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dualPA</w:t>
            </w:r>
            <w:proofErr w:type="spellEnd"/>
            <w:r w:rsidRPr="00666F6D">
              <w:rPr>
                <w:b/>
                <w:i/>
              </w:rPr>
              <w:t>-Architecture</w:t>
            </w:r>
          </w:p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  <w:rPr>
                <w:lang w:eastAsia="ko-KR"/>
              </w:rPr>
            </w:pPr>
            <w:r w:rsidRPr="00666F6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dynamicPowerSharing</w:t>
            </w:r>
            <w:proofErr w:type="spellEnd"/>
          </w:p>
          <w:p w:rsidR="00BC6B48" w:rsidRPr="00666F6D" w:rsidRDefault="00BC6B48" w:rsidP="00B12B69">
            <w:pPr>
              <w:pStyle w:val="TAL"/>
            </w:pPr>
            <w:r w:rsidRPr="00666F6D">
              <w:rPr>
                <w:bCs/>
                <w:iCs/>
              </w:rPr>
              <w:t>Indicates whether the UE supports dynamic EN-DC power sharing or not. If the UE supports this capability it will dynamically share the power between NR and LTE if P</w:t>
            </w:r>
            <w:r w:rsidRPr="00666F6D">
              <w:rPr>
                <w:bCs/>
                <w:iCs/>
                <w:vertAlign w:val="subscript"/>
              </w:rPr>
              <w:t>LTE</w:t>
            </w:r>
            <w:r w:rsidRPr="00666F6D">
              <w:rPr>
                <w:bCs/>
                <w:iCs/>
              </w:rPr>
              <w:t xml:space="preserve"> + P</w:t>
            </w:r>
            <w:r w:rsidRPr="00666F6D">
              <w:rPr>
                <w:bCs/>
                <w:iCs/>
                <w:vertAlign w:val="subscript"/>
              </w:rPr>
              <w:t>NR</w:t>
            </w:r>
            <w:r w:rsidRPr="00666F6D">
              <w:rPr>
                <w:bCs/>
                <w:iCs/>
              </w:rPr>
              <w:t xml:space="preserve"> &gt; P</w:t>
            </w:r>
            <w:r w:rsidRPr="00666F6D">
              <w:rPr>
                <w:bCs/>
                <w:iCs/>
                <w:vertAlign w:val="subscript"/>
              </w:rPr>
              <w:t>CMAX</w:t>
            </w:r>
            <w:r w:rsidRPr="00666F6D">
              <w:rPr>
                <w:bCs/>
                <w:iCs/>
              </w:rPr>
              <w:t>, as specified in TS 38.213 [11].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intraBandENDC</w:t>
            </w:r>
            <w:proofErr w:type="spellEnd"/>
            <w:r w:rsidRPr="00666F6D">
              <w:rPr>
                <w:b/>
                <w:bCs/>
                <w:i/>
                <w:iCs/>
              </w:rPr>
              <w:t>-Support</w:t>
            </w:r>
          </w:p>
          <w:p w:rsidR="00BC6B48" w:rsidRPr="00666F6D" w:rsidRDefault="00BC6B48" w:rsidP="00B12B69">
            <w:pPr>
              <w:pStyle w:val="TAL"/>
              <w:rPr>
                <w:bCs/>
                <w:iCs/>
              </w:rPr>
            </w:pPr>
            <w:r w:rsidRPr="00666F6D">
              <w:rPr>
                <w:bCs/>
                <w:iCs/>
              </w:rPr>
              <w:t>Indicates whether the UE supports intra-band EN-DC with only non-contiguous spectrum, or with both contiguous and non-contiguous spectrum for the EN-DC combination as specified in TS 38.101-3 [4].</w:t>
            </w:r>
          </w:p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Cs/>
                <w:iCs/>
              </w:rPr>
              <w:t>If the UE does not include this field for an intra-band EN-DC combination the UE only supports the contiguous spectrum for the intra-band EN-DC combination.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  <w:rPr>
                <w:bCs/>
                <w:iCs/>
              </w:rPr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  <w:rPr>
                <w:bCs/>
                <w:iCs/>
              </w:rPr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  <w:rPr>
                <w:bCs/>
                <w:iCs/>
              </w:rPr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:rsidR="00BC6B48" w:rsidRPr="00666F6D" w:rsidRDefault="00BC6B48" w:rsidP="00B12B69">
            <w:pPr>
              <w:pStyle w:val="TAL"/>
            </w:pPr>
            <w:r w:rsidRPr="00666F6D">
              <w:rPr>
                <w:bCs/>
                <w:iCs/>
              </w:rPr>
              <w:t>Indicates whether the UE supports simultaneous transmission and reception in TDD-TDD and TDD-FDD inter-band EN-DC. It is mandatory for certain TDD-FDD and TDD-TDD band combinations defined in TS 38.101-3 [4].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singleUL</w:t>
            </w:r>
            <w:proofErr w:type="spellEnd"/>
            <w:r w:rsidRPr="00666F6D">
              <w:rPr>
                <w:b/>
                <w:bCs/>
                <w:i/>
                <w:iCs/>
              </w:rPr>
              <w:t>-Transmission</w:t>
            </w:r>
          </w:p>
          <w:p w:rsidR="00BC6B48" w:rsidRPr="00666F6D" w:rsidRDefault="00BC6B48" w:rsidP="00B12B69">
            <w:pPr>
              <w:pStyle w:val="TAL"/>
            </w:pPr>
            <w:r w:rsidRPr="00666F6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tdm</w:t>
            </w:r>
            <w:proofErr w:type="spellEnd"/>
            <w:r w:rsidRPr="00666F6D">
              <w:rPr>
                <w:b/>
                <w:bCs/>
                <w:i/>
                <w:iCs/>
              </w:rPr>
              <w:t>-Pattern</w:t>
            </w:r>
          </w:p>
          <w:p w:rsidR="00BC6B48" w:rsidRPr="00666F6D" w:rsidRDefault="00BC6B48" w:rsidP="00B12B69">
            <w:pPr>
              <w:pStyle w:val="TAL"/>
            </w:pPr>
            <w:r w:rsidRPr="00666F6D">
              <w:rPr>
                <w:lang w:eastAsia="zh-CN"/>
              </w:rPr>
              <w:t xml:space="preserve">Indicates whether the UE supports the </w:t>
            </w:r>
            <w:proofErr w:type="spellStart"/>
            <w:r w:rsidRPr="00666F6D">
              <w:rPr>
                <w:i/>
                <w:lang w:eastAsia="zh-CN"/>
              </w:rPr>
              <w:t>tdm-PatternConfig</w:t>
            </w:r>
            <w:proofErr w:type="spellEnd"/>
            <w:r w:rsidRPr="00666F6D">
              <w:rPr>
                <w:lang w:eastAsia="zh-CN"/>
              </w:rPr>
              <w:t xml:space="preserve"> for </w:t>
            </w:r>
            <w:r w:rsidRPr="00666F6D">
              <w:rPr>
                <w:i/>
                <w:lang w:eastAsia="zh-CN"/>
              </w:rPr>
              <w:t>single UL-transmission</w:t>
            </w:r>
            <w:r w:rsidRPr="00666F6D">
              <w:rPr>
                <w:lang w:eastAsia="zh-CN"/>
              </w:rPr>
              <w:t xml:space="preserve"> associated functionality, as specified in TS 36.331 [17]. Support is conditionally mandatory for UEs that do not support dynamic power sharing and for UEs that indicate single UL transmission for any BC, and optional otherwise.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Yes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</w:t>
            </w:r>
            <w:proofErr w:type="spellStart"/>
            <w:r w:rsidRPr="00666F6D">
              <w:rPr>
                <w:b/>
                <w:i/>
              </w:rPr>
              <w:t>SharingEUTRA</w:t>
            </w:r>
            <w:proofErr w:type="spellEnd"/>
            <w:r w:rsidRPr="00666F6D">
              <w:rPr>
                <w:b/>
                <w:i/>
              </w:rPr>
              <w:t>-NR</w:t>
            </w:r>
          </w:p>
          <w:p w:rsidR="00BC6B48" w:rsidRPr="00666F6D" w:rsidRDefault="00BC6B48" w:rsidP="00B12B69">
            <w:pPr>
              <w:pStyle w:val="TAL"/>
            </w:pPr>
            <w:r w:rsidRPr="00666F6D">
              <w:t>Indicates whether the UE supports EN-DC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</w:t>
            </w:r>
            <w:proofErr w:type="spellStart"/>
            <w:r w:rsidRPr="00666F6D">
              <w:rPr>
                <w:b/>
                <w:i/>
              </w:rPr>
              <w:t>SwitchingTimeEUTRA</w:t>
            </w:r>
            <w:proofErr w:type="spellEnd"/>
            <w:r w:rsidRPr="00666F6D">
              <w:rPr>
                <w:b/>
                <w:i/>
              </w:rPr>
              <w:t>-NR</w:t>
            </w:r>
          </w:p>
          <w:p w:rsidR="00BC6B48" w:rsidRPr="00666F6D" w:rsidRDefault="00BC6B48" w:rsidP="00B12B69">
            <w:pPr>
              <w:pStyle w:val="TAL"/>
            </w:pPr>
            <w:r w:rsidRPr="00666F6D">
              <w:t xml:space="preserve">Indicates support of switching type between LTE UL and NR UL for EN-DC with LTE-NR coexistence in UL sharing from UE perspective as defined in clause 6.3B of TS 38.101-3 [4]. It is mandatory to report switching time type 1 or type 2 if UE reports </w:t>
            </w:r>
            <w:r w:rsidRPr="00666F6D">
              <w:rPr>
                <w:i/>
              </w:rPr>
              <w:t>ul-</w:t>
            </w:r>
            <w:proofErr w:type="spellStart"/>
            <w:r w:rsidRPr="00666F6D">
              <w:rPr>
                <w:i/>
              </w:rPr>
              <w:t>SharingEUTRA</w:t>
            </w:r>
            <w:proofErr w:type="spellEnd"/>
            <w:r w:rsidRPr="00666F6D">
              <w:rPr>
                <w:i/>
              </w:rPr>
              <w:t>-NR</w:t>
            </w:r>
            <w:r w:rsidRPr="00666F6D">
              <w:t xml:space="preserve"> is </w:t>
            </w:r>
            <w:proofErr w:type="spellStart"/>
            <w:r w:rsidRPr="00666F6D">
              <w:rPr>
                <w:i/>
              </w:rPr>
              <w:t>tdm</w:t>
            </w:r>
            <w:proofErr w:type="spellEnd"/>
            <w:r w:rsidRPr="00666F6D">
              <w:t xml:space="preserve"> or </w:t>
            </w:r>
            <w:r w:rsidRPr="00666F6D">
              <w:rPr>
                <w:i/>
              </w:rPr>
              <w:t>both</w:t>
            </w:r>
            <w:r w:rsidRPr="00666F6D">
              <w:t>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[Yes]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</w:t>
            </w:r>
            <w:proofErr w:type="spellStart"/>
            <w:r w:rsidRPr="00666F6D">
              <w:rPr>
                <w:b/>
                <w:i/>
              </w:rPr>
              <w:t>TimingAlignmentEUTRA</w:t>
            </w:r>
            <w:proofErr w:type="spellEnd"/>
            <w:r w:rsidRPr="00666F6D">
              <w:rPr>
                <w:b/>
                <w:i/>
              </w:rPr>
              <w:t>-NR</w:t>
            </w:r>
          </w:p>
          <w:p w:rsidR="00BC6B48" w:rsidRPr="00666F6D" w:rsidRDefault="00BC6B48" w:rsidP="00B12B69">
            <w:pPr>
              <w:pStyle w:val="TAL"/>
            </w:pPr>
            <w:r w:rsidRPr="00666F6D">
              <w:t>Indicates whether to apply the same UL timing between NR and LTE for dynamic power sharing capable UE operating in a synchronous intra-band contiguous EN-DC. If this field is absent, UE shall be capable of handling a timing difference up to applicable MTTD requirements when operating in a synchronous intra-band contiguous EN-DC network, as specified in TS 38.133 [5]. If this capability is included in an inter-band EN-DC BC with an intra-band EN-DC BC part, this capability is used to indicate the restriction to the intra-band EN-DC BC part.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2F1A4C" w:rsidRPr="00666F6D" w:rsidTr="00B12B69">
        <w:trPr>
          <w:cantSplit/>
          <w:tblHeader/>
          <w:ins w:id="6" w:author="cmcc" w:date="2019-08-13T14:25:00Z"/>
        </w:trPr>
        <w:tc>
          <w:tcPr>
            <w:tcW w:w="6917" w:type="dxa"/>
          </w:tcPr>
          <w:p w:rsidR="002F1A4C" w:rsidRDefault="002F1A4C" w:rsidP="00B12B69">
            <w:pPr>
              <w:pStyle w:val="TAL"/>
              <w:rPr>
                <w:ins w:id="7" w:author="cmcc" w:date="2019-08-13T14:28:00Z"/>
                <w:b/>
                <w:i/>
                <w:lang w:eastAsia="zh-CN"/>
              </w:rPr>
            </w:pPr>
            <w:ins w:id="8" w:author="cmcc" w:date="2019-08-13T14:25:00Z">
              <w:r>
                <w:rPr>
                  <w:rFonts w:hint="eastAsia"/>
                  <w:b/>
                  <w:i/>
                  <w:lang w:eastAsia="zh-CN"/>
                </w:rPr>
                <w:t>maxUplinkDutyCycle-interBandENDC</w:t>
              </w:r>
            </w:ins>
            <w:ins w:id="9" w:author="cmcc" w:date="2019-08-13T14:26:00Z">
              <w:r w:rsidR="00CC5B5A">
                <w:rPr>
                  <w:rFonts w:hint="eastAsia"/>
                  <w:b/>
                  <w:i/>
                  <w:lang w:eastAsia="zh-CN"/>
                </w:rPr>
                <w:t>-TDD</w:t>
              </w:r>
            </w:ins>
            <w:ins w:id="10" w:author="cmcc" w:date="2019-08-13T14:25:00Z">
              <w:r>
                <w:rPr>
                  <w:rFonts w:hint="eastAsia"/>
                  <w:b/>
                  <w:i/>
                  <w:lang w:eastAsia="zh-CN"/>
                </w:rPr>
                <w:t>-PC2</w:t>
              </w:r>
            </w:ins>
          </w:p>
          <w:p w:rsidR="0018520D" w:rsidRDefault="00AF76EF" w:rsidP="00B12B69">
            <w:pPr>
              <w:pStyle w:val="TAL"/>
              <w:rPr>
                <w:bCs/>
                <w:iCs/>
                <w:lang w:eastAsia="zh-CN"/>
              </w:rPr>
            </w:pPr>
            <w:ins w:id="11" w:author="cmcc" w:date="2019-08-13T14:28:00Z">
              <w:r w:rsidRPr="00687EDA">
                <w:rPr>
                  <w:rFonts w:eastAsia="Times New Roman"/>
                  <w:bCs/>
                  <w:iCs/>
                  <w:lang w:eastAsia="ja-JP"/>
                </w:rPr>
                <w:t>Indicates</w:t>
              </w:r>
              <w:r w:rsidRPr="00687EDA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  <w:r w:rsidRPr="00687EDA">
                <w:rPr>
                  <w:rFonts w:eastAsia="Times New Roman"/>
                  <w:bCs/>
                  <w:iCs/>
                  <w:lang w:eastAsia="ja-JP"/>
                </w:rPr>
                <w:t xml:space="preserve">the maximum percentage of symbols during </w:t>
              </w:r>
            </w:ins>
            <w:ins w:id="12" w:author="cmcc" w:date="2019-08-13T14:29:00Z">
              <w:r w:rsidR="006E7151">
                <w:rPr>
                  <w:rFonts w:hint="eastAsia"/>
                  <w:bCs/>
                  <w:iCs/>
                  <w:lang w:eastAsia="zh-CN"/>
                </w:rPr>
                <w:t xml:space="preserve">a certain evaluation period </w:t>
              </w:r>
            </w:ins>
            <w:ins w:id="13" w:author="cmcc" w:date="2019-08-13T14:28:00Z">
              <w:r w:rsidRPr="00687EDA">
                <w:rPr>
                  <w:rFonts w:eastAsia="Times New Roman"/>
                  <w:bCs/>
                  <w:iCs/>
                  <w:lang w:eastAsia="ja-JP"/>
                </w:rPr>
                <w:t xml:space="preserve">that can be scheduled for </w:t>
              </w:r>
              <w:r>
                <w:rPr>
                  <w:rFonts w:eastAsiaTheme="minorEastAsia" w:hint="eastAsia"/>
                  <w:bCs/>
                  <w:iCs/>
                  <w:lang w:eastAsia="zh-CN"/>
                </w:rPr>
                <w:t xml:space="preserve">NR </w:t>
              </w:r>
              <w:r w:rsidRPr="00687EDA">
                <w:rPr>
                  <w:rFonts w:eastAsia="Times New Roman"/>
                  <w:bCs/>
                  <w:iCs/>
                  <w:lang w:eastAsia="ja-JP"/>
                </w:rPr>
                <w:t>uplink transmission</w:t>
              </w:r>
              <w:r>
                <w:rPr>
                  <w:rFonts w:eastAsiaTheme="minorEastAsia" w:hint="eastAsia"/>
                  <w:bCs/>
                  <w:iCs/>
                  <w:lang w:eastAsia="zh-CN"/>
                </w:rPr>
                <w:t xml:space="preserve"> </w:t>
              </w:r>
              <w:r w:rsidRPr="00687EDA">
                <w:rPr>
                  <w:rFonts w:hint="eastAsia"/>
                  <w:bCs/>
                  <w:iCs/>
                  <w:lang w:eastAsia="zh-CN"/>
                </w:rPr>
                <w:t>under different EUTRA TDD uplink-downlink configurations</w:t>
              </w:r>
            </w:ins>
            <w:ins w:id="14" w:author="cmcc" w:date="2019-08-14T19:59:00Z">
              <w:r w:rsidR="000C692B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</w:ins>
            <w:ins w:id="15" w:author="cmcc" w:date="2019-08-13T14:28:00Z">
              <w:r w:rsidRPr="00687EDA">
                <w:rPr>
                  <w:rFonts w:eastAsia="Times New Roman"/>
                  <w:bCs/>
                  <w:iCs/>
                  <w:lang w:eastAsia="ja-JP"/>
                </w:rPr>
                <w:t xml:space="preserve">so as to ensure compliance with applicable electromagnetic energy absorption requirements provided by regulatory bodies. This field is only applicable for </w:t>
              </w:r>
              <w:r w:rsidRPr="00687EDA">
                <w:rPr>
                  <w:rFonts w:hint="eastAsia"/>
                  <w:bCs/>
                  <w:iCs/>
                  <w:lang w:eastAsia="zh-CN"/>
                </w:rPr>
                <w:t xml:space="preserve">inter-band TDD+TDD EN-DC power class 2 UE as specified in TS 38.101-3 [4]. </w:t>
              </w:r>
            </w:ins>
            <w:ins w:id="16" w:author="cmcc" w:date="2019-08-14T19:54:00Z">
              <w:r w:rsidR="009530AA">
                <w:rPr>
                  <w:rFonts w:hint="eastAsia"/>
                  <w:bCs/>
                  <w:iCs/>
                  <w:lang w:eastAsia="zh-CN"/>
                </w:rPr>
                <w:t xml:space="preserve">If the field is absent, 30% shall be applied to all </w:t>
              </w:r>
            </w:ins>
            <w:ins w:id="17" w:author="cmcc" w:date="2019-08-14T19:55:00Z">
              <w:r w:rsidR="009530AA" w:rsidRPr="00687EDA">
                <w:rPr>
                  <w:rFonts w:hint="eastAsia"/>
                  <w:bCs/>
                  <w:iCs/>
                  <w:lang w:eastAsia="zh-CN"/>
                </w:rPr>
                <w:t>EUTRA TDD uplink-downlink configuration</w:t>
              </w:r>
              <w:r w:rsidR="004A52B4">
                <w:rPr>
                  <w:rFonts w:hint="eastAsia"/>
                  <w:bCs/>
                  <w:iCs/>
                  <w:lang w:eastAsia="zh-CN"/>
                </w:rPr>
                <w:t>s.</w:t>
              </w:r>
            </w:ins>
            <w:r w:rsidR="00470835" w:rsidRPr="00687EDA">
              <w:rPr>
                <w:bCs/>
                <w:iCs/>
                <w:lang w:eastAsia="zh-CN"/>
              </w:rPr>
              <w:t xml:space="preserve"> </w:t>
            </w:r>
            <w:ins w:id="18" w:author="cmcc" w:date="2019-08-13T14:28:00Z">
              <w:r w:rsidR="00470835" w:rsidRPr="00687EDA">
                <w:rPr>
                  <w:bCs/>
                  <w:iCs/>
                  <w:lang w:eastAsia="zh-CN"/>
                </w:rPr>
                <w:t>If</w:t>
              </w:r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</w:ins>
            <w:proofErr w:type="spellStart"/>
            <w:ins w:id="19" w:author="cmcc" w:date="2019-08-14T19:56:00Z">
              <w:r w:rsidR="00470835" w:rsidRPr="00D43448">
                <w:rPr>
                  <w:rFonts w:hint="eastAsia"/>
                  <w:bCs/>
                  <w:i/>
                  <w:iCs/>
                  <w:lang w:eastAsia="zh-CN"/>
                </w:rPr>
                <w:t>eutra</w:t>
              </w:r>
              <w:proofErr w:type="spellEnd"/>
              <w:r w:rsidR="00470835" w:rsidRPr="00D43448">
                <w:rPr>
                  <w:rFonts w:hint="eastAsia"/>
                  <w:bCs/>
                  <w:i/>
                  <w:iCs/>
                  <w:lang w:eastAsia="zh-CN"/>
                </w:rPr>
                <w:t>-TDD-</w:t>
              </w:r>
              <w:proofErr w:type="spellStart"/>
              <w:r w:rsidR="00470835" w:rsidRPr="00D43448">
                <w:rPr>
                  <w:rFonts w:hint="eastAsia"/>
                  <w:bCs/>
                  <w:i/>
                  <w:iCs/>
                  <w:lang w:eastAsia="zh-CN"/>
                </w:rPr>
                <w:t>Configx</w:t>
              </w:r>
              <w:proofErr w:type="spellEnd"/>
              <w:r w:rsidR="00470835" w:rsidRPr="00D43448">
                <w:rPr>
                  <w:rFonts w:hint="eastAsia"/>
                  <w:bCs/>
                  <w:i/>
                  <w:iCs/>
                  <w:lang w:eastAsia="zh-CN"/>
                </w:rPr>
                <w:t xml:space="preserve"> </w:t>
              </w:r>
            </w:ins>
            <w:ins w:id="20" w:author="cmcc" w:date="2019-08-13T14:28:00Z"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>is absent, 30% shall be applied</w:t>
              </w:r>
            </w:ins>
            <w:ins w:id="21" w:author="cmcc" w:date="2019-08-14T19:56:00Z">
              <w:r w:rsidR="00470835">
                <w:rPr>
                  <w:rFonts w:hint="eastAsia"/>
                  <w:bCs/>
                  <w:iCs/>
                  <w:lang w:eastAsia="zh-CN"/>
                </w:rPr>
                <w:t xml:space="preserve"> to </w:t>
              </w:r>
            </w:ins>
            <w:ins w:id="22" w:author="cmcc" w:date="2019-08-14T19:59:00Z">
              <w:r w:rsidR="00470835">
                <w:rPr>
                  <w:rFonts w:hint="eastAsia"/>
                  <w:bCs/>
                  <w:iCs/>
                  <w:lang w:eastAsia="zh-CN"/>
                </w:rPr>
                <w:t>the</w:t>
              </w:r>
            </w:ins>
            <w:ins w:id="23" w:author="cmcc" w:date="2019-08-14T19:56:00Z">
              <w:r w:rsidR="00470835">
                <w:rPr>
                  <w:rFonts w:hint="eastAsia"/>
                  <w:bCs/>
                  <w:iCs/>
                  <w:lang w:eastAsia="zh-CN"/>
                </w:rPr>
                <w:t xml:space="preserve"> corresponding </w:t>
              </w:r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>EUTRA TDD uplink-downlink configuration</w:t>
              </w:r>
            </w:ins>
            <w:ins w:id="24" w:author="cmcc" w:date="2019-08-13T14:28:00Z"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>.</w:t>
              </w:r>
            </w:ins>
          </w:p>
          <w:p w:rsidR="00AF76EF" w:rsidRPr="00666F6D" w:rsidRDefault="00AF76EF" w:rsidP="00B12B69">
            <w:pPr>
              <w:pStyle w:val="TAL"/>
              <w:rPr>
                <w:ins w:id="25" w:author="cmcc" w:date="2019-08-13T14:25:00Z"/>
                <w:b/>
                <w:i/>
                <w:lang w:eastAsia="zh-CN"/>
              </w:rPr>
            </w:pPr>
            <w:ins w:id="26" w:author="cmcc" w:date="2019-08-13T14:28:00Z">
              <w:r w:rsidRPr="00687EDA">
                <w:rPr>
                  <w:rFonts w:hint="eastAsia"/>
                  <w:bCs/>
                  <w:iCs/>
                  <w:lang w:eastAsia="zh-CN"/>
                </w:rPr>
                <w:t>Value n20 corresponds to 20%, value n4</w:t>
              </w:r>
            </w:ins>
            <w:ins w:id="27" w:author="cmcc" w:date="2019-08-13T14:29:00Z">
              <w:r w:rsidR="008E4D1C">
                <w:rPr>
                  <w:rFonts w:hint="eastAsia"/>
                  <w:bCs/>
                  <w:iCs/>
                  <w:lang w:eastAsia="zh-CN"/>
                </w:rPr>
                <w:t>0 corresponds to 40% and so on.</w:t>
              </w:r>
            </w:ins>
          </w:p>
        </w:tc>
        <w:tc>
          <w:tcPr>
            <w:tcW w:w="709" w:type="dxa"/>
          </w:tcPr>
          <w:p w:rsidR="002F1A4C" w:rsidRPr="00666F6D" w:rsidRDefault="00844B32" w:rsidP="00B12B69">
            <w:pPr>
              <w:pStyle w:val="TAL"/>
              <w:jc w:val="center"/>
              <w:rPr>
                <w:ins w:id="28" w:author="cmcc" w:date="2019-08-13T14:25:00Z"/>
                <w:lang w:eastAsia="zh-CN"/>
              </w:rPr>
            </w:pPr>
            <w:ins w:id="29" w:author="cmcc" w:date="2019-08-13T14:25:00Z">
              <w:r>
                <w:rPr>
                  <w:rFonts w:hint="eastAsia"/>
                  <w:lang w:eastAsia="zh-CN"/>
                </w:rPr>
                <w:t>BC</w:t>
              </w:r>
            </w:ins>
          </w:p>
        </w:tc>
        <w:tc>
          <w:tcPr>
            <w:tcW w:w="567" w:type="dxa"/>
          </w:tcPr>
          <w:p w:rsidR="002F1A4C" w:rsidRPr="00666F6D" w:rsidRDefault="00844B32" w:rsidP="00B12B69">
            <w:pPr>
              <w:pStyle w:val="TAL"/>
              <w:jc w:val="center"/>
              <w:rPr>
                <w:ins w:id="30" w:author="cmcc" w:date="2019-08-13T14:25:00Z"/>
                <w:lang w:eastAsia="zh-CN"/>
              </w:rPr>
            </w:pPr>
            <w:ins w:id="31" w:author="cmcc" w:date="2019-08-13T14:25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:rsidR="002F1A4C" w:rsidRPr="00666F6D" w:rsidRDefault="002C03A7" w:rsidP="00B12B69">
            <w:pPr>
              <w:pStyle w:val="TAL"/>
              <w:jc w:val="center"/>
              <w:rPr>
                <w:ins w:id="32" w:author="cmcc" w:date="2019-08-13T14:25:00Z"/>
                <w:lang w:eastAsia="zh-CN"/>
              </w:rPr>
            </w:pPr>
            <w:ins w:id="33" w:author="cmcc" w:date="2019-08-13T14:26:00Z">
              <w:r>
                <w:rPr>
                  <w:rFonts w:hint="eastAsia"/>
                  <w:lang w:eastAsia="zh-CN"/>
                </w:rPr>
                <w:t>TDD only</w:t>
              </w:r>
            </w:ins>
          </w:p>
        </w:tc>
        <w:tc>
          <w:tcPr>
            <w:tcW w:w="728" w:type="dxa"/>
          </w:tcPr>
          <w:p w:rsidR="002F1A4C" w:rsidRPr="00666F6D" w:rsidRDefault="00CC5B5A" w:rsidP="00B12B69">
            <w:pPr>
              <w:pStyle w:val="TAL"/>
              <w:jc w:val="center"/>
              <w:rPr>
                <w:ins w:id="34" w:author="cmcc" w:date="2019-08-13T14:25:00Z"/>
                <w:lang w:eastAsia="zh-CN"/>
              </w:rPr>
            </w:pPr>
            <w:ins w:id="35" w:author="cmcc" w:date="2019-08-13T14:26:00Z">
              <w:r>
                <w:rPr>
                  <w:rFonts w:hint="eastAsia"/>
                  <w:lang w:eastAsia="zh-CN"/>
                </w:rPr>
                <w:t>FR1 only</w:t>
              </w:r>
            </w:ins>
          </w:p>
        </w:tc>
      </w:tr>
    </w:tbl>
    <w:p w:rsidR="00982AC9" w:rsidRDefault="00982AC9" w:rsidP="00982AC9">
      <w:pPr>
        <w:rPr>
          <w:ins w:id="36" w:author="cmcc" w:date="2019-08-13T14:31:00Z"/>
          <w:color w:val="FF0000"/>
          <w:lang w:val="en-US" w:eastAsia="zh-CN"/>
        </w:rPr>
      </w:pPr>
    </w:p>
    <w:p w:rsidR="00D10008" w:rsidRDefault="00982AC9">
      <w:pPr>
        <w:rPr>
          <w:color w:val="FF0000"/>
          <w:lang w:val="en-US" w:eastAsia="zh-CN"/>
          <w:rPrChange w:id="37" w:author="cmcc" w:date="2019-08-13T14:31:00Z">
            <w:rPr>
              <w:rFonts w:ascii="Arial" w:eastAsia="Malgun Gothic" w:hAnsi="Arial"/>
              <w:sz w:val="24"/>
            </w:rPr>
          </w:rPrChange>
        </w:rPr>
        <w:pPrChange w:id="38" w:author="cmcc" w:date="2019-08-13T14:31:00Z">
          <w:pPr>
            <w:keepNext/>
            <w:keepLines/>
            <w:spacing w:before="120"/>
            <w:outlineLvl w:val="3"/>
          </w:pPr>
        </w:pPrChange>
      </w:pPr>
      <w:ins w:id="39" w:author="cmcc" w:date="2019-08-13T14:31:00Z">
        <w:r w:rsidRPr="007D7B68">
          <w:rPr>
            <w:color w:val="FF0000"/>
            <w:lang w:val="en-US"/>
          </w:rPr>
          <w:t>************************************ End of changes *******</w:t>
        </w:r>
        <w:r>
          <w:rPr>
            <w:color w:val="FF0000"/>
            <w:lang w:val="en-US"/>
          </w:rPr>
          <w:t>******************************</w:t>
        </w:r>
        <w:r w:rsidRPr="007D7B68">
          <w:rPr>
            <w:color w:val="FF0000"/>
            <w:lang w:val="en-US"/>
          </w:rPr>
          <w:t>*********</w:t>
        </w:r>
      </w:ins>
    </w:p>
    <w:sectPr w:rsidR="00D100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627" w:rsidRDefault="00060627">
      <w:r>
        <w:separator/>
      </w:r>
    </w:p>
  </w:endnote>
  <w:endnote w:type="continuationSeparator" w:id="0">
    <w:p w:rsidR="00060627" w:rsidRDefault="0006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627" w:rsidRDefault="00060627">
      <w:r>
        <w:separator/>
      </w:r>
    </w:p>
  </w:footnote>
  <w:footnote w:type="continuationSeparator" w:id="0">
    <w:p w:rsidR="00060627" w:rsidRDefault="00060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825" w:rsidRDefault="004B2825">
    <w:r>
      <w:t xml:space="preserve">Page </w:t>
    </w:r>
    <w:r w:rsidR="00540806">
      <w:fldChar w:fldCharType="begin"/>
    </w:r>
    <w:r>
      <w:instrText>PAGE</w:instrText>
    </w:r>
    <w:r w:rsidR="00540806">
      <w:fldChar w:fldCharType="separate"/>
    </w:r>
    <w:r>
      <w:rPr>
        <w:noProof/>
      </w:rPr>
      <w:t>1</w:t>
    </w:r>
    <w:r w:rsidR="0054080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825" w:rsidRDefault="004B28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825" w:rsidRDefault="004B28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825" w:rsidRDefault="004B28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87A"/>
    <w:rsid w:val="00022E4A"/>
    <w:rsid w:val="00060627"/>
    <w:rsid w:val="00073615"/>
    <w:rsid w:val="000A6394"/>
    <w:rsid w:val="000B7FED"/>
    <w:rsid w:val="000C038A"/>
    <w:rsid w:val="000C1ABE"/>
    <w:rsid w:val="000C6598"/>
    <w:rsid w:val="000C692B"/>
    <w:rsid w:val="00101796"/>
    <w:rsid w:val="00137868"/>
    <w:rsid w:val="00145D43"/>
    <w:rsid w:val="0016095B"/>
    <w:rsid w:val="0016149E"/>
    <w:rsid w:val="0018520D"/>
    <w:rsid w:val="00192C46"/>
    <w:rsid w:val="001A08B3"/>
    <w:rsid w:val="001A7B60"/>
    <w:rsid w:val="001B52F0"/>
    <w:rsid w:val="001B7A65"/>
    <w:rsid w:val="001C1721"/>
    <w:rsid w:val="001E41F3"/>
    <w:rsid w:val="00200E75"/>
    <w:rsid w:val="00213DA6"/>
    <w:rsid w:val="002372F0"/>
    <w:rsid w:val="0026004D"/>
    <w:rsid w:val="002640DD"/>
    <w:rsid w:val="00275D12"/>
    <w:rsid w:val="002807BD"/>
    <w:rsid w:val="00284FEB"/>
    <w:rsid w:val="002850E0"/>
    <w:rsid w:val="002860C4"/>
    <w:rsid w:val="002B5741"/>
    <w:rsid w:val="002C03A7"/>
    <w:rsid w:val="002F1A4C"/>
    <w:rsid w:val="00305409"/>
    <w:rsid w:val="00321086"/>
    <w:rsid w:val="00322DF7"/>
    <w:rsid w:val="00324A06"/>
    <w:rsid w:val="003609EF"/>
    <w:rsid w:val="0036231A"/>
    <w:rsid w:val="00374DD4"/>
    <w:rsid w:val="00377EE2"/>
    <w:rsid w:val="003A3710"/>
    <w:rsid w:val="003A71D8"/>
    <w:rsid w:val="003B2858"/>
    <w:rsid w:val="003E1A36"/>
    <w:rsid w:val="00410371"/>
    <w:rsid w:val="004242F1"/>
    <w:rsid w:val="004340A0"/>
    <w:rsid w:val="00440DDE"/>
    <w:rsid w:val="00455BA1"/>
    <w:rsid w:val="00461E4B"/>
    <w:rsid w:val="00470835"/>
    <w:rsid w:val="004A415B"/>
    <w:rsid w:val="004A52B4"/>
    <w:rsid w:val="004B2825"/>
    <w:rsid w:val="004B75B7"/>
    <w:rsid w:val="004C40ED"/>
    <w:rsid w:val="004C7107"/>
    <w:rsid w:val="0051580D"/>
    <w:rsid w:val="00540806"/>
    <w:rsid w:val="00547111"/>
    <w:rsid w:val="00577B32"/>
    <w:rsid w:val="00592D74"/>
    <w:rsid w:val="005C18E9"/>
    <w:rsid w:val="005D665E"/>
    <w:rsid w:val="005E2C44"/>
    <w:rsid w:val="00614633"/>
    <w:rsid w:val="00616944"/>
    <w:rsid w:val="00621188"/>
    <w:rsid w:val="006257ED"/>
    <w:rsid w:val="00657E58"/>
    <w:rsid w:val="00673D84"/>
    <w:rsid w:val="0068777F"/>
    <w:rsid w:val="00695808"/>
    <w:rsid w:val="006B46FB"/>
    <w:rsid w:val="006E21FB"/>
    <w:rsid w:val="006E7151"/>
    <w:rsid w:val="00730730"/>
    <w:rsid w:val="00732B52"/>
    <w:rsid w:val="00792342"/>
    <w:rsid w:val="007977A8"/>
    <w:rsid w:val="007A6861"/>
    <w:rsid w:val="007B512A"/>
    <w:rsid w:val="007C2097"/>
    <w:rsid w:val="007D6A07"/>
    <w:rsid w:val="007F7259"/>
    <w:rsid w:val="008040A8"/>
    <w:rsid w:val="00825686"/>
    <w:rsid w:val="008279FA"/>
    <w:rsid w:val="00843100"/>
    <w:rsid w:val="00844B32"/>
    <w:rsid w:val="00850EA9"/>
    <w:rsid w:val="008626E7"/>
    <w:rsid w:val="00870EE7"/>
    <w:rsid w:val="008863B9"/>
    <w:rsid w:val="0089224E"/>
    <w:rsid w:val="008A45A6"/>
    <w:rsid w:val="008E4D1C"/>
    <w:rsid w:val="008F47AA"/>
    <w:rsid w:val="008F686C"/>
    <w:rsid w:val="009148DE"/>
    <w:rsid w:val="00941E30"/>
    <w:rsid w:val="009530AA"/>
    <w:rsid w:val="00957F25"/>
    <w:rsid w:val="009777D9"/>
    <w:rsid w:val="0098296A"/>
    <w:rsid w:val="00982AC9"/>
    <w:rsid w:val="00991B88"/>
    <w:rsid w:val="009A5753"/>
    <w:rsid w:val="009A579D"/>
    <w:rsid w:val="009B1E3A"/>
    <w:rsid w:val="009B42A6"/>
    <w:rsid w:val="009C12F1"/>
    <w:rsid w:val="009E3297"/>
    <w:rsid w:val="009E59ED"/>
    <w:rsid w:val="009F734F"/>
    <w:rsid w:val="00A01024"/>
    <w:rsid w:val="00A246B6"/>
    <w:rsid w:val="00A2576B"/>
    <w:rsid w:val="00A47E70"/>
    <w:rsid w:val="00A50CF0"/>
    <w:rsid w:val="00A7671C"/>
    <w:rsid w:val="00AA2CBC"/>
    <w:rsid w:val="00AC5820"/>
    <w:rsid w:val="00AD1CD8"/>
    <w:rsid w:val="00AF3CCF"/>
    <w:rsid w:val="00AF76EF"/>
    <w:rsid w:val="00B059B0"/>
    <w:rsid w:val="00B258BB"/>
    <w:rsid w:val="00B67B97"/>
    <w:rsid w:val="00B968C8"/>
    <w:rsid w:val="00BA3EC5"/>
    <w:rsid w:val="00BA51D9"/>
    <w:rsid w:val="00BB5DFC"/>
    <w:rsid w:val="00BC6B48"/>
    <w:rsid w:val="00BD279D"/>
    <w:rsid w:val="00BD51AF"/>
    <w:rsid w:val="00BD6BB8"/>
    <w:rsid w:val="00C66BA2"/>
    <w:rsid w:val="00C95985"/>
    <w:rsid w:val="00CB58C8"/>
    <w:rsid w:val="00CC5026"/>
    <w:rsid w:val="00CC5B5A"/>
    <w:rsid w:val="00CC68D0"/>
    <w:rsid w:val="00CF3E7B"/>
    <w:rsid w:val="00D03F9A"/>
    <w:rsid w:val="00D06D51"/>
    <w:rsid w:val="00D10008"/>
    <w:rsid w:val="00D1405C"/>
    <w:rsid w:val="00D24991"/>
    <w:rsid w:val="00D332F2"/>
    <w:rsid w:val="00D43448"/>
    <w:rsid w:val="00D50255"/>
    <w:rsid w:val="00D56360"/>
    <w:rsid w:val="00D66520"/>
    <w:rsid w:val="00D8512C"/>
    <w:rsid w:val="00DD01D5"/>
    <w:rsid w:val="00DE34CF"/>
    <w:rsid w:val="00E00582"/>
    <w:rsid w:val="00E13F3D"/>
    <w:rsid w:val="00E34898"/>
    <w:rsid w:val="00E42AC5"/>
    <w:rsid w:val="00E97898"/>
    <w:rsid w:val="00EB09B7"/>
    <w:rsid w:val="00EE7D7C"/>
    <w:rsid w:val="00F25D98"/>
    <w:rsid w:val="00F300FB"/>
    <w:rsid w:val="00F46BCC"/>
    <w:rsid w:val="00F50463"/>
    <w:rsid w:val="00F930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C6C60"/>
  <w15:docId w15:val="{2DE1642B-68AA-4A42-87E1-A39834EA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C6B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6B4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uiPriority w:val="59"/>
    <w:rsid w:val="00673D8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locked/>
    <w:rsid w:val="00673D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5AIRPNAIUNRU-859666464-5156</_dlc_DocId>
    <_dlc_DocIdUrl xmlns="71c5aaf6-e6ce-465b-b873-5148d2a4c105">
      <Url>https://nokia.sharepoint.com/sites/c5g/e2earch/_layouts/15/DocIdRedir.aspx?ID=5AIRPNAIUNRU-859666464-5156</Url>
      <Description>5AIRPNAIUNRU-859666464-5156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36A583-5FD1-4476-8C02-5F3E133F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CMCC_2</cp:lastModifiedBy>
  <cp:revision>11</cp:revision>
  <cp:lastPrinted>1899-12-31T23:00:00Z</cp:lastPrinted>
  <dcterms:created xsi:type="dcterms:W3CDTF">2019-08-15T09:48:00Z</dcterms:created>
  <dcterms:modified xsi:type="dcterms:W3CDTF">2020-02-24T04:00:00Z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90d38216-bcf0-451b-b842-70b94618af51</vt:lpwstr>
  </property>
</Properties>
</file>