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AA1A1" w14:textId="0597E7E9" w:rsidR="002F303E" w:rsidRPr="00E61854" w:rsidRDefault="002F303E" w:rsidP="009E29F1">
      <w:pPr>
        <w:spacing w:after="60"/>
        <w:ind w:left="1985" w:hanging="1985"/>
        <w:jc w:val="both"/>
        <w:rPr>
          <w:rFonts w:ascii="Arial" w:hAnsi="Arial" w:cs="Arial"/>
          <w:b/>
          <w:noProof/>
          <w:sz w:val="24"/>
          <w:szCs w:val="24"/>
          <w:lang w:val="en-US" w:eastAsia="ja-JP"/>
        </w:rPr>
      </w:pPr>
      <w:r>
        <w:rPr>
          <w:rFonts w:ascii="Arial" w:hAnsi="Arial" w:cs="Arial"/>
          <w:b/>
          <w:noProof/>
          <w:sz w:val="24"/>
          <w:szCs w:val="24"/>
          <w:lang w:val="en-US"/>
        </w:rPr>
        <w:t>3GPP TSG-RAN #87</w:t>
      </w:r>
      <w:r w:rsidR="00137F35">
        <w:rPr>
          <w:rFonts w:ascii="Arial" w:hAnsi="Arial" w:cs="Arial"/>
          <w:b/>
          <w:noProof/>
          <w:sz w:val="24"/>
          <w:szCs w:val="24"/>
          <w:lang w:val="en-US"/>
        </w:rPr>
        <w:t>-e</w:t>
      </w:r>
      <w:bookmarkStart w:id="0" w:name="_GoBack"/>
      <w:bookmarkEnd w:id="0"/>
      <w:r>
        <w:rPr>
          <w:rFonts w:ascii="Arial" w:hAnsi="Arial" w:cs="Arial"/>
          <w:b/>
          <w:noProof/>
          <w:sz w:val="24"/>
          <w:szCs w:val="24"/>
          <w:lang w:val="en-US"/>
        </w:rPr>
        <w:t xml:space="preserve"> </w:t>
      </w:r>
      <w:r w:rsidRPr="004B7E17">
        <w:rPr>
          <w:rFonts w:ascii="Arial" w:hAnsi="Arial" w:cs="Arial"/>
          <w:b/>
          <w:noProof/>
          <w:sz w:val="24"/>
          <w:szCs w:val="24"/>
          <w:lang w:val="en-US"/>
        </w:rPr>
        <w:tab/>
      </w:r>
      <w:r w:rsidR="00E46298">
        <w:rPr>
          <w:rFonts w:ascii="Arial" w:hAnsi="Arial" w:cs="Arial"/>
          <w:b/>
          <w:noProof/>
          <w:sz w:val="24"/>
          <w:szCs w:val="24"/>
          <w:lang w:val="en-US"/>
        </w:rPr>
        <w:tab/>
      </w:r>
      <w:r w:rsidR="00E46298">
        <w:rPr>
          <w:rFonts w:ascii="Arial" w:hAnsi="Arial" w:cs="Arial"/>
          <w:b/>
          <w:noProof/>
          <w:sz w:val="24"/>
          <w:szCs w:val="24"/>
          <w:lang w:val="en-US"/>
        </w:rPr>
        <w:tab/>
      </w:r>
      <w:r w:rsidR="00E46298">
        <w:rPr>
          <w:rFonts w:ascii="Arial" w:hAnsi="Arial" w:cs="Arial"/>
          <w:b/>
          <w:noProof/>
          <w:sz w:val="24"/>
          <w:szCs w:val="24"/>
          <w:lang w:val="en-US"/>
        </w:rPr>
        <w:tab/>
      </w:r>
      <w:r w:rsidR="00E46298">
        <w:rPr>
          <w:rFonts w:ascii="Arial" w:hAnsi="Arial" w:cs="Arial"/>
          <w:b/>
          <w:noProof/>
          <w:sz w:val="24"/>
          <w:szCs w:val="24"/>
          <w:lang w:val="en-US"/>
        </w:rPr>
        <w:tab/>
      </w:r>
      <w:r w:rsidR="00E46298">
        <w:rPr>
          <w:rFonts w:ascii="Arial" w:hAnsi="Arial" w:cs="Arial"/>
          <w:b/>
          <w:noProof/>
          <w:sz w:val="24"/>
          <w:szCs w:val="24"/>
          <w:lang w:val="en-US"/>
        </w:rPr>
        <w:tab/>
      </w:r>
      <w:r w:rsidR="00E46298">
        <w:rPr>
          <w:rFonts w:ascii="Arial" w:hAnsi="Arial" w:cs="Arial"/>
          <w:b/>
          <w:noProof/>
          <w:sz w:val="24"/>
          <w:szCs w:val="24"/>
          <w:lang w:val="en-US"/>
        </w:rPr>
        <w:tab/>
      </w:r>
      <w:r w:rsidR="00E46298">
        <w:rPr>
          <w:rFonts w:ascii="Arial" w:hAnsi="Arial" w:cs="Arial"/>
          <w:b/>
          <w:noProof/>
          <w:sz w:val="24"/>
          <w:szCs w:val="24"/>
          <w:lang w:val="en-US"/>
        </w:rPr>
        <w:tab/>
        <w:t xml:space="preserve">       </w:t>
      </w:r>
      <w:r w:rsidRPr="004B7E17">
        <w:rPr>
          <w:rFonts w:ascii="Arial" w:hAnsi="Arial" w:cs="Arial"/>
          <w:b/>
          <w:noProof/>
          <w:sz w:val="24"/>
          <w:szCs w:val="24"/>
          <w:lang w:val="en-US"/>
        </w:rPr>
        <w:t>R4-</w:t>
      </w:r>
      <w:r>
        <w:rPr>
          <w:rFonts w:ascii="Arial" w:hAnsi="Arial" w:cs="Arial"/>
          <w:b/>
          <w:noProof/>
          <w:sz w:val="24"/>
          <w:szCs w:val="24"/>
          <w:lang w:val="en-US"/>
        </w:rPr>
        <w:t>200</w:t>
      </w:r>
      <w:r w:rsidR="00E46298">
        <w:rPr>
          <w:rFonts w:ascii="Arial" w:hAnsi="Arial" w:cs="Arial"/>
          <w:b/>
          <w:noProof/>
          <w:sz w:val="24"/>
          <w:szCs w:val="24"/>
          <w:lang w:val="en-US"/>
        </w:rPr>
        <w:t>244</w:t>
      </w:r>
    </w:p>
    <w:p w14:paraId="7777838A" w14:textId="3CD80CED" w:rsidR="002F303E" w:rsidRDefault="002F303E" w:rsidP="002F303E">
      <w:pPr>
        <w:pStyle w:val="Footer"/>
        <w:jc w:val="both"/>
        <w:rPr>
          <w:i w:val="0"/>
          <w:noProof w:val="0"/>
          <w:sz w:val="24"/>
          <w:szCs w:val="24"/>
          <w:lang w:eastAsia="ja-JP"/>
        </w:rPr>
      </w:pPr>
      <w:r>
        <w:rPr>
          <w:rFonts w:eastAsia="SimSun"/>
          <w:i w:val="0"/>
          <w:noProof w:val="0"/>
          <w:sz w:val="24"/>
          <w:szCs w:val="24"/>
          <w:lang w:eastAsia="zh-CN"/>
        </w:rPr>
        <w:t xml:space="preserve">Online, </w:t>
      </w:r>
      <w:r w:rsidR="009716E4">
        <w:rPr>
          <w:rFonts w:eastAsia="SimSun"/>
          <w:i w:val="0"/>
          <w:noProof w:val="0"/>
          <w:sz w:val="24"/>
          <w:szCs w:val="24"/>
          <w:lang w:eastAsia="zh-CN"/>
        </w:rPr>
        <w:t>16</w:t>
      </w:r>
      <w:r w:rsidR="009716E4" w:rsidRPr="009E29F1">
        <w:rPr>
          <w:rFonts w:eastAsia="SimSun"/>
          <w:i w:val="0"/>
          <w:noProof w:val="0"/>
          <w:sz w:val="24"/>
          <w:szCs w:val="24"/>
          <w:vertAlign w:val="superscript"/>
          <w:lang w:eastAsia="zh-CN"/>
        </w:rPr>
        <w:t>th</w:t>
      </w:r>
      <w:r w:rsidR="009716E4">
        <w:rPr>
          <w:rFonts w:eastAsia="SimSun"/>
          <w:i w:val="0"/>
          <w:noProof w:val="0"/>
          <w:sz w:val="24"/>
          <w:szCs w:val="24"/>
          <w:lang w:eastAsia="zh-CN"/>
        </w:rPr>
        <w:t xml:space="preserve"> March</w:t>
      </w:r>
      <w:r w:rsidRPr="003C4687">
        <w:rPr>
          <w:rFonts w:eastAsia="SimSun"/>
          <w:i w:val="0"/>
          <w:noProof w:val="0"/>
          <w:sz w:val="24"/>
          <w:szCs w:val="24"/>
          <w:lang w:eastAsia="zh-CN"/>
        </w:rPr>
        <w:t xml:space="preserve"> – </w:t>
      </w:r>
      <w:r w:rsidR="009716E4">
        <w:rPr>
          <w:rFonts w:eastAsia="SimSun"/>
          <w:i w:val="0"/>
          <w:noProof w:val="0"/>
          <w:sz w:val="24"/>
          <w:szCs w:val="24"/>
          <w:lang w:eastAsia="zh-CN"/>
        </w:rPr>
        <w:t>19</w:t>
      </w:r>
      <w:r w:rsidR="009716E4" w:rsidRPr="009E29F1">
        <w:rPr>
          <w:rFonts w:eastAsia="SimSun"/>
          <w:i w:val="0"/>
          <w:noProof w:val="0"/>
          <w:sz w:val="24"/>
          <w:szCs w:val="24"/>
          <w:vertAlign w:val="superscript"/>
          <w:lang w:eastAsia="zh-CN"/>
        </w:rPr>
        <w:t>th</w:t>
      </w:r>
      <w:r w:rsidR="009716E4">
        <w:rPr>
          <w:rFonts w:eastAsia="SimSun"/>
          <w:i w:val="0"/>
          <w:noProof w:val="0"/>
          <w:sz w:val="24"/>
          <w:szCs w:val="24"/>
          <w:lang w:eastAsia="zh-CN"/>
        </w:rPr>
        <w:t xml:space="preserve"> </w:t>
      </w:r>
      <w:r w:rsidRPr="003C4687">
        <w:rPr>
          <w:rFonts w:eastAsia="SimSun"/>
          <w:i w:val="0"/>
          <w:noProof w:val="0"/>
          <w:sz w:val="24"/>
          <w:szCs w:val="24"/>
          <w:lang w:eastAsia="zh-CN"/>
        </w:rPr>
        <w:t>March 2020</w:t>
      </w:r>
    </w:p>
    <w:p w14:paraId="3EFE2E42" w14:textId="77777777" w:rsidR="002F303E" w:rsidRPr="00FB0094" w:rsidRDefault="002F303E" w:rsidP="002F303E">
      <w:pPr>
        <w:pStyle w:val="Footer"/>
        <w:jc w:val="both"/>
        <w:rPr>
          <w:noProof w:val="0"/>
        </w:rPr>
      </w:pPr>
    </w:p>
    <w:p w14:paraId="38416DD2" w14:textId="7E27DA0D" w:rsidR="002F303E" w:rsidRPr="000A64D8" w:rsidRDefault="002F303E" w:rsidP="002F303E">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3829B6">
        <w:rPr>
          <w:rFonts w:ascii="Arial" w:hAnsi="Arial"/>
          <w:sz w:val="24"/>
        </w:rPr>
        <w:t>9.10</w:t>
      </w:r>
    </w:p>
    <w:p w14:paraId="411EF4F2" w14:textId="77777777" w:rsidR="002F303E" w:rsidRPr="000A64D8" w:rsidRDefault="002F303E" w:rsidP="002F303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BA7B1B8" w14:textId="259A4EC3" w:rsidR="002F303E" w:rsidRPr="000A64D8" w:rsidRDefault="002F303E" w:rsidP="002F303E">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05533" w:rsidRPr="00805533">
        <w:rPr>
          <w:rFonts w:ascii="Arial" w:hAnsi="Arial"/>
          <w:sz w:val="22"/>
        </w:rPr>
        <w:t>TX Diversity and related work in RAN4</w:t>
      </w:r>
    </w:p>
    <w:p w14:paraId="41F0E833" w14:textId="4DB9EC01" w:rsidR="00222D66" w:rsidRDefault="002F303E" w:rsidP="009E29F1">
      <w:pPr>
        <w:tabs>
          <w:tab w:val="left" w:pos="1985"/>
        </w:tabs>
        <w:ind w:left="1980" w:hanging="1980"/>
        <w:rPr>
          <w:rFonts w:ascii="Arial" w:hAnsi="Arial" w:cs="Arial"/>
          <w:bCs/>
        </w:rPr>
      </w:pPr>
      <w:r>
        <w:rPr>
          <w:rFonts w:ascii="Arial" w:hAnsi="Arial"/>
          <w:b/>
          <w:sz w:val="24"/>
          <w:lang w:val="en-US"/>
        </w:rPr>
        <w:t>Document for:</w:t>
      </w:r>
      <w:r>
        <w:rPr>
          <w:rFonts w:ascii="Arial" w:hAnsi="Arial"/>
          <w:sz w:val="24"/>
          <w:lang w:val="en-US"/>
        </w:rPr>
        <w:tab/>
        <w:t>Approval</w:t>
      </w:r>
    </w:p>
    <w:p w14:paraId="5208C64A" w14:textId="77777777" w:rsidR="0045428D" w:rsidRDefault="000A567D" w:rsidP="009E29F1">
      <w:pPr>
        <w:pStyle w:val="Heading1"/>
        <w:jc w:val="both"/>
      </w:pPr>
      <w:r>
        <w:t>1.</w:t>
      </w:r>
      <w:r>
        <w:tab/>
      </w:r>
      <w:r w:rsidR="002A1C01">
        <w:t>Introduction</w:t>
      </w:r>
    </w:p>
    <w:p w14:paraId="35ABF5F3" w14:textId="65C7C22C" w:rsidR="002A1C01" w:rsidRPr="00161C73" w:rsidRDefault="00411126" w:rsidP="009E29F1">
      <w:pPr>
        <w:jc w:val="both"/>
      </w:pPr>
      <w:r>
        <w:t>Discussion</w:t>
      </w:r>
      <w:r w:rsidR="00CF5120">
        <w:t xml:space="preserve"> about TX diversity related implementations has been ongoing in RAN4 for some time</w:t>
      </w:r>
      <w:r>
        <w:t xml:space="preserve"> </w:t>
      </w:r>
      <w:r w:rsidR="00CF5120">
        <w:t xml:space="preserve">[2,3,4,5]. The discussion was kicked off by </w:t>
      </w:r>
      <w:r w:rsidR="00C67711">
        <w:t xml:space="preserve">the </w:t>
      </w:r>
      <w:r w:rsidR="00CF5120">
        <w:t xml:space="preserve">RAN1 agreement [1] </w:t>
      </w:r>
      <w:r>
        <w:t>of</w:t>
      </w:r>
      <w:r w:rsidR="00CF5120">
        <w:t xml:space="preserve"> TX diversity being specification transparent</w:t>
      </w:r>
      <w:r w:rsidR="007B78CB">
        <w:t>.</w:t>
      </w:r>
      <w:r>
        <w:t xml:space="preserve"> RAN1 meant that SFBC such as S-CDD is specification transparent. In RAN4, TX diversity opens </w:t>
      </w:r>
      <w:r w:rsidR="00C67711">
        <w:t xml:space="preserve">the </w:t>
      </w:r>
      <w:r>
        <w:t xml:space="preserve">possibility for </w:t>
      </w:r>
      <w:r w:rsidR="00C67711">
        <w:t xml:space="preserve">a </w:t>
      </w:r>
      <w:r>
        <w:t xml:space="preserve">UE with two 23 dBm PA’s to support </w:t>
      </w:r>
      <w:r w:rsidR="00C67711">
        <w:t xml:space="preserve">a </w:t>
      </w:r>
      <w:r>
        <w:t xml:space="preserve">combined 26 dBm output power i.e power class 2 when configured for single antenna port operation. </w:t>
      </w:r>
      <w:r w:rsidR="00676488">
        <w:t xml:space="preserve">In this context, it is important to note that specifications define </w:t>
      </w:r>
      <w:r w:rsidR="00E34EDE">
        <w:t xml:space="preserve">only one power class declaration </w:t>
      </w:r>
      <w:r w:rsidR="00AB5453">
        <w:t xml:space="preserve">per UE </w:t>
      </w:r>
      <w:r w:rsidR="00E34EDE">
        <w:t xml:space="preserve">that covers both single port </w:t>
      </w:r>
      <w:r w:rsidR="009872DA">
        <w:t xml:space="preserve">(DCI 0_0) </w:t>
      </w:r>
      <w:r w:rsidR="00E34EDE">
        <w:t xml:space="preserve">and </w:t>
      </w:r>
      <w:r w:rsidR="009872DA">
        <w:t xml:space="preserve">UL MIMO. </w:t>
      </w:r>
    </w:p>
    <w:p w14:paraId="210748CA" w14:textId="77777777" w:rsidR="00962566" w:rsidRDefault="000A567D" w:rsidP="009E29F1">
      <w:pPr>
        <w:pStyle w:val="Heading1"/>
        <w:jc w:val="both"/>
      </w:pPr>
      <w:r>
        <w:t xml:space="preserve">2. </w:t>
      </w:r>
      <w:r>
        <w:tab/>
      </w:r>
      <w:r w:rsidR="002A1C01">
        <w:t>Discussion</w:t>
      </w:r>
    </w:p>
    <w:p w14:paraId="2F803B3C" w14:textId="77777777" w:rsidR="003218BA" w:rsidRDefault="003218BA" w:rsidP="009E29F1">
      <w:pPr>
        <w:pStyle w:val="Heading2"/>
        <w:jc w:val="both"/>
      </w:pPr>
      <w:r>
        <w:t>2.1</w:t>
      </w:r>
      <w:r>
        <w:tab/>
      </w:r>
      <w:r w:rsidR="00285C25">
        <w:t xml:space="preserve">Transparency </w:t>
      </w:r>
    </w:p>
    <w:p w14:paraId="656D3C12" w14:textId="31C18DB2" w:rsidR="00431997" w:rsidRDefault="00431997" w:rsidP="009E29F1">
      <w:pPr>
        <w:pStyle w:val="B1"/>
        <w:ind w:left="0" w:firstLine="0"/>
        <w:jc w:val="both"/>
      </w:pPr>
      <w:r>
        <w:t>Firstly,</w:t>
      </w:r>
      <w:r w:rsidR="00411126">
        <w:t xml:space="preserve"> it should be noted that antenna port is a </w:t>
      </w:r>
      <w:r w:rsidR="00AB5453">
        <w:t xml:space="preserve">RAN1 </w:t>
      </w:r>
      <w:r w:rsidR="00411126">
        <w:t xml:space="preserve">term and means logical antenna port but antenna connector in </w:t>
      </w:r>
      <w:r w:rsidR="00AB5453">
        <w:t>RAN4</w:t>
      </w:r>
      <w:r w:rsidR="00411126">
        <w:t xml:space="preserve"> is a physical antenna connector</w:t>
      </w:r>
      <w:r w:rsidR="00AB5453">
        <w:t xml:space="preserve"> used </w:t>
      </w:r>
      <w:r w:rsidR="00980CA6">
        <w:t>for testing/measurements</w:t>
      </w:r>
      <w:r w:rsidR="00411126">
        <w:t>. TX diversity can be also called antenna port virtualization</w:t>
      </w:r>
      <w:r>
        <w:t xml:space="preserve">. When transmission is configured for one logical antenna port, two antenna connectors maybe involved depending if UE implements TX diversity. </w:t>
      </w:r>
      <w:r w:rsidR="00411126">
        <w:t xml:space="preserve">  </w:t>
      </w:r>
    </w:p>
    <w:p w14:paraId="2AA65F20" w14:textId="0262DCB7" w:rsidR="00285C25" w:rsidRDefault="00431997" w:rsidP="009E29F1">
      <w:pPr>
        <w:pStyle w:val="B1"/>
        <w:ind w:left="0" w:firstLine="0"/>
        <w:jc w:val="both"/>
      </w:pPr>
      <w:r>
        <w:t>Rel-15 based RAN4 requirements and RAN5 test procedures are written i</w:t>
      </w:r>
      <w:r w:rsidR="00380E73">
        <w:t>n</w:t>
      </w:r>
      <w:r>
        <w:t xml:space="preserve"> such </w:t>
      </w:r>
      <w:r w:rsidR="00380E73">
        <w:t xml:space="preserve">a </w:t>
      </w:r>
      <w:r>
        <w:t>way that the rated output is expected to come out of one antenna connector and</w:t>
      </w:r>
      <w:r w:rsidR="00380E73">
        <w:t xml:space="preserve">, </w:t>
      </w:r>
      <w:r>
        <w:t>therefore</w:t>
      </w:r>
      <w:r w:rsidR="00380E73">
        <w:t>,</w:t>
      </w:r>
      <w:r>
        <w:t xml:space="preserve"> there would need to be a change starting from RAN4 requirements to recogni</w:t>
      </w:r>
      <w:r w:rsidR="00D921DD">
        <w:t>z</w:t>
      </w:r>
      <w:r>
        <w:t>e TX diversity. This change can be made i</w:t>
      </w:r>
      <w:r w:rsidR="00D921DD">
        <w:t>n</w:t>
      </w:r>
      <w:r>
        <w:t xml:space="preserve"> such </w:t>
      </w:r>
      <w:r w:rsidR="00D921DD">
        <w:t xml:space="preserve">a </w:t>
      </w:r>
      <w:r>
        <w:t>way that speci</w:t>
      </w:r>
      <w:r w:rsidR="00D921DD">
        <w:t>fic</w:t>
      </w:r>
      <w:r>
        <w:t>ation transparency is preserved</w:t>
      </w:r>
      <w:r w:rsidR="00E75F6D">
        <w:t xml:space="preserve"> [4,6].</w:t>
      </w:r>
      <w:r>
        <w:t xml:space="preserve"> </w:t>
      </w:r>
      <w:r w:rsidR="00E75F6D">
        <w:t xml:space="preserve"> S</w:t>
      </w:r>
      <w:r>
        <w:t>ome test equipment vendors</w:t>
      </w:r>
      <w:r w:rsidR="005254C9">
        <w:t xml:space="preserve"> expressed</w:t>
      </w:r>
      <w:r>
        <w:t xml:space="preserve"> concerns since </w:t>
      </w:r>
      <w:r w:rsidR="005254C9">
        <w:t>this</w:t>
      </w:r>
      <w:r>
        <w:t xml:space="preserve"> implies</w:t>
      </w:r>
      <w:r w:rsidR="00E75F6D">
        <w:t xml:space="preserve"> </w:t>
      </w:r>
      <w:r w:rsidR="005254C9">
        <w:t xml:space="preserve">that te </w:t>
      </w:r>
      <w:r w:rsidR="00E75F6D">
        <w:t xml:space="preserve">TE has to </w:t>
      </w:r>
      <w:proofErr w:type="gramStart"/>
      <w:r w:rsidR="005254C9">
        <w:t xml:space="preserve">check </w:t>
      </w:r>
      <w:r w:rsidR="00E75F6D">
        <w:t xml:space="preserve"> </w:t>
      </w:r>
      <w:r w:rsidR="005254C9">
        <w:t>multiple</w:t>
      </w:r>
      <w:proofErr w:type="gramEnd"/>
      <w:r w:rsidR="005254C9">
        <w:t xml:space="preserve"> </w:t>
      </w:r>
      <w:r w:rsidR="00E75F6D">
        <w:t xml:space="preserve">hypothesis for each test to check if </w:t>
      </w:r>
      <w:r w:rsidR="00285C25">
        <w:t xml:space="preserve">UE implements TX diversity or not. </w:t>
      </w:r>
    </w:p>
    <w:p w14:paraId="4B9C0745" w14:textId="23F94D49" w:rsidR="00285C25" w:rsidRPr="00087A4D" w:rsidRDefault="00285C25" w:rsidP="009E29F1">
      <w:pPr>
        <w:pStyle w:val="B1"/>
        <w:ind w:left="0" w:firstLine="0"/>
        <w:jc w:val="both"/>
        <w:rPr>
          <w:b/>
          <w:bCs/>
        </w:rPr>
      </w:pPr>
      <w:r w:rsidRPr="00087A4D">
        <w:rPr>
          <w:b/>
          <w:bCs/>
        </w:rPr>
        <w:t>Observation 1: Even if R</w:t>
      </w:r>
      <w:r w:rsidR="00586371">
        <w:rPr>
          <w:b/>
          <w:bCs/>
        </w:rPr>
        <w:t>AN4</w:t>
      </w:r>
      <w:r w:rsidRPr="00087A4D">
        <w:rPr>
          <w:b/>
          <w:bCs/>
        </w:rPr>
        <w:t xml:space="preserve"> can define requirements so that TX diversity is specification transparent, in RAN5</w:t>
      </w:r>
      <w:r w:rsidR="00184D08">
        <w:rPr>
          <w:b/>
          <w:bCs/>
        </w:rPr>
        <w:t>,</w:t>
      </w:r>
      <w:r w:rsidRPr="00087A4D">
        <w:rPr>
          <w:b/>
          <w:bCs/>
        </w:rPr>
        <w:t xml:space="preserve"> transparent TX diversity may not be practical due to added testing burden.</w:t>
      </w:r>
    </w:p>
    <w:p w14:paraId="3BCFC832" w14:textId="0CF747EC" w:rsidR="009872DA" w:rsidRDefault="00DA65A6" w:rsidP="009E29F1">
      <w:pPr>
        <w:pStyle w:val="B1"/>
        <w:ind w:left="0" w:firstLine="0"/>
        <w:jc w:val="both"/>
      </w:pPr>
      <w:r>
        <w:t xml:space="preserve">Due to late timing, Ran4 ruled out TX diversity [5] in the specifications </w:t>
      </w:r>
      <w:r w:rsidR="00184D08">
        <w:t>which</w:t>
      </w:r>
      <w:r w:rsidR="006D55A7">
        <w:t xml:space="preserve"> means that </w:t>
      </w:r>
      <w:r w:rsidR="00D10C6E">
        <w:t xml:space="preserve">a </w:t>
      </w:r>
      <w:r w:rsidR="006D55A7">
        <w:t>NR SA UE must be compliant with the declared power class from one antenna connector.</w:t>
      </w:r>
      <w:r w:rsidR="009872DA">
        <w:t xml:space="preserve"> However, </w:t>
      </w:r>
      <w:r w:rsidR="00D10C6E">
        <w:t xml:space="preserve">it seems that </w:t>
      </w:r>
      <w:r w:rsidR="009872DA">
        <w:t xml:space="preserve">this is not common understanding in RAN4 </w:t>
      </w:r>
      <w:r w:rsidR="00563B8F">
        <w:t xml:space="preserve">or RAN5 </w:t>
      </w:r>
      <w:r w:rsidR="00A72240">
        <w:t>as</w:t>
      </w:r>
      <w:r w:rsidR="009872DA">
        <w:t xml:space="preserve"> some companies </w:t>
      </w:r>
      <w:r w:rsidR="00A72240">
        <w:t xml:space="preserve">still </w:t>
      </w:r>
      <w:r w:rsidR="00087A4D">
        <w:t xml:space="preserve">bring CRs to introduce TX diversity </w:t>
      </w:r>
      <w:r w:rsidR="00A72240">
        <w:t xml:space="preserve">support directly </w:t>
      </w:r>
      <w:r w:rsidR="00087A4D">
        <w:t xml:space="preserve">in RAN5 [8] </w:t>
      </w:r>
      <w:r w:rsidR="00A72240">
        <w:t>or</w:t>
      </w:r>
      <w:r w:rsidR="00087A4D">
        <w:t xml:space="preserve"> even propose dedicated MPR tables for 2TX UEs in RAN4 [9]. </w:t>
      </w:r>
    </w:p>
    <w:p w14:paraId="2D3FEFBF" w14:textId="2ACD61B2" w:rsidR="00087A4D" w:rsidRPr="00087A4D" w:rsidRDefault="00087A4D" w:rsidP="009E29F1">
      <w:pPr>
        <w:pStyle w:val="B1"/>
        <w:ind w:left="0" w:firstLine="0"/>
        <w:jc w:val="both"/>
        <w:rPr>
          <w:b/>
          <w:bCs/>
        </w:rPr>
      </w:pPr>
      <w:r w:rsidRPr="00087A4D">
        <w:rPr>
          <w:b/>
          <w:bCs/>
        </w:rPr>
        <w:t xml:space="preserve">Observation 2: </w:t>
      </w:r>
      <w:r w:rsidR="001B70ED">
        <w:rPr>
          <w:b/>
          <w:bCs/>
        </w:rPr>
        <w:t xml:space="preserve">Some companies are still proposing changes in RAN4 or RAN5 </w:t>
      </w:r>
      <w:r w:rsidR="0075352D">
        <w:rPr>
          <w:b/>
          <w:bCs/>
        </w:rPr>
        <w:t xml:space="preserve">even those the specifications do not explicitly specify </w:t>
      </w:r>
      <w:r w:rsidRPr="00087A4D">
        <w:rPr>
          <w:b/>
          <w:bCs/>
        </w:rPr>
        <w:t>TX diversity</w:t>
      </w:r>
      <w:r w:rsidR="0075352D">
        <w:rPr>
          <w:b/>
          <w:bCs/>
        </w:rPr>
        <w:t>.</w:t>
      </w:r>
    </w:p>
    <w:p w14:paraId="08DD341A" w14:textId="77777777" w:rsidR="00087A4D" w:rsidRDefault="00087A4D" w:rsidP="009E29F1">
      <w:pPr>
        <w:pStyle w:val="Heading2"/>
        <w:jc w:val="both"/>
      </w:pPr>
      <w:r>
        <w:t>2.2</w:t>
      </w:r>
      <w:r>
        <w:tab/>
        <w:t xml:space="preserve">Power class issues    </w:t>
      </w:r>
    </w:p>
    <w:p w14:paraId="29248863" w14:textId="77777777" w:rsidR="009333E0" w:rsidRPr="009333E0" w:rsidRDefault="009333E0" w:rsidP="009E29F1">
      <w:pPr>
        <w:pStyle w:val="Heading2"/>
        <w:jc w:val="both"/>
      </w:pPr>
      <w:r>
        <w:t>2.2.1</w:t>
      </w:r>
      <w:r>
        <w:tab/>
        <w:t>General</w:t>
      </w:r>
    </w:p>
    <w:p w14:paraId="7991079E" w14:textId="7B0509DB" w:rsidR="0068330F" w:rsidRDefault="00087A4D" w:rsidP="009E29F1">
      <w:pPr>
        <w:pStyle w:val="B1"/>
        <w:ind w:left="0" w:firstLine="0"/>
        <w:jc w:val="both"/>
      </w:pPr>
      <w:r>
        <w:t xml:space="preserve">TX diversity enables </w:t>
      </w:r>
      <w:r w:rsidR="004F6714">
        <w:t xml:space="preserve">a </w:t>
      </w:r>
      <w:r>
        <w:t xml:space="preserve">new type </w:t>
      </w:r>
      <w:r w:rsidR="004F6714">
        <w:t xml:space="preserve">of </w:t>
      </w:r>
      <w:r>
        <w:t xml:space="preserve">capability for the UE to produce higher combined output power than any of its PA’s alone </w:t>
      </w:r>
      <w:r w:rsidR="004F6714">
        <w:t>would be</w:t>
      </w:r>
      <w:r>
        <w:t xml:space="preserve"> capable of. RAN1 lead eMIMO work item is working to clarify this in Rel-16 but </w:t>
      </w:r>
      <w:r w:rsidR="004F6714">
        <w:t xml:space="preserve">some companies are proposing </w:t>
      </w:r>
      <w:r w:rsidR="0071422A">
        <w:t>Rel</w:t>
      </w:r>
      <w:r w:rsidR="002D2FE3">
        <w:t>-</w:t>
      </w:r>
      <w:r w:rsidR="0071422A">
        <w:t xml:space="preserve">15 changes in </w:t>
      </w:r>
      <w:r>
        <w:t xml:space="preserve">RAN4. </w:t>
      </w:r>
      <w:r w:rsidR="00252F5F">
        <w:t xml:space="preserve">The power class of a UE implemented </w:t>
      </w:r>
      <w:proofErr w:type="gramStart"/>
      <w:r w:rsidR="00252F5F">
        <w:t xml:space="preserve">with </w:t>
      </w:r>
      <w:r w:rsidR="0068330F">
        <w:t xml:space="preserve"> 23</w:t>
      </w:r>
      <w:proofErr w:type="gramEnd"/>
      <w:r w:rsidR="0068330F">
        <w:t xml:space="preserve">+23 dBm </w:t>
      </w:r>
      <w:r w:rsidR="008E3045">
        <w:t xml:space="preserve">PA’s </w:t>
      </w:r>
      <w:r w:rsidR="0068330F">
        <w:t xml:space="preserve">needs clarifications in multiple cases. In Figure 1 we show those cases. </w:t>
      </w:r>
    </w:p>
    <w:p w14:paraId="4BDE2771" w14:textId="50515197" w:rsidR="00285C25" w:rsidRDefault="00612471" w:rsidP="009E29F1">
      <w:pPr>
        <w:pStyle w:val="B1"/>
        <w:ind w:left="0" w:firstLine="0"/>
        <w:jc w:val="both"/>
      </w:pPr>
      <w:r>
        <w:rPr>
          <w:noProof/>
        </w:rPr>
        <w:lastRenderedPageBreak/>
        <w:drawing>
          <wp:inline distT="0" distB="0" distL="0" distR="0" wp14:anchorId="26590A58" wp14:editId="03077648">
            <wp:extent cx="5318760" cy="2809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8760" cy="2809240"/>
                    </a:xfrm>
                    <a:prstGeom prst="rect">
                      <a:avLst/>
                    </a:prstGeom>
                    <a:noFill/>
                    <a:ln>
                      <a:noFill/>
                    </a:ln>
                  </pic:spPr>
                </pic:pic>
              </a:graphicData>
            </a:graphic>
          </wp:inline>
        </w:drawing>
      </w:r>
      <w:r w:rsidR="006D55A7">
        <w:t xml:space="preserve"> </w:t>
      </w:r>
      <w:r w:rsidR="00DA65A6">
        <w:t xml:space="preserve"> </w:t>
      </w:r>
    </w:p>
    <w:p w14:paraId="249BFB62" w14:textId="77777777" w:rsidR="00C766D1" w:rsidRDefault="00C766D1" w:rsidP="009E29F1">
      <w:pPr>
        <w:pStyle w:val="TF"/>
        <w:jc w:val="both"/>
      </w:pPr>
      <w:r>
        <w:t xml:space="preserve">Figure 1. </w:t>
      </w:r>
      <w:r w:rsidR="00BE75DA">
        <w:t>Different options for 23+23 dBm implementation with combined 26 dBm output power: (a)</w:t>
      </w:r>
      <w:r w:rsidR="00E34EDE">
        <w:t xml:space="preserve"> </w:t>
      </w:r>
      <w:r w:rsidR="00BE75DA">
        <w:t>TX Diversity; (b) EN-DC; (c) UL MIMO</w:t>
      </w:r>
    </w:p>
    <w:p w14:paraId="0F07B692" w14:textId="77777777" w:rsidR="0068330F" w:rsidRDefault="0068330F" w:rsidP="009E29F1">
      <w:pPr>
        <w:pStyle w:val="Heading3"/>
        <w:jc w:val="both"/>
      </w:pPr>
      <w:r>
        <w:t>2.2.</w:t>
      </w:r>
      <w:r w:rsidR="009333E0">
        <w:t>2</w:t>
      </w:r>
      <w:r>
        <w:tab/>
        <w:t xml:space="preserve">UE power class </w:t>
      </w:r>
      <w:r w:rsidR="00AD27AB">
        <w:t xml:space="preserve">baseline </w:t>
      </w:r>
      <w:r>
        <w:t>DCI 0_0 vs UL MIMO</w:t>
      </w:r>
    </w:p>
    <w:p w14:paraId="35F3BBF5" w14:textId="790829C8" w:rsidR="0068330F" w:rsidRDefault="0068330F" w:rsidP="009E29F1">
      <w:pPr>
        <w:pStyle w:val="B1"/>
        <w:ind w:left="0" w:firstLine="0"/>
        <w:jc w:val="both"/>
      </w:pPr>
      <w:r>
        <w:t xml:space="preserve">UE that implements UL MIMO support and only has 23 dBm PA’s is capable for combined 26 dBm output power as shown in Figure 1 </w:t>
      </w:r>
      <w:proofErr w:type="gramStart"/>
      <w:r>
        <w:t>( c</w:t>
      </w:r>
      <w:proofErr w:type="gramEnd"/>
      <w:r>
        <w:t xml:space="preserve"> ) but this is the case only for rank-2. Some companies </w:t>
      </w:r>
      <w:r w:rsidR="008E3045">
        <w:t>consider</w:t>
      </w:r>
      <w:r>
        <w:t xml:space="preserve"> </w:t>
      </w:r>
      <w:r w:rsidR="001D133C">
        <w:t xml:space="preserve">that </w:t>
      </w:r>
      <w:r>
        <w:t>this is PC2 (26 dBm) UE and wish to set the power class declaration accordingly</w:t>
      </w:r>
      <w:r w:rsidR="001B6865">
        <w:t xml:space="preserve">. Consequently, this </w:t>
      </w:r>
      <w:r>
        <w:t xml:space="preserve">UE </w:t>
      </w:r>
      <w:r w:rsidR="001B6865">
        <w:t xml:space="preserve">would have to be allowed </w:t>
      </w:r>
      <w:r>
        <w:t xml:space="preserve">to fall back to PC3 when configured for single port. </w:t>
      </w:r>
      <w:r w:rsidR="00D624B1">
        <w:t xml:space="preserve">However, the current specifications are written such </w:t>
      </w:r>
      <w:r w:rsidR="001D133C">
        <w:t xml:space="preserve">way </w:t>
      </w:r>
      <w:r w:rsidR="00D624B1">
        <w:t xml:space="preserve">that </w:t>
      </w:r>
      <w:r>
        <w:t xml:space="preserve">this UE is </w:t>
      </w:r>
      <w:proofErr w:type="gramStart"/>
      <w:r>
        <w:t>in reality a</w:t>
      </w:r>
      <w:proofErr w:type="gramEnd"/>
      <w:r>
        <w:t xml:space="preserve"> PC3 (23 dBm) UE which may behave as PC2 (26 dBm) UE </w:t>
      </w:r>
      <w:r w:rsidR="00A15703">
        <w:t xml:space="preserve">only </w:t>
      </w:r>
      <w:r>
        <w:t>when configured for rank-2 transmission.</w:t>
      </w:r>
      <w:r w:rsidR="00B562D6">
        <w:t xml:space="preserve"> </w:t>
      </w:r>
      <w:r w:rsidR="00106A15">
        <w:t xml:space="preserve">The UE should fulfil its claimed power class in all transmission modes and not just as a “maximum capability”. </w:t>
      </w:r>
      <w:r>
        <w:t xml:space="preserve"> </w:t>
      </w:r>
    </w:p>
    <w:p w14:paraId="627E7354" w14:textId="48027F55" w:rsidR="0068330F" w:rsidRPr="00A31D08" w:rsidRDefault="0068330F" w:rsidP="009E29F1">
      <w:pPr>
        <w:pStyle w:val="B1"/>
        <w:ind w:left="0" w:firstLine="0"/>
        <w:jc w:val="both"/>
        <w:rPr>
          <w:b/>
          <w:bCs/>
        </w:rPr>
      </w:pPr>
      <w:r w:rsidRPr="00A31D08">
        <w:rPr>
          <w:b/>
          <w:bCs/>
        </w:rPr>
        <w:t xml:space="preserve">Observation 3: </w:t>
      </w:r>
      <w:r w:rsidR="00DF77AA">
        <w:rPr>
          <w:b/>
          <w:bCs/>
        </w:rPr>
        <w:t xml:space="preserve">The baseline for the UE power class declaration should be the basic transmission mode, not rank2 </w:t>
      </w:r>
      <w:r w:rsidR="003B6939">
        <w:rPr>
          <w:b/>
          <w:bCs/>
        </w:rPr>
        <w:t>transmission.</w:t>
      </w:r>
      <w:r w:rsidR="00AD27AB" w:rsidRPr="00A31D08">
        <w:rPr>
          <w:b/>
          <w:bCs/>
        </w:rPr>
        <w:t xml:space="preserve"> </w:t>
      </w:r>
      <w:r w:rsidRPr="00A31D08">
        <w:rPr>
          <w:b/>
          <w:bCs/>
        </w:rPr>
        <w:t xml:space="preserve">    </w:t>
      </w:r>
    </w:p>
    <w:p w14:paraId="281B48BD" w14:textId="77777777" w:rsidR="00603564" w:rsidRDefault="00603564" w:rsidP="009E29F1">
      <w:pPr>
        <w:pStyle w:val="Heading3"/>
        <w:jc w:val="both"/>
      </w:pPr>
      <w:r>
        <w:t>2.2.</w:t>
      </w:r>
      <w:r w:rsidR="009333E0">
        <w:t>3</w:t>
      </w:r>
      <w:r>
        <w:tab/>
        <w:t>UE power class in EN-DC vs SA mode</w:t>
      </w:r>
    </w:p>
    <w:p w14:paraId="6DAD1A6E" w14:textId="1B5E1B1D" w:rsidR="00B93E4E" w:rsidRDefault="00603564" w:rsidP="009E29F1">
      <w:pPr>
        <w:pStyle w:val="B1"/>
        <w:ind w:left="0" w:firstLine="0"/>
        <w:jc w:val="both"/>
      </w:pPr>
      <w:r>
        <w:t>If UE implements TX div, but wishes to reuse the</w:t>
      </w:r>
      <w:r w:rsidR="003675AC">
        <w:t xml:space="preserve"> other</w:t>
      </w:r>
      <w:r>
        <w:t xml:space="preserve"> PA </w:t>
      </w:r>
      <w:r w:rsidR="003675AC">
        <w:t xml:space="preserve">(See Figure 1 (a) and (b) ) in intra-band EN-DC </w:t>
      </w:r>
      <w:r w:rsidR="00B93E4E">
        <w:t>configuration</w:t>
      </w:r>
      <w:r w:rsidR="003675AC">
        <w:t xml:space="preserve"> for LTE, the power capability of the UE in NR drops from 26 dBm to 23 dBm</w:t>
      </w:r>
      <w:r w:rsidR="00B93E4E">
        <w:t xml:space="preserve"> since the other PA is not available for NR anymore</w:t>
      </w:r>
      <w:r w:rsidR="003675AC">
        <w:t xml:space="preserve">. UE would still be PC2 UE </w:t>
      </w:r>
      <w:r w:rsidR="00B93E4E">
        <w:t xml:space="preserve">for EN-DC </w:t>
      </w:r>
      <w:r w:rsidR="003675AC">
        <w:t>since it can transmit combined 26 dBm</w:t>
      </w:r>
      <w:r w:rsidR="0067484E">
        <w:t xml:space="preserve"> power</w:t>
      </w:r>
      <w:r w:rsidR="003675AC">
        <w:t xml:space="preserve"> </w:t>
      </w:r>
      <w:r w:rsidR="00B93E4E">
        <w:t xml:space="preserve">(NR+LTE) </w:t>
      </w:r>
      <w:r w:rsidR="003675AC">
        <w:t xml:space="preserve">but its behaviour </w:t>
      </w:r>
      <w:r w:rsidR="00BF7ADB">
        <w:t xml:space="preserve">for each RAT </w:t>
      </w:r>
      <w:r w:rsidR="003675AC">
        <w:t>changes depending if it is configured for EN-DC or not.</w:t>
      </w:r>
      <w:r w:rsidR="00B93E4E">
        <w:t xml:space="preserve"> In Rel-15, or Rel-16 so far, do not support </w:t>
      </w:r>
      <w:r w:rsidR="00AF1C5B">
        <w:t xml:space="preserve">declaration of </w:t>
      </w:r>
      <w:r w:rsidR="00B93E4E">
        <w:t>capability for NR power class separately when UE is configured for EN-DC but it is expected that UE’s power class for NR does not change depending if it is configured for MR-DC or not.</w:t>
      </w:r>
    </w:p>
    <w:p w14:paraId="39C251BA" w14:textId="36E085B0" w:rsidR="003675AC" w:rsidRPr="009E29F1" w:rsidRDefault="00B93E4E" w:rsidP="009E29F1">
      <w:pPr>
        <w:pStyle w:val="B1"/>
        <w:ind w:left="0" w:firstLine="0"/>
        <w:jc w:val="both"/>
        <w:rPr>
          <w:b/>
        </w:rPr>
      </w:pPr>
      <w:r w:rsidRPr="00B93E4E">
        <w:rPr>
          <w:b/>
          <w:bCs/>
        </w:rPr>
        <w:t>Observation 4: It is expected that UE maintains it power class in NR regardless it is configured for EN-DC</w:t>
      </w:r>
      <w:r w:rsidR="00BE2B6F">
        <w:rPr>
          <w:b/>
          <w:bCs/>
        </w:rPr>
        <w:t xml:space="preserve">. </w:t>
      </w:r>
      <w:r w:rsidRPr="00B93E4E">
        <w:rPr>
          <w:b/>
          <w:bCs/>
        </w:rPr>
        <w:t xml:space="preserve">UE’s power class is </w:t>
      </w:r>
      <w:r w:rsidR="00F63181">
        <w:rPr>
          <w:b/>
          <w:bCs/>
        </w:rPr>
        <w:t xml:space="preserve">in NR operation is </w:t>
      </w:r>
      <w:r w:rsidRPr="00B93E4E">
        <w:rPr>
          <w:b/>
          <w:bCs/>
        </w:rPr>
        <w:t xml:space="preserve">impacted by configuration of EN-DC </w:t>
      </w:r>
      <w:r w:rsidR="00F63181">
        <w:rPr>
          <w:b/>
          <w:bCs/>
        </w:rPr>
        <w:t xml:space="preserve">only </w:t>
      </w:r>
      <w:r w:rsidRPr="00B93E4E">
        <w:rPr>
          <w:b/>
          <w:bCs/>
        </w:rPr>
        <w:t>if it implements TX div</w:t>
      </w:r>
      <w:r w:rsidR="009D56E6">
        <w:rPr>
          <w:b/>
          <w:bCs/>
        </w:rPr>
        <w:t>.</w:t>
      </w:r>
      <w:r w:rsidRPr="00B93E4E">
        <w:rPr>
          <w:b/>
          <w:bCs/>
        </w:rPr>
        <w:t xml:space="preserve">  </w:t>
      </w:r>
      <w:r w:rsidR="003675AC" w:rsidRPr="009E29F1">
        <w:rPr>
          <w:b/>
        </w:rPr>
        <w:t xml:space="preserve"> </w:t>
      </w:r>
    </w:p>
    <w:p w14:paraId="6EC628F4" w14:textId="03665608" w:rsidR="00603564" w:rsidRDefault="00EA57FC" w:rsidP="009E29F1">
      <w:pPr>
        <w:pStyle w:val="B1"/>
        <w:ind w:left="0" w:firstLine="0"/>
        <w:jc w:val="both"/>
      </w:pPr>
      <w:r>
        <w:t>S</w:t>
      </w:r>
      <w:r w:rsidR="003675AC">
        <w:t xml:space="preserve">ame WF [5] that agreed that RAN4 does not make spec changes for TX div, agrees to clarify this power class issue. </w:t>
      </w:r>
      <w:r w:rsidR="005429B4">
        <w:t>I</w:t>
      </w:r>
      <w:r w:rsidR="003675AC">
        <w:t xml:space="preserve">f UE does not implement TX div, this problem does not exist and since RAN4 specifications do not recognise TX div, this </w:t>
      </w:r>
      <w:r w:rsidR="00B93E4E">
        <w:t xml:space="preserve">EN-DC </w:t>
      </w:r>
      <w:r w:rsidR="003675AC">
        <w:t xml:space="preserve">power class ambiguity </w:t>
      </w:r>
      <w:r w:rsidR="00B93E4E">
        <w:t xml:space="preserve">does not </w:t>
      </w:r>
      <w:r w:rsidR="003675AC">
        <w:t xml:space="preserve">need to be corrected.  </w:t>
      </w:r>
    </w:p>
    <w:p w14:paraId="431E176B" w14:textId="4C6A0888" w:rsidR="003675AC" w:rsidRPr="003675AC" w:rsidRDefault="003675AC" w:rsidP="009E29F1">
      <w:pPr>
        <w:pStyle w:val="B1"/>
        <w:ind w:left="0" w:firstLine="0"/>
        <w:jc w:val="both"/>
        <w:rPr>
          <w:b/>
          <w:bCs/>
        </w:rPr>
      </w:pPr>
      <w:r w:rsidRPr="003675AC">
        <w:rPr>
          <w:b/>
          <w:bCs/>
        </w:rPr>
        <w:t xml:space="preserve">Observation </w:t>
      </w:r>
      <w:r w:rsidR="00B93E4E">
        <w:rPr>
          <w:b/>
          <w:bCs/>
        </w:rPr>
        <w:t>5</w:t>
      </w:r>
      <w:r w:rsidRPr="003675AC">
        <w:rPr>
          <w:b/>
          <w:bCs/>
        </w:rPr>
        <w:t>: EN-DC power class ambiguity seems to concern only UE’s w</w:t>
      </w:r>
      <w:r w:rsidR="00A31D08">
        <w:rPr>
          <w:b/>
          <w:bCs/>
        </w:rPr>
        <w:t xml:space="preserve">hich implement </w:t>
      </w:r>
      <w:r w:rsidRPr="003675AC">
        <w:rPr>
          <w:b/>
          <w:bCs/>
        </w:rPr>
        <w:t>TX diversity.</w:t>
      </w:r>
    </w:p>
    <w:p w14:paraId="74754A98" w14:textId="07FF1F5E" w:rsidR="00A31D08" w:rsidRDefault="00BE75DA" w:rsidP="009E29F1">
      <w:pPr>
        <w:pStyle w:val="B1"/>
        <w:ind w:left="0" w:firstLine="0"/>
        <w:jc w:val="both"/>
      </w:pPr>
      <w:r>
        <w:t>RAN4 agreed a CR to TS 38.101-3 [7] but that language still leaves room for at least two different interpretations in Ran5</w:t>
      </w:r>
      <w:r w:rsidR="003675AC">
        <w:t xml:space="preserve"> since it only says UE with support for 2 SRS ports in S mode but only 1 SRS port in EN-DC can be power class 2 or 3. It does not describe </w:t>
      </w:r>
      <w:r w:rsidR="009333E0">
        <w:t>fall back operation</w:t>
      </w:r>
      <w:r w:rsidR="00A31D08">
        <w:t xml:space="preserve"> or relation between power class in EN-DC and SA</w:t>
      </w:r>
      <w:r w:rsidR="009333E0">
        <w:t>.</w:t>
      </w:r>
    </w:p>
    <w:p w14:paraId="52BBAA8B" w14:textId="77777777" w:rsidR="00BE75DA" w:rsidRDefault="00A31D08" w:rsidP="009E29F1">
      <w:pPr>
        <w:pStyle w:val="Heading2"/>
        <w:jc w:val="both"/>
      </w:pPr>
      <w:r>
        <w:lastRenderedPageBreak/>
        <w:t>2.3</w:t>
      </w:r>
      <w:r>
        <w:tab/>
        <w:t>Emission requirements for 2 TX UEs as an underlying problem</w:t>
      </w:r>
      <w:r w:rsidR="009333E0">
        <w:t xml:space="preserve"> </w:t>
      </w:r>
      <w:r w:rsidR="003675AC">
        <w:t xml:space="preserve"> </w:t>
      </w:r>
    </w:p>
    <w:p w14:paraId="048A841F" w14:textId="1AB56F91" w:rsidR="006D09AA" w:rsidRDefault="001C45DE" w:rsidP="009E29F1">
      <w:pPr>
        <w:pStyle w:val="B1"/>
        <w:ind w:left="0" w:firstLine="0"/>
        <w:jc w:val="both"/>
      </w:pPr>
      <w:r>
        <w:t xml:space="preserve">The </w:t>
      </w:r>
      <w:r w:rsidR="000A11D9">
        <w:t>u</w:t>
      </w:r>
      <w:r w:rsidR="00A31D08">
        <w:t xml:space="preserve">nderlying problem for not properly being able to agree requirements that accommodate TX diversity are the emission requirements. NR UL MIMO was introduced in Rel-15 with a CR [10] that mostly </w:t>
      </w:r>
      <w:r w:rsidR="000A11D9">
        <w:t>re-</w:t>
      </w:r>
      <w:r w:rsidR="00A31D08">
        <w:t>used LTE UL MIMO sections as basis. The problematic item is the emission requirement for UE with 2 TX connectors</w:t>
      </w:r>
      <w:r w:rsidR="006D09AA">
        <w:t xml:space="preserve"> where emission requirements are tested individually from each connector instead of summing emissions from each connector and then comparing emission requirements to the summed result</w:t>
      </w:r>
      <w:r w:rsidR="00A31D08">
        <w:t>.</w:t>
      </w:r>
    </w:p>
    <w:p w14:paraId="50FB42C5" w14:textId="716625A3" w:rsidR="006D09AA" w:rsidRPr="006D09AA" w:rsidRDefault="006D09AA" w:rsidP="009E29F1">
      <w:pPr>
        <w:pStyle w:val="B1"/>
        <w:ind w:left="0" w:firstLine="0"/>
        <w:jc w:val="both"/>
        <w:rPr>
          <w:b/>
          <w:bCs/>
        </w:rPr>
      </w:pPr>
      <w:r w:rsidRPr="006D09AA">
        <w:rPr>
          <w:b/>
          <w:bCs/>
        </w:rPr>
        <w:t xml:space="preserve">Observation </w:t>
      </w:r>
      <w:r w:rsidR="00B93E4E">
        <w:rPr>
          <w:b/>
          <w:bCs/>
        </w:rPr>
        <w:t>6</w:t>
      </w:r>
      <w:r w:rsidRPr="006D09AA">
        <w:rPr>
          <w:b/>
          <w:bCs/>
        </w:rPr>
        <w:t>: In LTE, and now in NR FR1, output power is summed but emissions are not</w:t>
      </w:r>
      <w:r w:rsidR="009D56E6">
        <w:rPr>
          <w:b/>
          <w:bCs/>
        </w:rPr>
        <w:t>.</w:t>
      </w:r>
      <w:r w:rsidRPr="006D09AA">
        <w:rPr>
          <w:b/>
          <w:bCs/>
        </w:rPr>
        <w:t xml:space="preserve">  </w:t>
      </w:r>
    </w:p>
    <w:p w14:paraId="523D7188" w14:textId="370E3AD9" w:rsidR="00495B1F" w:rsidRDefault="00A31D08" w:rsidP="009E29F1">
      <w:pPr>
        <w:pStyle w:val="B1"/>
        <w:ind w:left="0" w:firstLine="0"/>
        <w:jc w:val="both"/>
      </w:pPr>
      <w:r>
        <w:t xml:space="preserve"> In LTE, as documented in Release 10 TR section 6.6B [11], assumption was that UE with two PA’s </w:t>
      </w:r>
      <w:r w:rsidR="00495B1F">
        <w:t xml:space="preserve">and UL MIMO support </w:t>
      </w:r>
      <w:r>
        <w:t xml:space="preserve">would always transmit at same </w:t>
      </w:r>
      <w:r w:rsidR="00495B1F">
        <w:t xml:space="preserve">combined </w:t>
      </w:r>
      <w:r>
        <w:t xml:space="preserve">power level </w:t>
      </w:r>
      <w:r w:rsidR="000E67FA">
        <w:t>as</w:t>
      </w:r>
      <w:r>
        <w:t xml:space="preserve"> it would transmit with </w:t>
      </w:r>
      <w:r w:rsidR="00333005">
        <w:t xml:space="preserve">a </w:t>
      </w:r>
      <w:r>
        <w:t xml:space="preserve">single </w:t>
      </w:r>
      <w:r w:rsidR="00495B1F">
        <w:t>TX chain. This ensures that the PA’s are back</w:t>
      </w:r>
      <w:r w:rsidR="00333005">
        <w:t>ed</w:t>
      </w:r>
      <w:r w:rsidR="00495B1F">
        <w:t xml:space="preserve"> off by 3 dB whenever 2 TX transmission is in place and therefore emissions </w:t>
      </w:r>
      <w:r w:rsidR="00333005">
        <w:t xml:space="preserve">from those PA’s </w:t>
      </w:r>
      <w:r w:rsidR="00495B1F">
        <w:t xml:space="preserve">would be </w:t>
      </w:r>
      <w:r w:rsidR="00333005">
        <w:t xml:space="preserve">lower by </w:t>
      </w:r>
      <w:r w:rsidR="00495B1F">
        <w:t>3</w:t>
      </w:r>
      <w:r w:rsidR="00816E40">
        <w:t xml:space="preserve"> </w:t>
      </w:r>
      <w:r w:rsidR="00333005">
        <w:t>dB</w:t>
      </w:r>
      <w:r w:rsidR="00495B1F">
        <w:t xml:space="preserve"> or more. With this assumption, LTE specification defined emission requirements for 2 TX UE to be same as requirements for 1 TX case but tested at each antenna connector. </w:t>
      </w:r>
    </w:p>
    <w:p w14:paraId="1A3952D0" w14:textId="77777777" w:rsidR="006D09AA" w:rsidRDefault="006D09AA" w:rsidP="009E29F1">
      <w:pPr>
        <w:pStyle w:val="B1"/>
        <w:ind w:left="0" w:firstLine="0"/>
        <w:jc w:val="both"/>
      </w:pPr>
      <w:r>
        <w:t xml:space="preserve">This definition in theory gave a </w:t>
      </w:r>
      <w:proofErr w:type="gramStart"/>
      <w:r>
        <w:t>3 dB</w:t>
      </w:r>
      <w:proofErr w:type="gramEnd"/>
      <w:r>
        <w:t xml:space="preserve"> relaxation to the emission requirements but with the assumption of power scaling, in practice that would never be violated. </w:t>
      </w:r>
    </w:p>
    <w:p w14:paraId="242AB853" w14:textId="39E98B16" w:rsidR="00495B1F" w:rsidRPr="00495B1F" w:rsidRDefault="00495B1F" w:rsidP="009E29F1">
      <w:pPr>
        <w:pStyle w:val="B1"/>
        <w:ind w:left="0" w:firstLine="0"/>
        <w:jc w:val="both"/>
        <w:rPr>
          <w:b/>
          <w:bCs/>
        </w:rPr>
      </w:pPr>
      <w:r w:rsidRPr="00495B1F">
        <w:rPr>
          <w:b/>
          <w:bCs/>
        </w:rPr>
        <w:t xml:space="preserve">Observation </w:t>
      </w:r>
      <w:r w:rsidR="00B93E4E">
        <w:rPr>
          <w:b/>
          <w:bCs/>
        </w:rPr>
        <w:t>7</w:t>
      </w:r>
      <w:r w:rsidRPr="00495B1F">
        <w:rPr>
          <w:b/>
          <w:bCs/>
        </w:rPr>
        <w:t>: LTE always assume</w:t>
      </w:r>
      <w:r w:rsidR="006D09AA">
        <w:rPr>
          <w:b/>
          <w:bCs/>
        </w:rPr>
        <w:t>d</w:t>
      </w:r>
      <w:r w:rsidRPr="00495B1F">
        <w:rPr>
          <w:b/>
          <w:bCs/>
        </w:rPr>
        <w:t xml:space="preserve"> power scaling for each antenna port whenever UE is configured for two antenna ports</w:t>
      </w:r>
      <w:r w:rsidR="006D09AA">
        <w:rPr>
          <w:b/>
          <w:bCs/>
        </w:rPr>
        <w:t xml:space="preserve"> and this allowed different treatment for output power and emission</w:t>
      </w:r>
      <w:r w:rsidR="00F85AF0">
        <w:rPr>
          <w:b/>
          <w:bCs/>
        </w:rPr>
        <w:t>s</w:t>
      </w:r>
      <w:r w:rsidRPr="00495B1F">
        <w:rPr>
          <w:b/>
          <w:bCs/>
        </w:rPr>
        <w:t xml:space="preserve">. </w:t>
      </w:r>
    </w:p>
    <w:p w14:paraId="15EE1BED" w14:textId="44936D0A" w:rsidR="006D09AA" w:rsidRDefault="00F85AF0" w:rsidP="009E29F1">
      <w:pPr>
        <w:pStyle w:val="B1"/>
        <w:ind w:left="0" w:firstLine="0"/>
        <w:jc w:val="both"/>
      </w:pPr>
      <w:r>
        <w:t>I</w:t>
      </w:r>
      <w:r w:rsidR="00495B1F">
        <w:t xml:space="preserve">n NR, the </w:t>
      </w:r>
      <w:r w:rsidR="006D09AA">
        <w:t>effort is</w:t>
      </w:r>
      <w:r w:rsidR="00495B1F">
        <w:t xml:space="preserve"> to enable implementation </w:t>
      </w:r>
      <w:r w:rsidR="00D65166">
        <w:t>in which</w:t>
      </w:r>
      <w:r w:rsidR="00495B1F">
        <w:t xml:space="preserve"> both PA’s are not rat</w:t>
      </w:r>
      <w:r w:rsidR="00D65166">
        <w:t>iating</w:t>
      </w:r>
      <w:r w:rsidR="00495B1F">
        <w:t xml:space="preserve"> full output power and this fact erases the LTE assumption</w:t>
      </w:r>
      <w:r w:rsidR="007C1F3E">
        <w:t xml:space="preserve">. Hence, </w:t>
      </w:r>
      <w:r w:rsidR="006D09AA">
        <w:t>specification should be updated so that not only power is summed but also emissions are summed.</w:t>
      </w:r>
      <w:r w:rsidR="00495B1F">
        <w:t xml:space="preserve"> In our view, </w:t>
      </w:r>
      <w:r w:rsidR="007C1F3E">
        <w:t xml:space="preserve">since </w:t>
      </w:r>
      <w:r w:rsidR="006D09AA">
        <w:t>power scaling is not in effect anymore, emission requirements should be updated</w:t>
      </w:r>
      <w:r w:rsidR="002E0D9D">
        <w:t>. O</w:t>
      </w:r>
      <w:r w:rsidR="006D09AA">
        <w:t>therwise</w:t>
      </w:r>
      <w:r w:rsidR="002E0D9D">
        <w:t>,</w:t>
      </w:r>
      <w:r w:rsidR="006D09AA">
        <w:t xml:space="preserve"> it </w:t>
      </w:r>
      <w:r w:rsidR="002E0D9D">
        <w:t xml:space="preserve">would </w:t>
      </w:r>
      <w:r w:rsidR="006D09AA">
        <w:t xml:space="preserve">allow </w:t>
      </w:r>
      <w:r w:rsidR="002E0D9D">
        <w:t xml:space="preserve">a </w:t>
      </w:r>
      <w:r w:rsidR="006D09AA">
        <w:t xml:space="preserve">UE to pass the tests even </w:t>
      </w:r>
      <w:r w:rsidR="00135650">
        <w:t xml:space="preserve">if </w:t>
      </w:r>
      <w:proofErr w:type="gramStart"/>
      <w:r w:rsidR="006D09AA">
        <w:t>in reality it</w:t>
      </w:r>
      <w:proofErr w:type="gramEnd"/>
      <w:r w:rsidR="006D09AA">
        <w:t xml:space="preserve"> fails as shown in Figure 2. Emission requirements are derived from regulatory requirement</w:t>
      </w:r>
      <w:r w:rsidR="00135650">
        <w:t>s</w:t>
      </w:r>
      <w:r w:rsidR="006D09AA">
        <w:t xml:space="preserve"> and the UE is considered as one entity regardless of number of antenna </w:t>
      </w:r>
      <w:proofErr w:type="gramStart"/>
      <w:r w:rsidR="006D09AA">
        <w:t>connectors</w:t>
      </w:r>
      <w:r w:rsidR="00135650">
        <w:t>(</w:t>
      </w:r>
      <w:proofErr w:type="gramEnd"/>
      <w:r w:rsidR="00135650">
        <w:t>overall aggregated emissions should be checked)</w:t>
      </w:r>
      <w:r w:rsidR="006D09AA">
        <w:t xml:space="preserve">. </w:t>
      </w:r>
    </w:p>
    <w:p w14:paraId="5F661F8A" w14:textId="3C263BEA" w:rsidR="00BE75DA" w:rsidRDefault="00612471" w:rsidP="009E29F1">
      <w:pPr>
        <w:pStyle w:val="B1"/>
        <w:ind w:left="0" w:firstLine="0"/>
        <w:jc w:val="center"/>
      </w:pPr>
      <w:r>
        <w:rPr>
          <w:noProof/>
        </w:rPr>
        <w:drawing>
          <wp:inline distT="0" distB="0" distL="0" distR="0" wp14:anchorId="11680A77" wp14:editId="3B9AC938">
            <wp:extent cx="6106160" cy="1965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6160" cy="1965960"/>
                    </a:xfrm>
                    <a:prstGeom prst="rect">
                      <a:avLst/>
                    </a:prstGeom>
                    <a:noFill/>
                    <a:ln>
                      <a:noFill/>
                    </a:ln>
                  </pic:spPr>
                </pic:pic>
              </a:graphicData>
            </a:graphic>
          </wp:inline>
        </w:drawing>
      </w:r>
    </w:p>
    <w:p w14:paraId="6AB2096B" w14:textId="0640343B" w:rsidR="00BE75DA" w:rsidRDefault="00BE75DA" w:rsidP="009E29F1">
      <w:pPr>
        <w:pStyle w:val="B1"/>
        <w:ind w:left="0" w:firstLine="0"/>
        <w:jc w:val="center"/>
      </w:pPr>
    </w:p>
    <w:p w14:paraId="4B204229" w14:textId="77777777" w:rsidR="006D09AA" w:rsidRDefault="006D09AA" w:rsidP="009E29F1">
      <w:pPr>
        <w:pStyle w:val="TF"/>
      </w:pPr>
      <w:r>
        <w:t>Figure 2. Emission build up in 2 PA UE</w:t>
      </w:r>
    </w:p>
    <w:p w14:paraId="2F96F523" w14:textId="4E2D11F3" w:rsidR="006D09AA" w:rsidRDefault="006D09AA" w:rsidP="009E29F1">
      <w:pPr>
        <w:jc w:val="both"/>
        <w:rPr>
          <w:b/>
          <w:bCs/>
        </w:rPr>
      </w:pPr>
      <w:r w:rsidRPr="007729D3">
        <w:rPr>
          <w:b/>
          <w:bCs/>
        </w:rPr>
        <w:t xml:space="preserve">Observation </w:t>
      </w:r>
      <w:r w:rsidR="00B93E4E">
        <w:rPr>
          <w:b/>
          <w:bCs/>
        </w:rPr>
        <w:t>8</w:t>
      </w:r>
      <w:r w:rsidRPr="007729D3">
        <w:rPr>
          <w:b/>
          <w:bCs/>
        </w:rPr>
        <w:t>: With updated power scaling in NR compared to LTE</w:t>
      </w:r>
      <w:r w:rsidR="00135650">
        <w:rPr>
          <w:b/>
          <w:bCs/>
        </w:rPr>
        <w:t>,</w:t>
      </w:r>
      <w:r w:rsidRPr="007729D3">
        <w:rPr>
          <w:b/>
          <w:bCs/>
        </w:rPr>
        <w:t xml:space="preserve"> the emission requirements </w:t>
      </w:r>
      <w:r w:rsidR="007729D3" w:rsidRPr="007729D3">
        <w:rPr>
          <w:b/>
          <w:bCs/>
        </w:rPr>
        <w:t>definition</w:t>
      </w:r>
      <w:r w:rsidRPr="007729D3">
        <w:rPr>
          <w:b/>
          <w:bCs/>
        </w:rPr>
        <w:t xml:space="preserve"> </w:t>
      </w:r>
      <w:proofErr w:type="gramStart"/>
      <w:r w:rsidRPr="007729D3">
        <w:rPr>
          <w:b/>
          <w:bCs/>
        </w:rPr>
        <w:t>seem</w:t>
      </w:r>
      <w:proofErr w:type="gramEnd"/>
      <w:r w:rsidRPr="007729D3">
        <w:rPr>
          <w:b/>
          <w:bCs/>
        </w:rPr>
        <w:t xml:space="preserve"> to be </w:t>
      </w:r>
      <w:r w:rsidR="007729D3" w:rsidRPr="007729D3">
        <w:rPr>
          <w:b/>
          <w:bCs/>
        </w:rPr>
        <w:t>obsolete</w:t>
      </w:r>
      <w:r w:rsidR="001A3B34">
        <w:rPr>
          <w:b/>
          <w:bCs/>
        </w:rPr>
        <w:t>.</w:t>
      </w:r>
    </w:p>
    <w:p w14:paraId="4D471C2D" w14:textId="77777777" w:rsidR="007729D3" w:rsidRDefault="007729D3" w:rsidP="009E29F1">
      <w:pPr>
        <w:pStyle w:val="Heading2"/>
        <w:jc w:val="both"/>
      </w:pPr>
      <w:r>
        <w:t>2.4</w:t>
      </w:r>
      <w:r>
        <w:tab/>
        <w:t>RAN4 impact and guidance from plenary</w:t>
      </w:r>
    </w:p>
    <w:p w14:paraId="51FAE14A" w14:textId="4D211900" w:rsidR="00715FC0" w:rsidRDefault="007729D3" w:rsidP="009E29F1">
      <w:pPr>
        <w:jc w:val="both"/>
      </w:pPr>
      <w:r>
        <w:t xml:space="preserve">This issue of 2 x 23 dBm UE implementation has been discussed for some time, first WF [2] was agreed two years ago and every meeting thereafter it has been </w:t>
      </w:r>
      <w:r w:rsidR="00A94ACA">
        <w:t xml:space="preserve">a </w:t>
      </w:r>
      <w:r>
        <w:t xml:space="preserve">contentious </w:t>
      </w:r>
      <w:r w:rsidR="007A0558">
        <w:t xml:space="preserve">discussion </w:t>
      </w:r>
      <w:r w:rsidR="00A94ACA">
        <w:t xml:space="preserve">also </w:t>
      </w:r>
      <w:r>
        <w:t>evolv</w:t>
      </w:r>
      <w:r w:rsidR="00A94ACA">
        <w:t>ing</w:t>
      </w:r>
      <w:r>
        <w:t xml:space="preserve"> </w:t>
      </w:r>
      <w:r w:rsidR="007A0558">
        <w:t>and com</w:t>
      </w:r>
      <w:r w:rsidR="00A94ACA">
        <w:t>ing</w:t>
      </w:r>
      <w:r w:rsidR="007A0558">
        <w:t xml:space="preserve"> up in different contexts. Even </w:t>
      </w:r>
      <w:r w:rsidR="00A94ACA">
        <w:t xml:space="preserve">as </w:t>
      </w:r>
      <w:r w:rsidR="007A0558">
        <w:t xml:space="preserve">we are close a to </w:t>
      </w:r>
      <w:r w:rsidR="00A94ACA">
        <w:t>the</w:t>
      </w:r>
      <w:r w:rsidR="007A0558">
        <w:t xml:space="preserve"> completion of Rel-16, WF [12] proposes major updates to Rel-15</w:t>
      </w:r>
      <w:r w:rsidR="00612471">
        <w:t xml:space="preserve">. This </w:t>
      </w:r>
      <w:r w:rsidR="0077509A">
        <w:t>RAN4#</w:t>
      </w:r>
      <w:r w:rsidR="0004545C">
        <w:t>94e</w:t>
      </w:r>
      <w:r w:rsidR="00281350">
        <w:t xml:space="preserve"> this WF was not ag</w:t>
      </w:r>
      <w:r w:rsidR="0004545C">
        <w:t>r</w:t>
      </w:r>
      <w:r w:rsidR="00281350">
        <w:t>eed</w:t>
      </w:r>
      <w:r w:rsidR="007A0558">
        <w:t xml:space="preserve">. </w:t>
      </w:r>
      <w:r w:rsidR="00A94ACA">
        <w:t>RAN p</w:t>
      </w:r>
      <w:r w:rsidR="007A0558">
        <w:t xml:space="preserve">lenary </w:t>
      </w:r>
      <w:r w:rsidR="00A94ACA">
        <w:t xml:space="preserve">should provide guidance on </w:t>
      </w:r>
      <w:r w:rsidR="007A0558">
        <w:t xml:space="preserve">how to conclude the topic of </w:t>
      </w:r>
      <w:r w:rsidR="001D502E">
        <w:t xml:space="preserve">handling </w:t>
      </w:r>
      <w:r w:rsidR="00115767">
        <w:t xml:space="preserve">a </w:t>
      </w:r>
      <w:r w:rsidR="007A0558">
        <w:t xml:space="preserve">UE implementation </w:t>
      </w:r>
      <w:r w:rsidR="00115767">
        <w:t xml:space="preserve">in </w:t>
      </w:r>
      <w:r w:rsidR="00ED501C">
        <w:rPr>
          <w:lang w:eastAsia="ja-JP"/>
        </w:rPr>
        <w:t xml:space="preserve">which </w:t>
      </w:r>
      <w:r w:rsidR="007A0558">
        <w:t xml:space="preserve">none of the PA’s support full rated </w:t>
      </w:r>
      <w:r w:rsidR="00ED501C">
        <w:t xml:space="preserve">output </w:t>
      </w:r>
      <w:r w:rsidR="007A0558">
        <w:t>power</w:t>
      </w:r>
      <w:r w:rsidR="000023B3">
        <w:t xml:space="preserve"> for all cases</w:t>
      </w:r>
      <w:r w:rsidR="00187A6B">
        <w:t>:</w:t>
      </w:r>
      <w:r w:rsidR="000023B3">
        <w:t xml:space="preserve"> TX diversity, UL MIMO vs </w:t>
      </w:r>
      <w:r w:rsidR="00DD3D21">
        <w:t>single port power class and EN-DC with TX diversity</w:t>
      </w:r>
      <w:r w:rsidR="007A0558">
        <w:t xml:space="preserve">. </w:t>
      </w:r>
      <w:r w:rsidR="005A2AAA">
        <w:t xml:space="preserve">It is our view that </w:t>
      </w:r>
      <w:r w:rsidR="005759CB">
        <w:t xml:space="preserve">treating TX diversity as </w:t>
      </w:r>
      <w:r w:rsidR="00B12D14">
        <w:t xml:space="preserve">a </w:t>
      </w:r>
      <w:r w:rsidR="005759CB">
        <w:t xml:space="preserve">specification transparent feature in RAN4 and RAN5 </w:t>
      </w:r>
      <w:r w:rsidR="00C5689D">
        <w:t>i</w:t>
      </w:r>
      <w:r w:rsidR="005759CB">
        <w:t xml:space="preserve">s not </w:t>
      </w:r>
      <w:r w:rsidR="00C5689D">
        <w:t xml:space="preserve">meaningful and </w:t>
      </w:r>
      <w:r w:rsidR="005511F1">
        <w:t>implementation</w:t>
      </w:r>
      <w:r w:rsidR="00B12D14">
        <w:t>s</w:t>
      </w:r>
      <w:r w:rsidR="005511F1">
        <w:t xml:space="preserve"> should be distinguished by capability</w:t>
      </w:r>
      <w:r w:rsidR="00E55316">
        <w:t xml:space="preserve"> and clearly testable requirements should be defined</w:t>
      </w:r>
      <w:r w:rsidR="005511F1">
        <w:t xml:space="preserve">. </w:t>
      </w:r>
    </w:p>
    <w:p w14:paraId="2A264A35" w14:textId="3801048E" w:rsidR="005511F1" w:rsidRPr="009E29F1" w:rsidRDefault="008121DC" w:rsidP="009E29F1">
      <w:pPr>
        <w:jc w:val="both"/>
        <w:rPr>
          <w:b/>
          <w:bCs/>
        </w:rPr>
      </w:pPr>
      <w:r w:rsidRPr="009E29F1">
        <w:rPr>
          <w:b/>
          <w:bCs/>
        </w:rPr>
        <w:lastRenderedPageBreak/>
        <w:t xml:space="preserve">Proposal 1: </w:t>
      </w:r>
      <w:r w:rsidR="00D90908" w:rsidRPr="009E29F1">
        <w:rPr>
          <w:b/>
          <w:bCs/>
        </w:rPr>
        <w:t xml:space="preserve">Requirements for </w:t>
      </w:r>
      <w:r w:rsidR="002061C3" w:rsidRPr="009E29F1">
        <w:rPr>
          <w:b/>
          <w:bCs/>
        </w:rPr>
        <w:t xml:space="preserve">a </w:t>
      </w:r>
      <w:r w:rsidRPr="009E29F1">
        <w:rPr>
          <w:b/>
          <w:bCs/>
        </w:rPr>
        <w:t>UE</w:t>
      </w:r>
      <w:r w:rsidR="007F2458" w:rsidRPr="009E29F1">
        <w:rPr>
          <w:b/>
          <w:bCs/>
        </w:rPr>
        <w:t xml:space="preserve"> implementation </w:t>
      </w:r>
      <w:r w:rsidR="002061C3" w:rsidRPr="009E29F1">
        <w:rPr>
          <w:b/>
          <w:bCs/>
        </w:rPr>
        <w:t xml:space="preserve">in which </w:t>
      </w:r>
      <w:r w:rsidR="007F2458" w:rsidRPr="009E29F1">
        <w:rPr>
          <w:b/>
          <w:bCs/>
        </w:rPr>
        <w:t xml:space="preserve">none of the PA’s </w:t>
      </w:r>
      <w:r w:rsidR="00E5077B" w:rsidRPr="009E29F1">
        <w:rPr>
          <w:b/>
          <w:bCs/>
        </w:rPr>
        <w:t xml:space="preserve">alone provide </w:t>
      </w:r>
      <w:r w:rsidR="00D90908" w:rsidRPr="009E29F1">
        <w:rPr>
          <w:b/>
          <w:bCs/>
        </w:rPr>
        <w:t xml:space="preserve">power </w:t>
      </w:r>
      <w:r w:rsidR="000A1383" w:rsidRPr="009E29F1">
        <w:rPr>
          <w:b/>
          <w:bCs/>
        </w:rPr>
        <w:t>up to the level of the declared power class</w:t>
      </w:r>
      <w:r w:rsidR="00D90908" w:rsidRPr="009E29F1">
        <w:rPr>
          <w:b/>
          <w:bCs/>
        </w:rPr>
        <w:t xml:space="preserve"> should be distinguished from UE’s which implement full rated PA’s to fulfil </w:t>
      </w:r>
      <w:r w:rsidR="002061C3" w:rsidRPr="009E29F1">
        <w:rPr>
          <w:b/>
          <w:bCs/>
        </w:rPr>
        <w:t xml:space="preserve">the </w:t>
      </w:r>
      <w:r w:rsidR="00D90908" w:rsidRPr="009E29F1">
        <w:rPr>
          <w:b/>
          <w:bCs/>
        </w:rPr>
        <w:t>requirements</w:t>
      </w:r>
      <w:r w:rsidR="001A3B34" w:rsidRPr="009E29F1">
        <w:rPr>
          <w:b/>
          <w:bCs/>
        </w:rPr>
        <w:t>.</w:t>
      </w:r>
    </w:p>
    <w:p w14:paraId="6DDF9E82" w14:textId="1E8D5068" w:rsidR="005F6C36" w:rsidRDefault="000A1383" w:rsidP="009E29F1">
      <w:pPr>
        <w:jc w:val="both"/>
      </w:pPr>
      <w:r>
        <w:t xml:space="preserve">Given the late timing of this discussion compared to Rel-15 closure dates, this capability should be applicable from Rel-16 </w:t>
      </w:r>
      <w:r w:rsidR="00287C9B">
        <w:t xml:space="preserve">or even Rel.17 </w:t>
      </w:r>
      <w:r>
        <w:t>onwards.</w:t>
      </w:r>
      <w:r w:rsidR="00FC0980">
        <w:t xml:space="preserve"> </w:t>
      </w:r>
    </w:p>
    <w:p w14:paraId="6F7B5048" w14:textId="7A562AEA" w:rsidR="008514BE" w:rsidRDefault="005F6C36" w:rsidP="009E29F1">
      <w:pPr>
        <w:jc w:val="both"/>
      </w:pPr>
      <w:r>
        <w:t xml:space="preserve">For Rel-15, </w:t>
      </w:r>
      <w:r w:rsidR="00B50A7B">
        <w:t>supporting implementations where none of the PA’s support full rated output power</w:t>
      </w:r>
      <w:r w:rsidR="00817E91">
        <w:t xml:space="preserve"> would need many specification changes </w:t>
      </w:r>
      <w:r w:rsidR="001D4A3B">
        <w:t xml:space="preserve">in areas which are matured already </w:t>
      </w:r>
      <w:r w:rsidR="006C029D">
        <w:t xml:space="preserve">such as power class testing for </w:t>
      </w:r>
      <w:r w:rsidR="002E4E1E">
        <w:t xml:space="preserve">general requirements i.e. </w:t>
      </w:r>
      <w:r w:rsidR="006C029D">
        <w:t>DCI 0_0</w:t>
      </w:r>
      <w:r w:rsidR="00F5299C">
        <w:t xml:space="preserve">. </w:t>
      </w:r>
      <w:r w:rsidR="000551AF">
        <w:t xml:space="preserve">Also changes in </w:t>
      </w:r>
      <w:r w:rsidR="00817F6D">
        <w:t>the meaning of</w:t>
      </w:r>
      <w:r w:rsidR="000551AF">
        <w:t xml:space="preserve"> power class declaration</w:t>
      </w:r>
      <w:r w:rsidR="00817F6D">
        <w:t>s would need to be changed</w:t>
      </w:r>
      <w:r w:rsidR="00EF5C4B">
        <w:t xml:space="preserve"> which would then degrade th</w:t>
      </w:r>
      <w:r w:rsidR="00B26F55">
        <w:t>e value of most of the existing implementations</w:t>
      </w:r>
      <w:r w:rsidR="00817F6D">
        <w:t xml:space="preserve">. </w:t>
      </w:r>
      <w:r w:rsidR="00B26F55">
        <w:t xml:space="preserve">Therefore, </w:t>
      </w:r>
      <w:r>
        <w:t>a</w:t>
      </w:r>
      <w:r w:rsidR="004739BF">
        <w:t xml:space="preserve">s agreed in WF </w:t>
      </w:r>
      <w:r w:rsidR="007E35C3">
        <w:t>[5]</w:t>
      </w:r>
      <w:r>
        <w:t>, this type of implementation should no be recognised in RAN4 or in RAN5</w:t>
      </w:r>
      <w:r w:rsidR="006E2C7C">
        <w:t xml:space="preserve"> nor any of the </w:t>
      </w:r>
      <w:r w:rsidR="00C4562B">
        <w:t xml:space="preserve">implications </w:t>
      </w:r>
      <w:r w:rsidR="00B26F55">
        <w:t xml:space="preserve">of it </w:t>
      </w:r>
      <w:r w:rsidR="00C4562B">
        <w:t>to testing or power class capabilities.</w:t>
      </w:r>
    </w:p>
    <w:p w14:paraId="56B94F61" w14:textId="03B61AFC" w:rsidR="00B26F55" w:rsidRPr="009E29F1" w:rsidRDefault="00B26F55" w:rsidP="009E29F1">
      <w:pPr>
        <w:jc w:val="both"/>
        <w:rPr>
          <w:b/>
          <w:bCs/>
        </w:rPr>
      </w:pPr>
      <w:r w:rsidRPr="009E29F1">
        <w:rPr>
          <w:b/>
          <w:bCs/>
        </w:rPr>
        <w:t xml:space="preserve">Proposal 2: </w:t>
      </w:r>
      <w:r w:rsidR="00565E49" w:rsidRPr="009E29F1">
        <w:rPr>
          <w:b/>
          <w:bCs/>
        </w:rPr>
        <w:t xml:space="preserve">Maintain the </w:t>
      </w:r>
      <w:r w:rsidRPr="009E29F1">
        <w:rPr>
          <w:b/>
          <w:bCs/>
        </w:rPr>
        <w:t>agreement of not</w:t>
      </w:r>
      <w:r w:rsidR="002510B0" w:rsidRPr="009E29F1">
        <w:rPr>
          <w:b/>
          <w:bCs/>
        </w:rPr>
        <w:t xml:space="preserve"> making any specification</w:t>
      </w:r>
      <w:r w:rsidR="00630EB1" w:rsidRPr="009E29F1">
        <w:rPr>
          <w:b/>
          <w:bCs/>
        </w:rPr>
        <w:t xml:space="preserve"> change</w:t>
      </w:r>
      <w:r w:rsidR="00565E49" w:rsidRPr="009E29F1">
        <w:rPr>
          <w:b/>
          <w:bCs/>
        </w:rPr>
        <w:t>s</w:t>
      </w:r>
      <w:r w:rsidR="00630EB1" w:rsidRPr="009E29F1">
        <w:rPr>
          <w:b/>
          <w:bCs/>
        </w:rPr>
        <w:t xml:space="preserve"> </w:t>
      </w:r>
      <w:r w:rsidR="009847DF">
        <w:rPr>
          <w:b/>
          <w:bCs/>
        </w:rPr>
        <w:t xml:space="preserve">for Rel.15 </w:t>
      </w:r>
      <w:r w:rsidR="00630EB1" w:rsidRPr="009E29F1">
        <w:rPr>
          <w:b/>
          <w:bCs/>
        </w:rPr>
        <w:t xml:space="preserve">because of </w:t>
      </w:r>
      <w:r w:rsidR="009847DF">
        <w:rPr>
          <w:b/>
          <w:bCs/>
        </w:rPr>
        <w:t xml:space="preserve">an </w:t>
      </w:r>
      <w:r w:rsidR="00630EB1" w:rsidRPr="009E29F1">
        <w:rPr>
          <w:b/>
          <w:bCs/>
        </w:rPr>
        <w:t xml:space="preserve">implementation </w:t>
      </w:r>
      <w:r w:rsidR="00565E49" w:rsidRPr="009E29F1">
        <w:rPr>
          <w:b/>
          <w:bCs/>
        </w:rPr>
        <w:t xml:space="preserve">in which </w:t>
      </w:r>
      <w:r w:rsidR="00630EB1" w:rsidRPr="009E29F1">
        <w:rPr>
          <w:b/>
          <w:bCs/>
        </w:rPr>
        <w:t xml:space="preserve">none of the PA’s </w:t>
      </w:r>
      <w:r w:rsidR="005C2F65" w:rsidRPr="009E29F1">
        <w:rPr>
          <w:b/>
          <w:bCs/>
        </w:rPr>
        <w:t xml:space="preserve">alone </w:t>
      </w:r>
      <w:r w:rsidR="00630EB1" w:rsidRPr="009E29F1">
        <w:rPr>
          <w:b/>
          <w:bCs/>
        </w:rPr>
        <w:t xml:space="preserve">provide full power </w:t>
      </w:r>
      <w:r w:rsidR="00A2145E" w:rsidRPr="009E29F1">
        <w:rPr>
          <w:b/>
          <w:bCs/>
        </w:rPr>
        <w:t>according to power class</w:t>
      </w:r>
      <w:r w:rsidR="00565E49" w:rsidRPr="009E29F1">
        <w:rPr>
          <w:b/>
          <w:bCs/>
        </w:rPr>
        <w:t>.</w:t>
      </w:r>
    </w:p>
    <w:p w14:paraId="3C10C9BB" w14:textId="32B96345" w:rsidR="007729D3" w:rsidRDefault="00565E49" w:rsidP="009E29F1">
      <w:pPr>
        <w:jc w:val="both"/>
      </w:pPr>
      <w:r>
        <w:t xml:space="preserve">If proposal 1is agreed, </w:t>
      </w:r>
      <w:r w:rsidR="0021363E">
        <w:t>it should also be discussed under which WI this should be handled or whether a new WI is needed.</w:t>
      </w:r>
    </w:p>
    <w:p w14:paraId="7506C8E4" w14:textId="77777777" w:rsidR="009E54DA" w:rsidRPr="001E4305" w:rsidRDefault="009E54DA" w:rsidP="009E29F1">
      <w:pPr>
        <w:pStyle w:val="Heading1"/>
        <w:jc w:val="both"/>
      </w:pPr>
      <w:r>
        <w:t>Conclusion</w:t>
      </w:r>
    </w:p>
    <w:p w14:paraId="2055C073" w14:textId="51EA952A" w:rsidR="00B37947" w:rsidRDefault="00C4194B" w:rsidP="00612471">
      <w:pPr>
        <w:pStyle w:val="B1"/>
        <w:ind w:left="0" w:firstLine="0"/>
        <w:jc w:val="both"/>
        <w:rPr>
          <w:lang w:eastAsia="ja-JP"/>
        </w:rPr>
      </w:pPr>
      <w:r>
        <w:rPr>
          <w:lang w:eastAsia="ja-JP"/>
        </w:rPr>
        <w:t xml:space="preserve">In this paper we </w:t>
      </w:r>
      <w:r w:rsidR="00700F9D">
        <w:rPr>
          <w:lang w:eastAsia="ja-JP"/>
        </w:rPr>
        <w:t>discussed Tx diversity</w:t>
      </w:r>
      <w:r w:rsidR="00F82942">
        <w:rPr>
          <w:lang w:eastAsia="ja-JP"/>
        </w:rPr>
        <w:t xml:space="preserve"> specifications in RAN4 and</w:t>
      </w:r>
      <w:r w:rsidR="00700F9D">
        <w:rPr>
          <w:lang w:eastAsia="ja-JP"/>
        </w:rPr>
        <w:t xml:space="preserve"> how this relates to possible implementations </w:t>
      </w:r>
      <w:r w:rsidR="00E76FFC">
        <w:rPr>
          <w:lang w:eastAsia="ja-JP"/>
        </w:rPr>
        <w:t>of power class 2</w:t>
      </w:r>
      <w:r w:rsidR="009D56E6">
        <w:rPr>
          <w:lang w:eastAsia="ja-JP"/>
        </w:rPr>
        <w:t xml:space="preserve"> and 3. We made the following observations </w:t>
      </w:r>
      <w:r w:rsidR="001A3B34">
        <w:rPr>
          <w:lang w:eastAsia="ja-JP"/>
        </w:rPr>
        <w:t>and proposals.</w:t>
      </w:r>
    </w:p>
    <w:p w14:paraId="140929C9" w14:textId="77777777" w:rsidR="001A3B34" w:rsidRPr="00087A4D" w:rsidRDefault="001A3B34" w:rsidP="001A3B34">
      <w:pPr>
        <w:pStyle w:val="B1"/>
        <w:ind w:left="0" w:firstLine="0"/>
        <w:jc w:val="both"/>
        <w:rPr>
          <w:b/>
          <w:bCs/>
        </w:rPr>
      </w:pPr>
      <w:r w:rsidRPr="00087A4D">
        <w:rPr>
          <w:b/>
          <w:bCs/>
        </w:rPr>
        <w:t>Observation 1: Even if R</w:t>
      </w:r>
      <w:r>
        <w:rPr>
          <w:b/>
          <w:bCs/>
        </w:rPr>
        <w:t>AN4</w:t>
      </w:r>
      <w:r w:rsidRPr="00087A4D">
        <w:rPr>
          <w:b/>
          <w:bCs/>
        </w:rPr>
        <w:t xml:space="preserve"> can define requirements so that TX diversity is specification transparent, in RAN5</w:t>
      </w:r>
      <w:r>
        <w:rPr>
          <w:b/>
          <w:bCs/>
        </w:rPr>
        <w:t>,</w:t>
      </w:r>
      <w:r w:rsidRPr="00087A4D">
        <w:rPr>
          <w:b/>
          <w:bCs/>
        </w:rPr>
        <w:t xml:space="preserve"> transparent TX diversity may not be practical due to added testing burden.</w:t>
      </w:r>
    </w:p>
    <w:p w14:paraId="690E634A" w14:textId="77777777" w:rsidR="001A3B34" w:rsidRPr="00087A4D" w:rsidRDefault="001A3B34" w:rsidP="001A3B34">
      <w:pPr>
        <w:pStyle w:val="B1"/>
        <w:ind w:left="0" w:firstLine="0"/>
        <w:jc w:val="both"/>
        <w:rPr>
          <w:b/>
          <w:bCs/>
        </w:rPr>
      </w:pPr>
      <w:r w:rsidRPr="00087A4D">
        <w:rPr>
          <w:b/>
          <w:bCs/>
        </w:rPr>
        <w:t xml:space="preserve">Observation 2: </w:t>
      </w:r>
      <w:r>
        <w:rPr>
          <w:b/>
          <w:bCs/>
        </w:rPr>
        <w:t xml:space="preserve">Some companies are still proposing changes in RAN4 or RAN5 even those the specifications do not explicitly specify </w:t>
      </w:r>
      <w:r w:rsidRPr="00087A4D">
        <w:rPr>
          <w:b/>
          <w:bCs/>
        </w:rPr>
        <w:t>TX diversity</w:t>
      </w:r>
      <w:r>
        <w:rPr>
          <w:b/>
          <w:bCs/>
        </w:rPr>
        <w:t>.</w:t>
      </w:r>
    </w:p>
    <w:p w14:paraId="2F693F0E" w14:textId="0EAE2E55" w:rsidR="001A3B34" w:rsidRDefault="001A3B34" w:rsidP="00612471">
      <w:pPr>
        <w:pStyle w:val="B1"/>
        <w:ind w:left="0" w:firstLine="0"/>
        <w:jc w:val="both"/>
        <w:rPr>
          <w:lang w:eastAsia="ja-JP"/>
        </w:rPr>
      </w:pPr>
      <w:r w:rsidRPr="00A31D08">
        <w:rPr>
          <w:b/>
          <w:bCs/>
        </w:rPr>
        <w:t xml:space="preserve">Observation 3: </w:t>
      </w:r>
      <w:r>
        <w:rPr>
          <w:b/>
          <w:bCs/>
        </w:rPr>
        <w:t>The baseline for the UE power class declaration should be the basic transmission mode, not rank2 transmission.</w:t>
      </w:r>
    </w:p>
    <w:p w14:paraId="7EB9F25E" w14:textId="49CD1AD8" w:rsidR="001A3B34" w:rsidRDefault="001A3B34" w:rsidP="00612471">
      <w:pPr>
        <w:pStyle w:val="B1"/>
        <w:ind w:left="0" w:firstLine="0"/>
        <w:jc w:val="both"/>
        <w:rPr>
          <w:lang w:eastAsia="ja-JP"/>
        </w:rPr>
      </w:pPr>
      <w:r w:rsidRPr="00B93E4E">
        <w:rPr>
          <w:b/>
          <w:bCs/>
        </w:rPr>
        <w:t>Observation 4: It is expected that UE maintains it power class in NR regardless it is configured for EN-DC</w:t>
      </w:r>
      <w:r>
        <w:rPr>
          <w:b/>
          <w:bCs/>
        </w:rPr>
        <w:t xml:space="preserve">. </w:t>
      </w:r>
      <w:r w:rsidRPr="00B93E4E">
        <w:rPr>
          <w:b/>
          <w:bCs/>
        </w:rPr>
        <w:t xml:space="preserve">UE’s power class is </w:t>
      </w:r>
      <w:r>
        <w:rPr>
          <w:b/>
          <w:bCs/>
        </w:rPr>
        <w:t xml:space="preserve">in NR operation is </w:t>
      </w:r>
      <w:r w:rsidRPr="00B93E4E">
        <w:rPr>
          <w:b/>
          <w:bCs/>
        </w:rPr>
        <w:t xml:space="preserve">impacted by configuration of EN-DC </w:t>
      </w:r>
      <w:r>
        <w:rPr>
          <w:b/>
          <w:bCs/>
        </w:rPr>
        <w:t xml:space="preserve">only </w:t>
      </w:r>
      <w:r w:rsidRPr="00B93E4E">
        <w:rPr>
          <w:b/>
          <w:bCs/>
        </w:rPr>
        <w:t>if it implements TX div</w:t>
      </w:r>
      <w:r>
        <w:rPr>
          <w:b/>
          <w:bCs/>
        </w:rPr>
        <w:t>.</w:t>
      </w:r>
      <w:r w:rsidRPr="00B93E4E">
        <w:rPr>
          <w:b/>
          <w:bCs/>
        </w:rPr>
        <w:t xml:space="preserve">  </w:t>
      </w:r>
    </w:p>
    <w:p w14:paraId="12924D68" w14:textId="77777777" w:rsidR="001A3B34" w:rsidRPr="003675AC" w:rsidRDefault="001A3B34" w:rsidP="001A3B34">
      <w:pPr>
        <w:pStyle w:val="B1"/>
        <w:ind w:left="0" w:firstLine="0"/>
        <w:jc w:val="both"/>
        <w:rPr>
          <w:b/>
          <w:bCs/>
        </w:rPr>
      </w:pPr>
      <w:r w:rsidRPr="003675AC">
        <w:rPr>
          <w:b/>
          <w:bCs/>
        </w:rPr>
        <w:t xml:space="preserve">Observation </w:t>
      </w:r>
      <w:r>
        <w:rPr>
          <w:b/>
          <w:bCs/>
        </w:rPr>
        <w:t>5</w:t>
      </w:r>
      <w:r w:rsidRPr="003675AC">
        <w:rPr>
          <w:b/>
          <w:bCs/>
        </w:rPr>
        <w:t>: EN-DC power class ambiguity seems to concern only UE’s w</w:t>
      </w:r>
      <w:r>
        <w:rPr>
          <w:b/>
          <w:bCs/>
        </w:rPr>
        <w:t xml:space="preserve">hich implement </w:t>
      </w:r>
      <w:r w:rsidRPr="003675AC">
        <w:rPr>
          <w:b/>
          <w:bCs/>
        </w:rPr>
        <w:t>TX diversity.</w:t>
      </w:r>
    </w:p>
    <w:p w14:paraId="4E5FD422" w14:textId="010C250E" w:rsidR="001A3B34" w:rsidRDefault="001A3B34" w:rsidP="00612471">
      <w:pPr>
        <w:pStyle w:val="B1"/>
        <w:ind w:left="0" w:firstLine="0"/>
        <w:jc w:val="both"/>
        <w:rPr>
          <w:b/>
          <w:bCs/>
        </w:rPr>
      </w:pPr>
      <w:r w:rsidRPr="006D09AA">
        <w:rPr>
          <w:b/>
          <w:bCs/>
        </w:rPr>
        <w:t xml:space="preserve">Observation </w:t>
      </w:r>
      <w:r>
        <w:rPr>
          <w:b/>
          <w:bCs/>
        </w:rPr>
        <w:t>6</w:t>
      </w:r>
      <w:r w:rsidRPr="006D09AA">
        <w:rPr>
          <w:b/>
          <w:bCs/>
        </w:rPr>
        <w:t>: In LTE, and now in NR FR1, output power is summed but emissions are not</w:t>
      </w:r>
      <w:r>
        <w:rPr>
          <w:b/>
          <w:bCs/>
        </w:rPr>
        <w:t>.</w:t>
      </w:r>
    </w:p>
    <w:p w14:paraId="22847299" w14:textId="77777777" w:rsidR="001A3B34" w:rsidRPr="00495B1F" w:rsidRDefault="001A3B34" w:rsidP="001A3B34">
      <w:pPr>
        <w:pStyle w:val="B1"/>
        <w:ind w:left="0" w:firstLine="0"/>
        <w:jc w:val="both"/>
        <w:rPr>
          <w:b/>
          <w:bCs/>
        </w:rPr>
      </w:pPr>
      <w:r w:rsidRPr="00495B1F">
        <w:rPr>
          <w:b/>
          <w:bCs/>
        </w:rPr>
        <w:t xml:space="preserve">Observation </w:t>
      </w:r>
      <w:r>
        <w:rPr>
          <w:b/>
          <w:bCs/>
        </w:rPr>
        <w:t>7</w:t>
      </w:r>
      <w:r w:rsidRPr="00495B1F">
        <w:rPr>
          <w:b/>
          <w:bCs/>
        </w:rPr>
        <w:t>: LTE always assume</w:t>
      </w:r>
      <w:r>
        <w:rPr>
          <w:b/>
          <w:bCs/>
        </w:rPr>
        <w:t>d</w:t>
      </w:r>
      <w:r w:rsidRPr="00495B1F">
        <w:rPr>
          <w:b/>
          <w:bCs/>
        </w:rPr>
        <w:t xml:space="preserve"> power scaling for each antenna port whenever UE is configured for two antenna ports</w:t>
      </w:r>
      <w:r>
        <w:rPr>
          <w:b/>
          <w:bCs/>
        </w:rPr>
        <w:t xml:space="preserve"> and this allowed different treatment for output power and emissions</w:t>
      </w:r>
      <w:r w:rsidRPr="00495B1F">
        <w:rPr>
          <w:b/>
          <w:bCs/>
        </w:rPr>
        <w:t xml:space="preserve">. </w:t>
      </w:r>
    </w:p>
    <w:p w14:paraId="24DB5C98" w14:textId="77777777" w:rsidR="001A3B34" w:rsidRDefault="001A3B34" w:rsidP="001A3B34">
      <w:pPr>
        <w:jc w:val="both"/>
        <w:rPr>
          <w:b/>
          <w:bCs/>
        </w:rPr>
      </w:pPr>
      <w:r w:rsidRPr="007729D3">
        <w:rPr>
          <w:b/>
          <w:bCs/>
        </w:rPr>
        <w:t xml:space="preserve">Observation </w:t>
      </w:r>
      <w:r>
        <w:rPr>
          <w:b/>
          <w:bCs/>
        </w:rPr>
        <w:t>8</w:t>
      </w:r>
      <w:r w:rsidRPr="007729D3">
        <w:rPr>
          <w:b/>
          <w:bCs/>
        </w:rPr>
        <w:t>: With updated power scaling in NR compared to LTE</w:t>
      </w:r>
      <w:r>
        <w:rPr>
          <w:b/>
          <w:bCs/>
        </w:rPr>
        <w:t>,</w:t>
      </w:r>
      <w:r w:rsidRPr="007729D3">
        <w:rPr>
          <w:b/>
          <w:bCs/>
        </w:rPr>
        <w:t xml:space="preserve"> the emission requirements definition </w:t>
      </w:r>
      <w:proofErr w:type="gramStart"/>
      <w:r w:rsidRPr="007729D3">
        <w:rPr>
          <w:b/>
          <w:bCs/>
        </w:rPr>
        <w:t>seem</w:t>
      </w:r>
      <w:proofErr w:type="gramEnd"/>
      <w:r w:rsidRPr="007729D3">
        <w:rPr>
          <w:b/>
          <w:bCs/>
        </w:rPr>
        <w:t xml:space="preserve"> to be obsolete</w:t>
      </w:r>
      <w:r>
        <w:rPr>
          <w:b/>
          <w:bCs/>
        </w:rPr>
        <w:t>.</w:t>
      </w:r>
    </w:p>
    <w:p w14:paraId="5D2CD2B5" w14:textId="77777777" w:rsidR="001A3B34" w:rsidRPr="007217EB" w:rsidRDefault="001A3B34" w:rsidP="001A3B34">
      <w:pPr>
        <w:jc w:val="both"/>
        <w:rPr>
          <w:b/>
          <w:bCs/>
        </w:rPr>
      </w:pPr>
      <w:r w:rsidRPr="007217EB">
        <w:rPr>
          <w:b/>
          <w:bCs/>
        </w:rPr>
        <w:t>Proposal 1: Requirements for a UE implementation in which none of the PA’s alone provide power up to the level of the declared power class should be distinguished from UE’s which implement full rated PA’s to fulfil the requirements.</w:t>
      </w:r>
    </w:p>
    <w:p w14:paraId="51A9A090" w14:textId="51B62BE4" w:rsidR="001A3B34" w:rsidRPr="007217EB" w:rsidRDefault="001A3B34" w:rsidP="001A3B34">
      <w:pPr>
        <w:jc w:val="both"/>
        <w:rPr>
          <w:b/>
          <w:bCs/>
        </w:rPr>
      </w:pPr>
      <w:r w:rsidRPr="007217EB">
        <w:rPr>
          <w:b/>
          <w:bCs/>
        </w:rPr>
        <w:t xml:space="preserve">Proposal 2: Maintain the agreement of not making any specification changes </w:t>
      </w:r>
      <w:r w:rsidR="009847DF">
        <w:rPr>
          <w:b/>
          <w:bCs/>
        </w:rPr>
        <w:t xml:space="preserve">for Rel.15 </w:t>
      </w:r>
      <w:r w:rsidRPr="007217EB">
        <w:rPr>
          <w:b/>
          <w:bCs/>
        </w:rPr>
        <w:t>because of implementation in which none of the PA’s alone provide full power according to power class.</w:t>
      </w:r>
    </w:p>
    <w:p w14:paraId="49F638FE" w14:textId="4F399D2E" w:rsidR="001A3B34" w:rsidRPr="009E29F1" w:rsidRDefault="001A3B34" w:rsidP="00612471">
      <w:pPr>
        <w:pStyle w:val="B1"/>
        <w:ind w:left="0" w:firstLine="0"/>
        <w:jc w:val="both"/>
        <w:rPr>
          <w:rFonts w:eastAsia="Malgun Gothic"/>
          <w:b/>
          <w:bCs/>
        </w:rPr>
      </w:pPr>
      <w:r>
        <w:t>If proposal 1is agreed, it should also be discussed under which WI this should be handled or whether a new WI is needed.</w:t>
      </w:r>
    </w:p>
    <w:p w14:paraId="62E37905" w14:textId="77777777" w:rsidR="001A3B34" w:rsidRPr="009E29F1" w:rsidRDefault="001A3B34" w:rsidP="009E29F1">
      <w:pPr>
        <w:pStyle w:val="B1"/>
        <w:ind w:left="0" w:firstLine="0"/>
        <w:jc w:val="both"/>
        <w:rPr>
          <w:rFonts w:eastAsia="Malgun Gothic"/>
          <w:lang w:eastAsia="ja-JP"/>
        </w:rPr>
      </w:pPr>
    </w:p>
    <w:p w14:paraId="14C4CBBB" w14:textId="77777777" w:rsidR="0045428D" w:rsidRDefault="00934DE1" w:rsidP="009E29F1">
      <w:pPr>
        <w:pBdr>
          <w:top w:val="single" w:sz="4" w:space="1" w:color="auto"/>
        </w:pBdr>
        <w:tabs>
          <w:tab w:val="left" w:pos="3119"/>
        </w:tabs>
        <w:jc w:val="both"/>
        <w:rPr>
          <w:b/>
          <w:sz w:val="24"/>
        </w:rPr>
      </w:pPr>
      <w:r>
        <w:rPr>
          <w:b/>
          <w:sz w:val="24"/>
        </w:rPr>
        <w:t>References</w:t>
      </w:r>
      <w:r w:rsidR="0045428D">
        <w:rPr>
          <w:b/>
          <w:sz w:val="24"/>
        </w:rPr>
        <w:t>:</w:t>
      </w:r>
    </w:p>
    <w:p w14:paraId="5CC87124" w14:textId="77777777" w:rsidR="00CF5120" w:rsidRDefault="00CF5120" w:rsidP="009E29F1">
      <w:pPr>
        <w:pStyle w:val="List"/>
        <w:jc w:val="both"/>
      </w:pPr>
      <w:r w:rsidRPr="00CF5120">
        <w:t>[1]</w:t>
      </w:r>
      <w:r w:rsidRPr="00CF5120">
        <w:tab/>
        <w:t xml:space="preserve">R4-1710109, “LS on UL diversity transmission for PUSCH with CP-OFDM”, RAN1, Mitsubitshi, 3GPP TSG RAN WG4 Meeting #84Bis, Dubrovnik, Croatia, 09 - 13 </w:t>
      </w:r>
      <w:proofErr w:type="gramStart"/>
      <w:r w:rsidRPr="00CF5120">
        <w:t>October,</w:t>
      </w:r>
      <w:proofErr w:type="gramEnd"/>
      <w:r w:rsidRPr="00CF5120">
        <w:t xml:space="preserve"> 2017 </w:t>
      </w:r>
    </w:p>
    <w:p w14:paraId="10A9525D" w14:textId="77777777" w:rsidR="00CF5120" w:rsidRDefault="00CF5120" w:rsidP="009E29F1">
      <w:pPr>
        <w:pStyle w:val="List"/>
        <w:jc w:val="both"/>
      </w:pPr>
      <w:r>
        <w:t>[2]</w:t>
      </w:r>
      <w:r>
        <w:tab/>
      </w:r>
      <w:r w:rsidRPr="00CF5120">
        <w:t>R4-1803259</w:t>
      </w:r>
      <w:r>
        <w:t>, “</w:t>
      </w:r>
      <w:r w:rsidRPr="00CF5120">
        <w:t>Proposal on NR HPUE definition for PC2</w:t>
      </w:r>
      <w:r>
        <w:t xml:space="preserve">”, </w:t>
      </w:r>
      <w:r w:rsidRPr="00CF5120">
        <w:t>CMCC</w:t>
      </w:r>
      <w:r>
        <w:t xml:space="preserve">, </w:t>
      </w:r>
      <w:r w:rsidRPr="00CF5120">
        <w:t>3GPP TSG-RAN WG4 Meeting #86</w:t>
      </w:r>
      <w:r>
        <w:t xml:space="preserve">, </w:t>
      </w:r>
      <w:r w:rsidRPr="00CF5120">
        <w:t>Athens, Greece, 26 Feb – 2 March 2018</w:t>
      </w:r>
    </w:p>
    <w:p w14:paraId="4AC97CEC" w14:textId="77777777" w:rsidR="00CF5120" w:rsidRDefault="00FE023B" w:rsidP="009E29F1">
      <w:pPr>
        <w:pStyle w:val="List"/>
        <w:jc w:val="both"/>
      </w:pPr>
      <w:r w:rsidRPr="00FE023B">
        <w:lastRenderedPageBreak/>
        <w:t>[</w:t>
      </w:r>
      <w:r w:rsidR="00CF5120">
        <w:t>3</w:t>
      </w:r>
      <w:r w:rsidRPr="00FE023B">
        <w:t>]</w:t>
      </w:r>
      <w:r>
        <w:tab/>
      </w:r>
      <w:bookmarkStart w:id="2" w:name="_Hlk22721375"/>
      <w:r w:rsidR="00CF5120" w:rsidRPr="00CF5120">
        <w:t>R4-1816615, “WF on PC2 UL MIMO”, Huawei, HiSilicon, Qualcomm, RAN WG4 #89, Spokane USA, Feb. 2018</w:t>
      </w:r>
    </w:p>
    <w:p w14:paraId="2ECA39FC" w14:textId="77777777" w:rsidR="00B458CF" w:rsidRDefault="00CF5120" w:rsidP="009E29F1">
      <w:pPr>
        <w:pStyle w:val="List"/>
        <w:jc w:val="both"/>
      </w:pPr>
      <w:r>
        <w:t>[4]</w:t>
      </w:r>
      <w:r>
        <w:tab/>
      </w:r>
      <w:r w:rsidR="00B458CF" w:rsidRPr="00B458CF">
        <w:t>R4-1907037</w:t>
      </w:r>
      <w:r w:rsidR="00B458CF">
        <w:t>,”</w:t>
      </w:r>
      <w:r w:rsidR="00B458CF" w:rsidRPr="00B458CF">
        <w:t xml:space="preserve"> Draft CR to 38.101-1: Requirements for UL MIMO device and clarifications for basic requirements</w:t>
      </w:r>
      <w:r w:rsidR="00B458CF">
        <w:t xml:space="preserve">”, Qualcomm Incorporated, </w:t>
      </w:r>
      <w:r w:rsidR="00B458CF" w:rsidRPr="00B458CF">
        <w:t>3GPP TSG RAN WG4 #91</w:t>
      </w:r>
      <w:r w:rsidR="00B458CF">
        <w:t xml:space="preserve">, </w:t>
      </w:r>
      <w:r w:rsidR="00B458CF" w:rsidRPr="00B458CF">
        <w:t>Reno, NV, USA, 13th – 17th May 2019</w:t>
      </w:r>
    </w:p>
    <w:p w14:paraId="1F1F40A1" w14:textId="77777777" w:rsidR="006F77A5" w:rsidRDefault="00B458CF" w:rsidP="009E29F1">
      <w:pPr>
        <w:pStyle w:val="List"/>
        <w:jc w:val="both"/>
      </w:pPr>
      <w:r>
        <w:t>[</w:t>
      </w:r>
      <w:r w:rsidR="00CF5120">
        <w:t>5</w:t>
      </w:r>
      <w:r>
        <w:t>]</w:t>
      </w:r>
      <w:r>
        <w:tab/>
      </w:r>
      <w:r w:rsidR="009809DF" w:rsidRPr="009809DF">
        <w:t>R4-1913067</w:t>
      </w:r>
      <w:bookmarkEnd w:id="2"/>
      <w:r w:rsidR="009809DF">
        <w:t>, “</w:t>
      </w:r>
      <w:r w:rsidR="009809DF" w:rsidRPr="009809DF">
        <w:t>Summary of Tx diversity and eMIMO full power transmission</w:t>
      </w:r>
      <w:r w:rsidR="009809DF">
        <w:t xml:space="preserve">”, </w:t>
      </w:r>
      <w:r w:rsidR="009809DF" w:rsidRPr="009809DF">
        <w:t>Ericsson</w:t>
      </w:r>
      <w:r w:rsidR="009809DF">
        <w:t xml:space="preserve">, </w:t>
      </w:r>
      <w:r w:rsidR="009809DF" w:rsidRPr="009809DF">
        <w:t>3GPP TSG-RAN WG4 meeting #92bis</w:t>
      </w:r>
      <w:r w:rsidR="009809DF">
        <w:t xml:space="preserve">, </w:t>
      </w:r>
      <w:r w:rsidR="009809DF" w:rsidRPr="009809DF">
        <w:t>Chongqing, China, 14 – 18 October 2019</w:t>
      </w:r>
    </w:p>
    <w:p w14:paraId="0CFF304A" w14:textId="02292457" w:rsidR="00431997" w:rsidRDefault="00431997" w:rsidP="009E29F1">
      <w:pPr>
        <w:pStyle w:val="List"/>
        <w:jc w:val="both"/>
      </w:pPr>
      <w:r>
        <w:t>[6]</w:t>
      </w:r>
      <w:r w:rsidRPr="00431997">
        <w:t xml:space="preserve"> R4-1908497</w:t>
      </w:r>
      <w:r>
        <w:t>, “</w:t>
      </w:r>
      <w:r w:rsidRPr="00431997">
        <w:t>Draft CR to 38.101-1: Requirements for UL MIMO device and clarifications for basic requirements</w:t>
      </w:r>
      <w:r>
        <w:t xml:space="preserve">”, </w:t>
      </w:r>
      <w:r w:rsidR="00C17899">
        <w:t xml:space="preserve">Qualcomm, </w:t>
      </w:r>
      <w:r w:rsidRPr="00431997">
        <w:t>3GPP TSG RAN WG4 #92</w:t>
      </w:r>
      <w:r>
        <w:t xml:space="preserve">, </w:t>
      </w:r>
      <w:r w:rsidR="00E75F6D" w:rsidRPr="00E75F6D">
        <w:t>Ljubljana, Sl, Aug 2019</w:t>
      </w:r>
    </w:p>
    <w:p w14:paraId="34EC4B85" w14:textId="77777777" w:rsidR="006D55A7" w:rsidRDefault="00BC7710" w:rsidP="009E29F1">
      <w:pPr>
        <w:pStyle w:val="List"/>
        <w:jc w:val="both"/>
      </w:pPr>
      <w:r>
        <w:t>[</w:t>
      </w:r>
      <w:r w:rsidR="006D55A7">
        <w:t>7</w:t>
      </w:r>
      <w:r>
        <w:t>]</w:t>
      </w:r>
      <w:r w:rsidR="006D55A7">
        <w:tab/>
        <w:t>R4-1916137, “CR to 38.101-3: clarification of ENDC power class in R15”,</w:t>
      </w:r>
      <w:r w:rsidR="006D55A7" w:rsidRPr="006D55A7">
        <w:t xml:space="preserve"> </w:t>
      </w:r>
      <w:r w:rsidR="006D55A7">
        <w:t xml:space="preserve">vivo, </w:t>
      </w:r>
      <w:r w:rsidR="006D55A7" w:rsidRPr="00B458CF">
        <w:t>3GPP TSG RAN WG4 #91</w:t>
      </w:r>
      <w:r w:rsidR="006D55A7">
        <w:t xml:space="preserve">, </w:t>
      </w:r>
      <w:r w:rsidR="006D55A7" w:rsidRPr="00B458CF">
        <w:t>Reno, NV, USA, 13th – 17th May 2019</w:t>
      </w:r>
    </w:p>
    <w:p w14:paraId="6819EF7A" w14:textId="77777777" w:rsidR="00563B8F" w:rsidRDefault="00563B8F" w:rsidP="009E29F1">
      <w:pPr>
        <w:pStyle w:val="List"/>
        <w:jc w:val="both"/>
      </w:pPr>
      <w:r>
        <w:t xml:space="preserve">[8] </w:t>
      </w:r>
      <w:r w:rsidRPr="00563B8F">
        <w:t>R5-201196r1</w:t>
      </w:r>
      <w:r>
        <w:t>, ”</w:t>
      </w:r>
      <w:r w:rsidRPr="00563B8F">
        <w:t xml:space="preserve"> Cleaning up of power class 2 test cases in FR1</w:t>
      </w:r>
      <w:r>
        <w:t>”,</w:t>
      </w:r>
      <w:r w:rsidRPr="00563B8F">
        <w:t xml:space="preserve"> Huawei</w:t>
      </w:r>
      <w:r>
        <w:t>,  (</w:t>
      </w:r>
      <w:hyperlink r:id="rId11" w:history="1">
        <w:r w:rsidRPr="001D6AE2">
          <w:rPr>
            <w:rStyle w:val="Hyperlink"/>
          </w:rPr>
          <w:t>https://list.etsi.org/scripts/wa.exe?A2=3GPP_TSG_RAN_WG5;9851b1d6.2003A</w:t>
        </w:r>
      </w:hyperlink>
      <w:r>
        <w:t>)</w:t>
      </w:r>
    </w:p>
    <w:p w14:paraId="46050412" w14:textId="77777777" w:rsidR="00087A4D" w:rsidRDefault="00087A4D" w:rsidP="009E29F1">
      <w:pPr>
        <w:pStyle w:val="List"/>
        <w:jc w:val="both"/>
      </w:pPr>
      <w:r>
        <w:t>[9]</w:t>
      </w:r>
      <w:r>
        <w:tab/>
        <w:t>R4-2002037, “On UL MIMO requirements”,</w:t>
      </w:r>
      <w:r w:rsidRPr="00087A4D">
        <w:t xml:space="preserve"> </w:t>
      </w:r>
      <w:r>
        <w:t xml:space="preserve">Huawei, 3GPP TSG-RAN WG4 Meeting #94-e, Electronic Meeting, 24th February – 6th </w:t>
      </w:r>
      <w:proofErr w:type="gramStart"/>
      <w:r>
        <w:t>March,</w:t>
      </w:r>
      <w:proofErr w:type="gramEnd"/>
      <w:r>
        <w:t xml:space="preserve"> 2020</w:t>
      </w:r>
    </w:p>
    <w:p w14:paraId="4979FDD5" w14:textId="77777777" w:rsidR="00A31D08" w:rsidRDefault="00A31D08" w:rsidP="009E29F1">
      <w:pPr>
        <w:pStyle w:val="List"/>
        <w:jc w:val="both"/>
      </w:pPr>
      <w:r>
        <w:t>[10]</w:t>
      </w:r>
      <w:r>
        <w:tab/>
      </w:r>
      <w:r w:rsidRPr="00F35CAF">
        <w:t>R4-1805783</w:t>
      </w:r>
      <w:r>
        <w:t>, “</w:t>
      </w:r>
      <w:r w:rsidRPr="00F35CAF">
        <w:t xml:space="preserve">Draft CR for 38.101-1 for </w:t>
      </w:r>
      <w:proofErr w:type="gramStart"/>
      <w:r w:rsidRPr="00F35CAF">
        <w:t>Tx(</w:t>
      </w:r>
      <w:proofErr w:type="gramEnd"/>
      <w:r w:rsidRPr="00F35CAF">
        <w:t>Ch6) of Band n77, n78 and n79 RF requirements</w:t>
      </w:r>
      <w:r>
        <w:t>”,</w:t>
      </w:r>
      <w:r w:rsidRPr="00F35CAF">
        <w:t xml:space="preserve"> CMCC</w:t>
      </w:r>
      <w:r>
        <w:t xml:space="preserve">, </w:t>
      </w:r>
      <w:r w:rsidRPr="00F35CAF">
        <w:t>3GPP TSG-RAN WG4 Meeting #86bis</w:t>
      </w:r>
      <w:r>
        <w:t xml:space="preserve">, </w:t>
      </w:r>
      <w:r w:rsidRPr="00F35CAF">
        <w:t>Melbourne, AUS, 16th - 20th Apr, 2018</w:t>
      </w:r>
    </w:p>
    <w:p w14:paraId="680B9F4E" w14:textId="77777777" w:rsidR="00A31D08" w:rsidRDefault="00A31D08" w:rsidP="009E29F1">
      <w:pPr>
        <w:pStyle w:val="List"/>
        <w:jc w:val="both"/>
      </w:pPr>
      <w:r>
        <w:t>[11]</w:t>
      </w:r>
      <w:r>
        <w:tab/>
      </w:r>
      <w:r w:rsidRPr="00FA2957">
        <w:t>3GPP TR 36.807</w:t>
      </w:r>
      <w:r>
        <w:t xml:space="preserve">, “Evolved Universal Terrestrial Radio Access (E-UTRA); User Equipment (UE) radio transmission and reception </w:t>
      </w:r>
      <w:r w:rsidRPr="00A31D08">
        <w:t>(Release 10)</w:t>
      </w:r>
      <w:r>
        <w:t>”</w:t>
      </w:r>
    </w:p>
    <w:p w14:paraId="20EB65C1" w14:textId="77777777" w:rsidR="007729D3" w:rsidRDefault="007729D3" w:rsidP="009E29F1">
      <w:pPr>
        <w:pStyle w:val="List"/>
        <w:jc w:val="both"/>
      </w:pPr>
      <w:r>
        <w:t>[12]</w:t>
      </w:r>
      <w:r>
        <w:tab/>
        <w:t>R4-2002738, “WF on UL MIMO PC2”,</w:t>
      </w:r>
      <w:r w:rsidRPr="007729D3">
        <w:t xml:space="preserve"> </w:t>
      </w:r>
      <w:r>
        <w:t xml:space="preserve">Huawei, 3GPP TSG-RAN WG4 Meeting #94-e, Electronic Meeting, 24th February – 6th </w:t>
      </w:r>
      <w:proofErr w:type="gramStart"/>
      <w:r>
        <w:t>March,</w:t>
      </w:r>
      <w:proofErr w:type="gramEnd"/>
      <w:r>
        <w:t xml:space="preserve"> 2020</w:t>
      </w:r>
    </w:p>
    <w:p w14:paraId="01AB5E9B" w14:textId="77777777" w:rsidR="00D45523" w:rsidRDefault="00D45523" w:rsidP="009E29F1">
      <w:pPr>
        <w:pStyle w:val="List"/>
        <w:jc w:val="both"/>
      </w:pPr>
    </w:p>
    <w:sectPr w:rsidR="00D45523">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1E0934"/>
    <w:multiLevelType w:val="hybridMultilevel"/>
    <w:tmpl w:val="2CB69D0C"/>
    <w:lvl w:ilvl="0" w:tplc="A622FC2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9A4217"/>
    <w:multiLevelType w:val="hybridMultilevel"/>
    <w:tmpl w:val="77129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6"/>
  </w:num>
  <w:num w:numId="9">
    <w:abstractNumId w:val="13"/>
  </w:num>
  <w:num w:numId="10">
    <w:abstractNumId w:val="12"/>
  </w:num>
  <w:num w:numId="11">
    <w:abstractNumId w:val="11"/>
  </w:num>
  <w:num w:numId="12">
    <w:abstractNumId w:val="8"/>
  </w:num>
  <w:num w:numId="13">
    <w:abstractNumId w:val="15"/>
  </w:num>
  <w:num w:numId="14">
    <w:abstractNumId w:val="10"/>
  </w:num>
  <w:num w:numId="15">
    <w:abstractNumId w:val="7"/>
  </w:num>
  <w:num w:numId="16">
    <w:abstractNumId w:val="17"/>
  </w:num>
  <w:num w:numId="17">
    <w:abstractNumId w:val="14"/>
  </w:num>
  <w:num w:numId="18">
    <w:abstractNumId w:val="9"/>
  </w:num>
  <w:num w:numId="19">
    <w:abstractNumId w:val="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3B3"/>
    <w:rsid w:val="00004594"/>
    <w:rsid w:val="00021CED"/>
    <w:rsid w:val="000262B9"/>
    <w:rsid w:val="00032669"/>
    <w:rsid w:val="00037A84"/>
    <w:rsid w:val="0004545C"/>
    <w:rsid w:val="000454A9"/>
    <w:rsid w:val="000551AF"/>
    <w:rsid w:val="00055798"/>
    <w:rsid w:val="0006136D"/>
    <w:rsid w:val="00077EB3"/>
    <w:rsid w:val="00087A4D"/>
    <w:rsid w:val="000908D9"/>
    <w:rsid w:val="000A11D9"/>
    <w:rsid w:val="000A1383"/>
    <w:rsid w:val="000A567D"/>
    <w:rsid w:val="000A643B"/>
    <w:rsid w:val="000B0067"/>
    <w:rsid w:val="000C678D"/>
    <w:rsid w:val="000D18EC"/>
    <w:rsid w:val="000D57BE"/>
    <w:rsid w:val="000E0A10"/>
    <w:rsid w:val="000E26BD"/>
    <w:rsid w:val="000E4512"/>
    <w:rsid w:val="000E596C"/>
    <w:rsid w:val="000E67FA"/>
    <w:rsid w:val="000E7763"/>
    <w:rsid w:val="000F0E0B"/>
    <w:rsid w:val="000F502F"/>
    <w:rsid w:val="000F519D"/>
    <w:rsid w:val="000F65D1"/>
    <w:rsid w:val="000F7ECB"/>
    <w:rsid w:val="0010618D"/>
    <w:rsid w:val="00106A15"/>
    <w:rsid w:val="00112950"/>
    <w:rsid w:val="00115767"/>
    <w:rsid w:val="00116429"/>
    <w:rsid w:val="001214AE"/>
    <w:rsid w:val="00122190"/>
    <w:rsid w:val="0012277A"/>
    <w:rsid w:val="0012615B"/>
    <w:rsid w:val="00126E1A"/>
    <w:rsid w:val="00131AFF"/>
    <w:rsid w:val="001351EB"/>
    <w:rsid w:val="00135650"/>
    <w:rsid w:val="00137F35"/>
    <w:rsid w:val="00144FDD"/>
    <w:rsid w:val="001512D7"/>
    <w:rsid w:val="001528E4"/>
    <w:rsid w:val="00161C73"/>
    <w:rsid w:val="00166E70"/>
    <w:rsid w:val="00184D08"/>
    <w:rsid w:val="00187A6B"/>
    <w:rsid w:val="00194778"/>
    <w:rsid w:val="001A31F9"/>
    <w:rsid w:val="001A3B34"/>
    <w:rsid w:val="001B3183"/>
    <w:rsid w:val="001B6865"/>
    <w:rsid w:val="001B70ED"/>
    <w:rsid w:val="001C45DE"/>
    <w:rsid w:val="001D133C"/>
    <w:rsid w:val="001D3950"/>
    <w:rsid w:val="001D4399"/>
    <w:rsid w:val="001D4A3B"/>
    <w:rsid w:val="001D502E"/>
    <w:rsid w:val="001D7260"/>
    <w:rsid w:val="001E4305"/>
    <w:rsid w:val="00200596"/>
    <w:rsid w:val="00201520"/>
    <w:rsid w:val="00201FB4"/>
    <w:rsid w:val="00203D36"/>
    <w:rsid w:val="002061C3"/>
    <w:rsid w:val="0021363E"/>
    <w:rsid w:val="00214B13"/>
    <w:rsid w:val="00216428"/>
    <w:rsid w:val="002167A7"/>
    <w:rsid w:val="00222D66"/>
    <w:rsid w:val="0023235E"/>
    <w:rsid w:val="002414AB"/>
    <w:rsid w:val="00241773"/>
    <w:rsid w:val="002419B2"/>
    <w:rsid w:val="00244785"/>
    <w:rsid w:val="002476C8"/>
    <w:rsid w:val="002510B0"/>
    <w:rsid w:val="00251CFA"/>
    <w:rsid w:val="00252F5F"/>
    <w:rsid w:val="00253CE9"/>
    <w:rsid w:val="0026064B"/>
    <w:rsid w:val="002611B2"/>
    <w:rsid w:val="00263CF0"/>
    <w:rsid w:val="002702A8"/>
    <w:rsid w:val="002715F5"/>
    <w:rsid w:val="00272536"/>
    <w:rsid w:val="002810D7"/>
    <w:rsid w:val="00281350"/>
    <w:rsid w:val="002820E8"/>
    <w:rsid w:val="00285C25"/>
    <w:rsid w:val="00287C9B"/>
    <w:rsid w:val="00292A75"/>
    <w:rsid w:val="00293E95"/>
    <w:rsid w:val="0029561A"/>
    <w:rsid w:val="002960BC"/>
    <w:rsid w:val="002A08FE"/>
    <w:rsid w:val="002A1C01"/>
    <w:rsid w:val="002A4D20"/>
    <w:rsid w:val="002B09A1"/>
    <w:rsid w:val="002B3F06"/>
    <w:rsid w:val="002B74CD"/>
    <w:rsid w:val="002B76BD"/>
    <w:rsid w:val="002C65B6"/>
    <w:rsid w:val="002D2FE3"/>
    <w:rsid w:val="002D4CC7"/>
    <w:rsid w:val="002D4FBE"/>
    <w:rsid w:val="002D6A81"/>
    <w:rsid w:val="002E0D9D"/>
    <w:rsid w:val="002E4E1E"/>
    <w:rsid w:val="002E7011"/>
    <w:rsid w:val="002F1C8C"/>
    <w:rsid w:val="002F28ED"/>
    <w:rsid w:val="002F303E"/>
    <w:rsid w:val="00302E72"/>
    <w:rsid w:val="0030770F"/>
    <w:rsid w:val="003218BA"/>
    <w:rsid w:val="00324D06"/>
    <w:rsid w:val="00333005"/>
    <w:rsid w:val="00333C34"/>
    <w:rsid w:val="0034635A"/>
    <w:rsid w:val="003476B3"/>
    <w:rsid w:val="003665F7"/>
    <w:rsid w:val="003675AC"/>
    <w:rsid w:val="00375AA5"/>
    <w:rsid w:val="00380E73"/>
    <w:rsid w:val="003829B6"/>
    <w:rsid w:val="0038770D"/>
    <w:rsid w:val="003A1D5C"/>
    <w:rsid w:val="003A288F"/>
    <w:rsid w:val="003A43B2"/>
    <w:rsid w:val="003A4CD3"/>
    <w:rsid w:val="003B4BF2"/>
    <w:rsid w:val="003B6939"/>
    <w:rsid w:val="003B6F17"/>
    <w:rsid w:val="003C3383"/>
    <w:rsid w:val="003C3C76"/>
    <w:rsid w:val="003E4CBC"/>
    <w:rsid w:val="003E722B"/>
    <w:rsid w:val="003F6DA5"/>
    <w:rsid w:val="00403EE9"/>
    <w:rsid w:val="00406E12"/>
    <w:rsid w:val="00411126"/>
    <w:rsid w:val="004127B2"/>
    <w:rsid w:val="00414CE5"/>
    <w:rsid w:val="00431997"/>
    <w:rsid w:val="00432734"/>
    <w:rsid w:val="00435537"/>
    <w:rsid w:val="00435B76"/>
    <w:rsid w:val="00453D5A"/>
    <w:rsid w:val="004541E5"/>
    <w:rsid w:val="0045428D"/>
    <w:rsid w:val="004544D6"/>
    <w:rsid w:val="00457F94"/>
    <w:rsid w:val="004609D7"/>
    <w:rsid w:val="00462017"/>
    <w:rsid w:val="004673F2"/>
    <w:rsid w:val="00470FD9"/>
    <w:rsid w:val="00471253"/>
    <w:rsid w:val="004739BF"/>
    <w:rsid w:val="00474FE5"/>
    <w:rsid w:val="00481250"/>
    <w:rsid w:val="00484A20"/>
    <w:rsid w:val="00495B1F"/>
    <w:rsid w:val="00496ACF"/>
    <w:rsid w:val="00496FBC"/>
    <w:rsid w:val="004B14E2"/>
    <w:rsid w:val="004C1484"/>
    <w:rsid w:val="004D17AA"/>
    <w:rsid w:val="004D3585"/>
    <w:rsid w:val="004D43C9"/>
    <w:rsid w:val="004D59D7"/>
    <w:rsid w:val="004E78CB"/>
    <w:rsid w:val="004F6714"/>
    <w:rsid w:val="004F6C74"/>
    <w:rsid w:val="005120D5"/>
    <w:rsid w:val="0052280C"/>
    <w:rsid w:val="005254C9"/>
    <w:rsid w:val="0052623F"/>
    <w:rsid w:val="00532DE4"/>
    <w:rsid w:val="005341AC"/>
    <w:rsid w:val="005429B4"/>
    <w:rsid w:val="005511F1"/>
    <w:rsid w:val="005520D7"/>
    <w:rsid w:val="005536D9"/>
    <w:rsid w:val="00562430"/>
    <w:rsid w:val="00562DA2"/>
    <w:rsid w:val="00563B8F"/>
    <w:rsid w:val="00565E49"/>
    <w:rsid w:val="00573047"/>
    <w:rsid w:val="005759CB"/>
    <w:rsid w:val="00581553"/>
    <w:rsid w:val="005839AE"/>
    <w:rsid w:val="00586371"/>
    <w:rsid w:val="0059257A"/>
    <w:rsid w:val="0059794A"/>
    <w:rsid w:val="00597FAA"/>
    <w:rsid w:val="005A0F40"/>
    <w:rsid w:val="005A2AAA"/>
    <w:rsid w:val="005A5500"/>
    <w:rsid w:val="005B03DB"/>
    <w:rsid w:val="005B16F2"/>
    <w:rsid w:val="005B4A28"/>
    <w:rsid w:val="005C2F65"/>
    <w:rsid w:val="005D1530"/>
    <w:rsid w:val="005D3879"/>
    <w:rsid w:val="005E1DB3"/>
    <w:rsid w:val="005E291E"/>
    <w:rsid w:val="005E2B0B"/>
    <w:rsid w:val="005E4466"/>
    <w:rsid w:val="005F33D7"/>
    <w:rsid w:val="005F35A7"/>
    <w:rsid w:val="005F6C36"/>
    <w:rsid w:val="00600A82"/>
    <w:rsid w:val="00603564"/>
    <w:rsid w:val="0060402D"/>
    <w:rsid w:val="00606A5C"/>
    <w:rsid w:val="00607502"/>
    <w:rsid w:val="00612471"/>
    <w:rsid w:val="00613A36"/>
    <w:rsid w:val="00617CA0"/>
    <w:rsid w:val="00630EB1"/>
    <w:rsid w:val="00652416"/>
    <w:rsid w:val="00664963"/>
    <w:rsid w:val="0067484E"/>
    <w:rsid w:val="00674D9B"/>
    <w:rsid w:val="00676488"/>
    <w:rsid w:val="0068330F"/>
    <w:rsid w:val="006834CE"/>
    <w:rsid w:val="00691155"/>
    <w:rsid w:val="00691500"/>
    <w:rsid w:val="00693075"/>
    <w:rsid w:val="00694771"/>
    <w:rsid w:val="00695F3B"/>
    <w:rsid w:val="006A3DD3"/>
    <w:rsid w:val="006B3E20"/>
    <w:rsid w:val="006B4A0C"/>
    <w:rsid w:val="006B592B"/>
    <w:rsid w:val="006C0280"/>
    <w:rsid w:val="006C029D"/>
    <w:rsid w:val="006C3160"/>
    <w:rsid w:val="006D09AA"/>
    <w:rsid w:val="006D244C"/>
    <w:rsid w:val="006D3DFA"/>
    <w:rsid w:val="006D55A7"/>
    <w:rsid w:val="006D5E7B"/>
    <w:rsid w:val="006E274D"/>
    <w:rsid w:val="006E2C7C"/>
    <w:rsid w:val="006F2300"/>
    <w:rsid w:val="006F77A5"/>
    <w:rsid w:val="007009E6"/>
    <w:rsid w:val="00700F9D"/>
    <w:rsid w:val="00703F4C"/>
    <w:rsid w:val="0071422A"/>
    <w:rsid w:val="007157AA"/>
    <w:rsid w:val="00715FC0"/>
    <w:rsid w:val="00721F34"/>
    <w:rsid w:val="007244F1"/>
    <w:rsid w:val="007254B7"/>
    <w:rsid w:val="00733CD6"/>
    <w:rsid w:val="007477B0"/>
    <w:rsid w:val="0075352D"/>
    <w:rsid w:val="00757789"/>
    <w:rsid w:val="00757E61"/>
    <w:rsid w:val="007729D3"/>
    <w:rsid w:val="00774F6F"/>
    <w:rsid w:val="0077509A"/>
    <w:rsid w:val="007816A2"/>
    <w:rsid w:val="0078255A"/>
    <w:rsid w:val="00791CE3"/>
    <w:rsid w:val="00792165"/>
    <w:rsid w:val="00795AC4"/>
    <w:rsid w:val="007A0558"/>
    <w:rsid w:val="007A1A88"/>
    <w:rsid w:val="007B0169"/>
    <w:rsid w:val="007B605F"/>
    <w:rsid w:val="007B6FCF"/>
    <w:rsid w:val="007B78CB"/>
    <w:rsid w:val="007C1F3E"/>
    <w:rsid w:val="007C6050"/>
    <w:rsid w:val="007D7F6F"/>
    <w:rsid w:val="007E35C3"/>
    <w:rsid w:val="007E62D2"/>
    <w:rsid w:val="007F2458"/>
    <w:rsid w:val="007F5A2D"/>
    <w:rsid w:val="008013A1"/>
    <w:rsid w:val="0080320A"/>
    <w:rsid w:val="00805533"/>
    <w:rsid w:val="008121DC"/>
    <w:rsid w:val="00816E40"/>
    <w:rsid w:val="00817E91"/>
    <w:rsid w:val="00817F6D"/>
    <w:rsid w:val="0082323B"/>
    <w:rsid w:val="00824ED5"/>
    <w:rsid w:val="00825E90"/>
    <w:rsid w:val="00830C2E"/>
    <w:rsid w:val="00843682"/>
    <w:rsid w:val="00843945"/>
    <w:rsid w:val="00850213"/>
    <w:rsid w:val="008514BE"/>
    <w:rsid w:val="00855362"/>
    <w:rsid w:val="00881ABF"/>
    <w:rsid w:val="00885E3A"/>
    <w:rsid w:val="008A1C58"/>
    <w:rsid w:val="008A4C1E"/>
    <w:rsid w:val="008B5B7D"/>
    <w:rsid w:val="008C48DA"/>
    <w:rsid w:val="008D305A"/>
    <w:rsid w:val="008E1A41"/>
    <w:rsid w:val="008E3045"/>
    <w:rsid w:val="008E4929"/>
    <w:rsid w:val="008F13B3"/>
    <w:rsid w:val="008F302B"/>
    <w:rsid w:val="008F3089"/>
    <w:rsid w:val="008F3EA8"/>
    <w:rsid w:val="008F63B0"/>
    <w:rsid w:val="0090240B"/>
    <w:rsid w:val="00906CD4"/>
    <w:rsid w:val="009333E0"/>
    <w:rsid w:val="00934DE1"/>
    <w:rsid w:val="009370EF"/>
    <w:rsid w:val="00954D53"/>
    <w:rsid w:val="0096054F"/>
    <w:rsid w:val="00962566"/>
    <w:rsid w:val="009673C2"/>
    <w:rsid w:val="00970373"/>
    <w:rsid w:val="009716E4"/>
    <w:rsid w:val="0097566C"/>
    <w:rsid w:val="00977122"/>
    <w:rsid w:val="009809DF"/>
    <w:rsid w:val="00980CA6"/>
    <w:rsid w:val="0098447D"/>
    <w:rsid w:val="009847DF"/>
    <w:rsid w:val="009872DA"/>
    <w:rsid w:val="009A2557"/>
    <w:rsid w:val="009B0424"/>
    <w:rsid w:val="009B100E"/>
    <w:rsid w:val="009B4544"/>
    <w:rsid w:val="009B6D6B"/>
    <w:rsid w:val="009C054C"/>
    <w:rsid w:val="009C3155"/>
    <w:rsid w:val="009D21B1"/>
    <w:rsid w:val="009D51F8"/>
    <w:rsid w:val="009D56E6"/>
    <w:rsid w:val="009D6F57"/>
    <w:rsid w:val="009E08C2"/>
    <w:rsid w:val="009E29F1"/>
    <w:rsid w:val="009E54DA"/>
    <w:rsid w:val="009E60F6"/>
    <w:rsid w:val="009E6DAC"/>
    <w:rsid w:val="009F7CA7"/>
    <w:rsid w:val="00A04F2A"/>
    <w:rsid w:val="00A15703"/>
    <w:rsid w:val="00A167BE"/>
    <w:rsid w:val="00A17D67"/>
    <w:rsid w:val="00A2145E"/>
    <w:rsid w:val="00A23DBD"/>
    <w:rsid w:val="00A307F8"/>
    <w:rsid w:val="00A30923"/>
    <w:rsid w:val="00A31D08"/>
    <w:rsid w:val="00A47107"/>
    <w:rsid w:val="00A517EF"/>
    <w:rsid w:val="00A51DCB"/>
    <w:rsid w:val="00A53D14"/>
    <w:rsid w:val="00A612AF"/>
    <w:rsid w:val="00A72240"/>
    <w:rsid w:val="00A812C2"/>
    <w:rsid w:val="00A854DA"/>
    <w:rsid w:val="00A92091"/>
    <w:rsid w:val="00A948A5"/>
    <w:rsid w:val="00A94ACA"/>
    <w:rsid w:val="00A96EFD"/>
    <w:rsid w:val="00AA33EC"/>
    <w:rsid w:val="00AA6C2D"/>
    <w:rsid w:val="00AB5453"/>
    <w:rsid w:val="00AB6DDF"/>
    <w:rsid w:val="00AD27AB"/>
    <w:rsid w:val="00AD6423"/>
    <w:rsid w:val="00AD73C1"/>
    <w:rsid w:val="00AD7D8B"/>
    <w:rsid w:val="00AE0DB0"/>
    <w:rsid w:val="00AE71A8"/>
    <w:rsid w:val="00AF1C5B"/>
    <w:rsid w:val="00AF2933"/>
    <w:rsid w:val="00AF5CBA"/>
    <w:rsid w:val="00AF5E77"/>
    <w:rsid w:val="00B03E3A"/>
    <w:rsid w:val="00B074EB"/>
    <w:rsid w:val="00B10065"/>
    <w:rsid w:val="00B10A08"/>
    <w:rsid w:val="00B12D14"/>
    <w:rsid w:val="00B23705"/>
    <w:rsid w:val="00B26F55"/>
    <w:rsid w:val="00B31916"/>
    <w:rsid w:val="00B33522"/>
    <w:rsid w:val="00B3741F"/>
    <w:rsid w:val="00B37947"/>
    <w:rsid w:val="00B420A4"/>
    <w:rsid w:val="00B42867"/>
    <w:rsid w:val="00B4352E"/>
    <w:rsid w:val="00B45164"/>
    <w:rsid w:val="00B458CF"/>
    <w:rsid w:val="00B46B41"/>
    <w:rsid w:val="00B50A7B"/>
    <w:rsid w:val="00B5499F"/>
    <w:rsid w:val="00B562D6"/>
    <w:rsid w:val="00B57E31"/>
    <w:rsid w:val="00B60568"/>
    <w:rsid w:val="00B60967"/>
    <w:rsid w:val="00B74655"/>
    <w:rsid w:val="00B753CF"/>
    <w:rsid w:val="00B77567"/>
    <w:rsid w:val="00B81F12"/>
    <w:rsid w:val="00B90EDB"/>
    <w:rsid w:val="00B9250E"/>
    <w:rsid w:val="00B93E4E"/>
    <w:rsid w:val="00B94B0F"/>
    <w:rsid w:val="00BA0B39"/>
    <w:rsid w:val="00BA3C61"/>
    <w:rsid w:val="00BA4DF2"/>
    <w:rsid w:val="00BA7246"/>
    <w:rsid w:val="00BB2DCE"/>
    <w:rsid w:val="00BC7710"/>
    <w:rsid w:val="00BE2B6F"/>
    <w:rsid w:val="00BE3C14"/>
    <w:rsid w:val="00BE75DA"/>
    <w:rsid w:val="00BF3C2F"/>
    <w:rsid w:val="00BF7ADB"/>
    <w:rsid w:val="00C01262"/>
    <w:rsid w:val="00C02378"/>
    <w:rsid w:val="00C03FE3"/>
    <w:rsid w:val="00C06D5E"/>
    <w:rsid w:val="00C07551"/>
    <w:rsid w:val="00C10C7E"/>
    <w:rsid w:val="00C1219E"/>
    <w:rsid w:val="00C17899"/>
    <w:rsid w:val="00C21D61"/>
    <w:rsid w:val="00C2400B"/>
    <w:rsid w:val="00C32014"/>
    <w:rsid w:val="00C32114"/>
    <w:rsid w:val="00C3557A"/>
    <w:rsid w:val="00C35671"/>
    <w:rsid w:val="00C41734"/>
    <w:rsid w:val="00C4194B"/>
    <w:rsid w:val="00C4562B"/>
    <w:rsid w:val="00C45FFE"/>
    <w:rsid w:val="00C50D32"/>
    <w:rsid w:val="00C51D0C"/>
    <w:rsid w:val="00C56833"/>
    <w:rsid w:val="00C5689D"/>
    <w:rsid w:val="00C67711"/>
    <w:rsid w:val="00C766D1"/>
    <w:rsid w:val="00C83E56"/>
    <w:rsid w:val="00C908CF"/>
    <w:rsid w:val="00C94D38"/>
    <w:rsid w:val="00C9521B"/>
    <w:rsid w:val="00CA134D"/>
    <w:rsid w:val="00CA35AD"/>
    <w:rsid w:val="00CB171D"/>
    <w:rsid w:val="00CC1CFE"/>
    <w:rsid w:val="00CC2EE7"/>
    <w:rsid w:val="00CC358C"/>
    <w:rsid w:val="00CC5E70"/>
    <w:rsid w:val="00CD230E"/>
    <w:rsid w:val="00CE3E8B"/>
    <w:rsid w:val="00CE5127"/>
    <w:rsid w:val="00CE6D8D"/>
    <w:rsid w:val="00CF28B5"/>
    <w:rsid w:val="00CF3819"/>
    <w:rsid w:val="00CF5120"/>
    <w:rsid w:val="00D10C6E"/>
    <w:rsid w:val="00D2529E"/>
    <w:rsid w:val="00D35B3D"/>
    <w:rsid w:val="00D3699F"/>
    <w:rsid w:val="00D43454"/>
    <w:rsid w:val="00D45523"/>
    <w:rsid w:val="00D45657"/>
    <w:rsid w:val="00D57735"/>
    <w:rsid w:val="00D624B1"/>
    <w:rsid w:val="00D62530"/>
    <w:rsid w:val="00D65166"/>
    <w:rsid w:val="00D65CEF"/>
    <w:rsid w:val="00D66097"/>
    <w:rsid w:val="00D81C65"/>
    <w:rsid w:val="00D84406"/>
    <w:rsid w:val="00D90908"/>
    <w:rsid w:val="00D921DD"/>
    <w:rsid w:val="00D92533"/>
    <w:rsid w:val="00D9748C"/>
    <w:rsid w:val="00D97830"/>
    <w:rsid w:val="00DA3470"/>
    <w:rsid w:val="00DA65A6"/>
    <w:rsid w:val="00DB0AEC"/>
    <w:rsid w:val="00DB6549"/>
    <w:rsid w:val="00DC278D"/>
    <w:rsid w:val="00DC3625"/>
    <w:rsid w:val="00DC5180"/>
    <w:rsid w:val="00DD34BB"/>
    <w:rsid w:val="00DD3D21"/>
    <w:rsid w:val="00DF77AA"/>
    <w:rsid w:val="00E07822"/>
    <w:rsid w:val="00E07880"/>
    <w:rsid w:val="00E166DD"/>
    <w:rsid w:val="00E30BA1"/>
    <w:rsid w:val="00E33B8C"/>
    <w:rsid w:val="00E34EDE"/>
    <w:rsid w:val="00E35269"/>
    <w:rsid w:val="00E35657"/>
    <w:rsid w:val="00E43292"/>
    <w:rsid w:val="00E46298"/>
    <w:rsid w:val="00E476A8"/>
    <w:rsid w:val="00E5077B"/>
    <w:rsid w:val="00E509F8"/>
    <w:rsid w:val="00E54351"/>
    <w:rsid w:val="00E55316"/>
    <w:rsid w:val="00E5616F"/>
    <w:rsid w:val="00E56DB5"/>
    <w:rsid w:val="00E61467"/>
    <w:rsid w:val="00E70D04"/>
    <w:rsid w:val="00E71186"/>
    <w:rsid w:val="00E727F4"/>
    <w:rsid w:val="00E73035"/>
    <w:rsid w:val="00E733D3"/>
    <w:rsid w:val="00E73A82"/>
    <w:rsid w:val="00E73B27"/>
    <w:rsid w:val="00E75F6D"/>
    <w:rsid w:val="00E76FFC"/>
    <w:rsid w:val="00E82F3C"/>
    <w:rsid w:val="00E8586B"/>
    <w:rsid w:val="00E85F30"/>
    <w:rsid w:val="00E96910"/>
    <w:rsid w:val="00EA33CB"/>
    <w:rsid w:val="00EA438F"/>
    <w:rsid w:val="00EA57FC"/>
    <w:rsid w:val="00EB2720"/>
    <w:rsid w:val="00EB73E3"/>
    <w:rsid w:val="00EB750D"/>
    <w:rsid w:val="00EC039A"/>
    <w:rsid w:val="00EC3593"/>
    <w:rsid w:val="00ED3064"/>
    <w:rsid w:val="00ED414A"/>
    <w:rsid w:val="00ED501C"/>
    <w:rsid w:val="00EE4179"/>
    <w:rsid w:val="00EE45C2"/>
    <w:rsid w:val="00EF4DBE"/>
    <w:rsid w:val="00EF5C4B"/>
    <w:rsid w:val="00EF60CC"/>
    <w:rsid w:val="00EF7949"/>
    <w:rsid w:val="00F00686"/>
    <w:rsid w:val="00F03916"/>
    <w:rsid w:val="00F03E83"/>
    <w:rsid w:val="00F06E5E"/>
    <w:rsid w:val="00F13034"/>
    <w:rsid w:val="00F336EF"/>
    <w:rsid w:val="00F35CAF"/>
    <w:rsid w:val="00F405E7"/>
    <w:rsid w:val="00F44D73"/>
    <w:rsid w:val="00F5299C"/>
    <w:rsid w:val="00F5704A"/>
    <w:rsid w:val="00F63181"/>
    <w:rsid w:val="00F72902"/>
    <w:rsid w:val="00F82942"/>
    <w:rsid w:val="00F8462C"/>
    <w:rsid w:val="00F85AF0"/>
    <w:rsid w:val="00F91D60"/>
    <w:rsid w:val="00FA0787"/>
    <w:rsid w:val="00FA2957"/>
    <w:rsid w:val="00FA6FCA"/>
    <w:rsid w:val="00FB2922"/>
    <w:rsid w:val="00FC0980"/>
    <w:rsid w:val="00FC7B97"/>
    <w:rsid w:val="00FD41A9"/>
    <w:rsid w:val="00FD7C6A"/>
    <w:rsid w:val="00FE023B"/>
    <w:rsid w:val="00FE2D98"/>
    <w:rsid w:val="00FE3315"/>
    <w:rsid w:val="00FE3E52"/>
    <w:rsid w:val="00FE61C1"/>
    <w:rsid w:val="00FF78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6EA50BC"/>
  <w15:chartTrackingRefBased/>
  <w15:docId w15:val="{567FC1B4-1A37-4B65-8546-247D931F3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rsid w:val="00A854DA"/>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rsid w:val="00A854DA"/>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rsid w:val="00A854DA"/>
    <w:pPr>
      <w:ind w:left="851"/>
    </w:pPr>
  </w:style>
  <w:style w:type="paragraph" w:styleId="ListBullet3">
    <w:name w:val="List Bullet 3"/>
    <w:basedOn w:val="ListBullet2"/>
    <w:autoRedefine/>
    <w:pPr>
      <w:ind w:left="1135"/>
    </w:pPr>
  </w:style>
  <w:style w:type="paragraph" w:styleId="ListNumber">
    <w:name w:val="List Number"/>
    <w:basedOn w:val="List"/>
    <w:rsid w:val="00A854DA"/>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rsid w:val="00A854DA"/>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sid w:val="00A854DA"/>
    <w:rPr>
      <w:color w:val="FF0000"/>
    </w:rPr>
  </w:style>
  <w:style w:type="paragraph" w:styleId="List">
    <w:name w:val="List"/>
    <w:basedOn w:val="Normal"/>
    <w:pPr>
      <w:ind w:left="568" w:hanging="284"/>
    </w:pPr>
  </w:style>
  <w:style w:type="paragraph" w:styleId="ListBullet">
    <w:name w:val="List Bullet"/>
    <w:basedOn w:val="List"/>
    <w:autoRedefine/>
    <w:rsid w:val="00A854DA"/>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rsid w:val="00A854DA"/>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ＭＳ 明朝"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Char">
    <w:name w:val="B1 Char"/>
    <w:link w:val="B1"/>
    <w:locked/>
    <w:rsid w:val="00D97830"/>
    <w:rPr>
      <w:lang w:val="en-GB" w:eastAsia="ko-KR"/>
    </w:rPr>
  </w:style>
  <w:style w:type="character" w:customStyle="1" w:styleId="EQChar">
    <w:name w:val="EQ Char"/>
    <w:link w:val="EQ"/>
    <w:rsid w:val="00D97830"/>
    <w:rPr>
      <w:noProof/>
      <w:lang w:val="en-GB" w:eastAsia="ko-KR"/>
    </w:rPr>
  </w:style>
  <w:style w:type="character" w:customStyle="1" w:styleId="FooterChar">
    <w:name w:val="Footer Char"/>
    <w:link w:val="Footer"/>
    <w:uiPriority w:val="99"/>
    <w:rsid w:val="002F303E"/>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93211">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832257988">
      <w:bodyDiv w:val="1"/>
      <w:marLeft w:val="0"/>
      <w:marRight w:val="0"/>
      <w:marTop w:val="0"/>
      <w:marBottom w:val="0"/>
      <w:divBdr>
        <w:top w:val="none" w:sz="0" w:space="0" w:color="auto"/>
        <w:left w:val="none" w:sz="0" w:space="0" w:color="auto"/>
        <w:bottom w:val="none" w:sz="0" w:space="0" w:color="auto"/>
        <w:right w:val="none" w:sz="0" w:space="0" w:color="auto"/>
      </w:divBdr>
      <w:divsChild>
        <w:div w:id="906305820">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95734177">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31453435">
      <w:bodyDiv w:val="1"/>
      <w:marLeft w:val="0"/>
      <w:marRight w:val="0"/>
      <w:marTop w:val="0"/>
      <w:marBottom w:val="0"/>
      <w:divBdr>
        <w:top w:val="none" w:sz="0" w:space="0" w:color="auto"/>
        <w:left w:val="none" w:sz="0" w:space="0" w:color="auto"/>
        <w:bottom w:val="none" w:sz="0" w:space="0" w:color="auto"/>
        <w:right w:val="none" w:sz="0" w:space="0" w:color="auto"/>
      </w:divBdr>
    </w:div>
    <w:div w:id="1619802134">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1006778">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st.etsi.org/scripts/wa.exe?A2=3GPP_TSG_RAN_WG5;9851b1d6.2003A" TargetMode="External"/><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42E3B-6895-484B-8964-A035EBDCC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0B9A47-B703-4348-874F-EF12A440C8E2}">
  <ds:schemaRefs>
    <ds:schemaRef ds:uri="http://schemas.microsoft.com/sharepoint/v3/contenttype/forms"/>
  </ds:schemaRefs>
</ds:datastoreItem>
</file>

<file path=customXml/itemProps3.xml><?xml version="1.0" encoding="utf-8"?>
<ds:datastoreItem xmlns:ds="http://schemas.openxmlformats.org/officeDocument/2006/customXml" ds:itemID="{E35EE21A-EC8A-4B82-9767-9C473CBA38B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6157743-8F02-4692-8612-9B1E9DE6E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2305</Words>
  <Characters>11588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13866</CharactersWithSpaces>
  <SharedDoc>false</SharedDoc>
  <HLinks>
    <vt:vector size="6" baseType="variant">
      <vt:variant>
        <vt:i4>7864340</vt:i4>
      </vt:variant>
      <vt:variant>
        <vt:i4>0</vt:i4>
      </vt:variant>
      <vt:variant>
        <vt:i4>0</vt:i4>
      </vt:variant>
      <vt:variant>
        <vt:i4>5</vt:i4>
      </vt:variant>
      <vt:variant>
        <vt:lpwstr>https://list.etsi.org/scripts/wa.exe?A2=3GPP_TSG_RAN_WG5;9851b1d6.2003A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Valentin Gheorghiu</cp:lastModifiedBy>
  <cp:revision>3</cp:revision>
  <dcterms:created xsi:type="dcterms:W3CDTF">2020-03-11T22:21:00Z</dcterms:created>
  <dcterms:modified xsi:type="dcterms:W3CDTF">2020-03-11T22:34:00Z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AdHocReviewCycleID">
    <vt:i4>-1114750738</vt:i4>
  </property>
  <property fmtid="{D5CDD505-2E9C-101B-9397-08002B2CF9AE}" pid="4" name="_NewReviewCycle">
    <vt:lpwstr/>
  </property>
  <property fmtid="{D5CDD505-2E9C-101B-9397-08002B2CF9AE}" pid="5" name="_EmailSubject">
    <vt:lpwstr>Plenary slides and papers</vt:lpwstr>
  </property>
  <property fmtid="{D5CDD505-2E9C-101B-9397-08002B2CF9AE}" pid="6" name="_AuthorEmail">
    <vt:lpwstr>vgheorgh@qti.qualcomm.com</vt:lpwstr>
  </property>
  <property fmtid="{D5CDD505-2E9C-101B-9397-08002B2CF9AE}" pid="7" name="_AuthorEmailDisplayName">
    <vt:lpwstr>Valentin Gheorghiu</vt:lpwstr>
  </property>
  <property fmtid="{D5CDD505-2E9C-101B-9397-08002B2CF9AE}" pid="8" name="_ReviewingToolsShownOnce">
    <vt:lpwstr/>
  </property>
</Properties>
</file>