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E7C14" w14:textId="59BF96D9" w:rsidR="00037D89" w:rsidRPr="0027216F" w:rsidRDefault="00037D89" w:rsidP="00037D89">
      <w:pPr>
        <w:tabs>
          <w:tab w:val="center" w:pos="4536"/>
          <w:tab w:val="right" w:pos="7938"/>
          <w:tab w:val="right" w:pos="9639"/>
        </w:tabs>
        <w:ind w:right="2"/>
        <w:rPr>
          <w:rFonts w:ascii="Arial" w:hAnsi="Arial" w:cs="Arial"/>
          <w:b/>
          <w:bCs/>
          <w:sz w:val="28"/>
          <w:lang w:eastAsia="ko-KR"/>
        </w:rPr>
      </w:pPr>
      <w:bookmarkStart w:id="0" w:name="_Hlk145670493"/>
      <w:r w:rsidRPr="0027216F">
        <w:rPr>
          <w:rFonts w:ascii="Arial" w:hAnsi="Arial" w:cs="Arial"/>
          <w:b/>
          <w:bCs/>
          <w:sz w:val="28"/>
        </w:rPr>
        <w:t>3GPP TSG RAN</w:t>
      </w:r>
      <w:r w:rsidR="00971C7C">
        <w:rPr>
          <w:rFonts w:ascii="Arial" w:hAnsi="Arial" w:cs="Arial" w:hint="eastAsia"/>
          <w:b/>
          <w:bCs/>
          <w:sz w:val="28"/>
          <w:lang w:eastAsia="ko-KR"/>
        </w:rPr>
        <w:t xml:space="preserve"> Meeting </w:t>
      </w:r>
      <w:r w:rsidRPr="0027216F">
        <w:rPr>
          <w:rFonts w:ascii="Arial" w:hAnsi="Arial" w:cs="Arial"/>
          <w:b/>
          <w:bCs/>
          <w:sz w:val="28"/>
        </w:rPr>
        <w:t>#1</w:t>
      </w:r>
      <w:r w:rsidR="00AA7EC6">
        <w:rPr>
          <w:rFonts w:ascii="Arial" w:hAnsi="Arial" w:cs="Arial" w:hint="eastAsia"/>
          <w:b/>
          <w:bCs/>
          <w:sz w:val="28"/>
          <w:lang w:eastAsia="ko-KR"/>
        </w:rPr>
        <w:t>10</w:t>
      </w:r>
      <w:r w:rsidRPr="0027216F">
        <w:rPr>
          <w:rFonts w:ascii="Arial" w:hAnsi="Arial" w:cs="Arial"/>
          <w:b/>
          <w:bCs/>
          <w:sz w:val="28"/>
        </w:rPr>
        <w:tab/>
      </w:r>
      <w:r w:rsidRPr="0027216F">
        <w:rPr>
          <w:rFonts w:ascii="Arial" w:hAnsi="Arial" w:cs="Arial"/>
          <w:b/>
          <w:bCs/>
          <w:sz w:val="28"/>
        </w:rPr>
        <w:tab/>
      </w:r>
      <w:r w:rsidRPr="0027216F">
        <w:rPr>
          <w:rFonts w:ascii="Arial" w:hAnsi="Arial" w:cs="Arial"/>
          <w:b/>
          <w:bCs/>
          <w:sz w:val="28"/>
        </w:rPr>
        <w:tab/>
        <w:t>R</w:t>
      </w:r>
      <w:r w:rsidR="0027216F">
        <w:rPr>
          <w:rFonts w:ascii="Arial" w:hAnsi="Arial" w:cs="Arial" w:hint="eastAsia"/>
          <w:b/>
          <w:bCs/>
          <w:sz w:val="28"/>
          <w:lang w:eastAsia="ko-KR"/>
        </w:rPr>
        <w:t>P</w:t>
      </w:r>
      <w:r w:rsidRPr="0027216F">
        <w:rPr>
          <w:rFonts w:ascii="Arial" w:hAnsi="Arial" w:cs="Arial"/>
          <w:b/>
          <w:bCs/>
          <w:sz w:val="28"/>
        </w:rPr>
        <w:t>-25</w:t>
      </w:r>
      <w:r w:rsidR="008A2888">
        <w:rPr>
          <w:rFonts w:ascii="Arial" w:hAnsi="Arial" w:cs="Arial"/>
          <w:b/>
          <w:bCs/>
          <w:sz w:val="28"/>
          <w:lang w:eastAsia="ko-KR"/>
        </w:rPr>
        <w:t>3242</w:t>
      </w:r>
    </w:p>
    <w:p w14:paraId="23FAFD3C" w14:textId="3425705C" w:rsidR="00037D89" w:rsidRPr="0027216F" w:rsidRDefault="00AA7EC6" w:rsidP="00037D89">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eastAsia="ko-KR"/>
        </w:rPr>
        <w:t>Baltimore</w:t>
      </w:r>
      <w:r w:rsidR="00CD5FA7"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US</w:t>
      </w:r>
      <w:r w:rsidR="00CD5FA7"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Decem</w:t>
      </w:r>
      <w:r w:rsidR="00EE3796">
        <w:rPr>
          <w:rFonts w:ascii="Arial" w:eastAsiaTheme="minorEastAsia" w:hAnsi="Arial" w:cs="Arial" w:hint="eastAsia"/>
          <w:b/>
          <w:bCs/>
          <w:sz w:val="28"/>
          <w:lang w:eastAsia="ko-KR"/>
        </w:rPr>
        <w:t>ber</w:t>
      </w:r>
      <w:r w:rsidR="00CD5FA7" w:rsidRPr="00CD5FA7">
        <w:rPr>
          <w:rFonts w:ascii="Arial" w:eastAsiaTheme="minorEastAsia" w:hAnsi="Arial" w:cs="Arial"/>
          <w:b/>
          <w:bCs/>
          <w:sz w:val="28"/>
          <w:lang w:eastAsia="ko-KR"/>
        </w:rPr>
        <w:t xml:space="preserve"> </w:t>
      </w:r>
      <w:r w:rsidR="006A718A">
        <w:rPr>
          <w:rFonts w:ascii="Arial" w:eastAsiaTheme="minorEastAsia" w:hAnsi="Arial" w:cs="Arial" w:hint="eastAsia"/>
          <w:b/>
          <w:bCs/>
          <w:sz w:val="28"/>
          <w:lang w:eastAsia="ko-KR"/>
        </w:rPr>
        <w:t>8</w:t>
      </w:r>
      <w:r w:rsidR="00CD5FA7" w:rsidRPr="00CD5FA7">
        <w:rPr>
          <w:rFonts w:ascii="Arial" w:eastAsiaTheme="minorEastAsia" w:hAnsi="Arial" w:cs="Arial"/>
          <w:b/>
          <w:bCs/>
          <w:sz w:val="28"/>
          <w:lang w:eastAsia="ko-KR"/>
        </w:rPr>
        <w:t>-1</w:t>
      </w:r>
      <w:r w:rsidR="006A718A">
        <w:rPr>
          <w:rFonts w:ascii="Arial" w:eastAsiaTheme="minorEastAsia" w:hAnsi="Arial" w:cs="Arial" w:hint="eastAsia"/>
          <w:b/>
          <w:bCs/>
          <w:sz w:val="28"/>
          <w:lang w:eastAsia="ko-KR"/>
        </w:rPr>
        <w:t>1</w:t>
      </w:r>
      <w:r w:rsidR="00CD5FA7" w:rsidRPr="00CD5FA7">
        <w:rPr>
          <w:rFonts w:ascii="Arial" w:eastAsiaTheme="minorEastAsia" w:hAnsi="Arial" w:cs="Arial"/>
          <w:b/>
          <w:bCs/>
          <w:sz w:val="28"/>
          <w:lang w:eastAsia="ko-KR"/>
        </w:rPr>
        <w:t>, 2025</w:t>
      </w:r>
    </w:p>
    <w:bookmarkEnd w:id="0"/>
    <w:p w14:paraId="6ED1A4E9" w14:textId="77777777" w:rsidR="004607C3" w:rsidRPr="0027216F" w:rsidRDefault="004607C3">
      <w:pPr>
        <w:rPr>
          <w:rFonts w:ascii="Arial" w:hAnsi="Arial" w:cs="Arial"/>
        </w:rPr>
      </w:pPr>
    </w:p>
    <w:p w14:paraId="7BB06EBC" w14:textId="33CBDD0C"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AC5057">
        <w:rPr>
          <w:rFonts w:ascii="Arial" w:eastAsiaTheme="minorEastAsia" w:hAnsi="Arial" w:cs="Arial" w:hint="eastAsia"/>
          <w:b/>
          <w:bCs/>
          <w:color w:val="000000"/>
          <w:sz w:val="24"/>
          <w:lang w:eastAsia="ko-KR"/>
        </w:rPr>
        <w:t>8.2.1.</w:t>
      </w:r>
      <w:r w:rsidR="006C13E2">
        <w:rPr>
          <w:rFonts w:ascii="Arial" w:eastAsiaTheme="minorEastAsia" w:hAnsi="Arial" w:cs="Arial" w:hint="eastAsia"/>
          <w:b/>
          <w:bCs/>
          <w:color w:val="000000"/>
          <w:sz w:val="24"/>
          <w:lang w:eastAsia="ko-KR"/>
        </w:rPr>
        <w:t>1</w:t>
      </w:r>
      <w:r w:rsidR="004E31B5" w:rsidRPr="0027216F">
        <w:rPr>
          <w:rFonts w:ascii="Arial" w:eastAsia="SimSun" w:hAnsi="Arial" w:cs="Arial"/>
          <w:b/>
          <w:bCs/>
          <w:color w:val="000000"/>
          <w:sz w:val="24"/>
        </w:rPr>
        <w:t xml:space="preserve"> </w:t>
      </w:r>
    </w:p>
    <w:p w14:paraId="3A95184F" w14:textId="49A139E6"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553DFE" w:rsidRPr="00B26EAE">
        <w:rPr>
          <w:rFonts w:ascii="Arial" w:eastAsiaTheme="minorEastAsia" w:hAnsi="Arial" w:cs="Arial" w:hint="eastAsia"/>
          <w:b/>
          <w:bCs/>
          <w:color w:val="000000"/>
          <w:sz w:val="24"/>
          <w:lang w:eastAsia="ko-KR"/>
        </w:rPr>
        <w:t>View</w:t>
      </w:r>
      <w:r w:rsidR="00407ABB">
        <w:rPr>
          <w:rFonts w:ascii="Arial" w:eastAsiaTheme="minorEastAsia" w:hAnsi="Arial" w:cs="Arial" w:hint="eastAsia"/>
          <w:b/>
          <w:bCs/>
          <w:color w:val="000000"/>
          <w:sz w:val="24"/>
          <w:lang w:eastAsia="ko-KR"/>
        </w:rPr>
        <w:t>s</w:t>
      </w:r>
      <w:r w:rsidR="00553DFE" w:rsidRPr="00B26EAE">
        <w:rPr>
          <w:rFonts w:ascii="Arial" w:eastAsiaTheme="minorEastAsia" w:hAnsi="Arial" w:cs="Arial" w:hint="eastAsia"/>
          <w:b/>
          <w:bCs/>
          <w:color w:val="000000"/>
          <w:sz w:val="24"/>
          <w:lang w:eastAsia="ko-KR"/>
        </w:rPr>
        <w:t xml:space="preserve"> on </w:t>
      </w:r>
      <w:r w:rsidR="009E35E5" w:rsidRPr="00B26EAE">
        <w:rPr>
          <w:rFonts w:ascii="Arial" w:eastAsiaTheme="minorEastAsia" w:hAnsi="Arial" w:cs="Arial" w:hint="eastAsia"/>
          <w:b/>
          <w:bCs/>
          <w:color w:val="000000"/>
          <w:sz w:val="24"/>
          <w:lang w:eastAsia="ko-KR"/>
        </w:rPr>
        <w:t>6G</w:t>
      </w:r>
      <w:r w:rsidR="004B7F00" w:rsidRPr="00B26EAE">
        <w:rPr>
          <w:rFonts w:ascii="Arial" w:eastAsiaTheme="minorEastAsia" w:hAnsi="Arial" w:cs="Arial" w:hint="eastAsia"/>
          <w:b/>
          <w:bCs/>
          <w:color w:val="000000"/>
          <w:sz w:val="24"/>
          <w:lang w:eastAsia="ko-KR"/>
        </w:rPr>
        <w:t xml:space="preserve"> </w:t>
      </w:r>
      <w:r w:rsidR="006B6AE7">
        <w:rPr>
          <w:rFonts w:ascii="Arial" w:eastAsiaTheme="minorEastAsia" w:hAnsi="Arial" w:cs="Arial" w:hint="eastAsia"/>
          <w:b/>
          <w:bCs/>
          <w:color w:val="000000"/>
          <w:sz w:val="24"/>
          <w:lang w:eastAsia="ko-KR"/>
        </w:rPr>
        <w:t xml:space="preserve">key </w:t>
      </w:r>
      <w:r w:rsidR="006C13E2">
        <w:rPr>
          <w:rFonts w:ascii="Arial" w:eastAsiaTheme="minorEastAsia" w:hAnsi="Arial" w:cs="Arial" w:hint="eastAsia"/>
          <w:b/>
          <w:bCs/>
          <w:color w:val="000000"/>
          <w:sz w:val="24"/>
          <w:lang w:eastAsia="ko-KR"/>
        </w:rPr>
        <w:t>performance indicators</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44A8E4F5"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1E2EE3">
      <w:pPr>
        <w:pStyle w:val="1"/>
        <w:keepLines/>
        <w:pBdr>
          <w:top w:val="single" w:sz="12" w:space="3" w:color="auto"/>
        </w:pBdr>
        <w:spacing w:before="240" w:after="180"/>
        <w:ind w:left="1134" w:right="0" w:hanging="1134"/>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6EC6B4A0" w14:textId="4FBE99CD" w:rsidR="00B035A8" w:rsidRDefault="008255E3" w:rsidP="00E64058">
      <w:pPr>
        <w:pStyle w:val="paragraph"/>
        <w:spacing w:beforeAutospacing="0" w:after="180" w:afterAutospacing="0" w:line="276" w:lineRule="auto"/>
        <w:jc w:val="both"/>
        <w:textAlignment w:val="baseline"/>
        <w:rPr>
          <w:rFonts w:ascii="Times" w:hAnsi="Times" w:cs="Times"/>
          <w:sz w:val="20"/>
          <w:szCs w:val="20"/>
        </w:rPr>
      </w:pPr>
      <w:r>
        <w:rPr>
          <w:rFonts w:ascii="Times" w:hAnsi="Times" w:cs="Times" w:hint="eastAsia"/>
          <w:sz w:val="20"/>
          <w:szCs w:val="20"/>
        </w:rPr>
        <w:t>At RAN#10</w:t>
      </w:r>
      <w:r w:rsidR="00370E08">
        <w:rPr>
          <w:rFonts w:ascii="Times" w:hAnsi="Times" w:cs="Times" w:hint="eastAsia"/>
          <w:sz w:val="20"/>
          <w:szCs w:val="20"/>
        </w:rPr>
        <w:t>9</w:t>
      </w:r>
      <w:r>
        <w:rPr>
          <w:rFonts w:ascii="Times" w:hAnsi="Times" w:cs="Times" w:hint="eastAsia"/>
          <w:sz w:val="20"/>
          <w:szCs w:val="20"/>
        </w:rPr>
        <w:t xml:space="preserve">, </w:t>
      </w:r>
      <w:proofErr w:type="spellStart"/>
      <w:r w:rsidR="00370E08" w:rsidRPr="00370E08">
        <w:rPr>
          <w:rFonts w:ascii="Times" w:hAnsi="Times" w:cs="Times"/>
          <w:sz w:val="20"/>
          <w:szCs w:val="20"/>
        </w:rPr>
        <w:t>pCR</w:t>
      </w:r>
      <w:proofErr w:type="spellEnd"/>
      <w:r w:rsidR="00370E08" w:rsidRPr="00370E08">
        <w:rPr>
          <w:rFonts w:ascii="Times" w:hAnsi="Times" w:cs="Times"/>
          <w:sz w:val="20"/>
          <w:szCs w:val="20"/>
        </w:rPr>
        <w:t xml:space="preserve"> for </w:t>
      </w:r>
      <w:r w:rsidR="00370E08">
        <w:rPr>
          <w:rFonts w:ascii="Times" w:hAnsi="Times" w:cs="Times" w:hint="eastAsia"/>
          <w:sz w:val="20"/>
          <w:szCs w:val="20"/>
        </w:rPr>
        <w:t xml:space="preserve">TR </w:t>
      </w:r>
      <w:r w:rsidR="00370E08" w:rsidRPr="00370E08">
        <w:rPr>
          <w:rFonts w:ascii="Times" w:hAnsi="Times" w:cs="Times"/>
          <w:sz w:val="20"/>
          <w:szCs w:val="20"/>
        </w:rPr>
        <w:t xml:space="preserve">38.914 on </w:t>
      </w:r>
      <w:r w:rsidR="006B6AE7">
        <w:rPr>
          <w:rFonts w:ascii="Times" w:hAnsi="Times" w:cs="Times" w:hint="eastAsia"/>
          <w:sz w:val="20"/>
          <w:szCs w:val="20"/>
        </w:rPr>
        <w:t>k</w:t>
      </w:r>
      <w:r w:rsidR="006B6AE7" w:rsidRPr="00370E08">
        <w:rPr>
          <w:rFonts w:ascii="Times" w:hAnsi="Times" w:cs="Times"/>
          <w:sz w:val="20"/>
          <w:szCs w:val="20"/>
        </w:rPr>
        <w:t xml:space="preserve">ey </w:t>
      </w:r>
      <w:r w:rsidR="00370E08" w:rsidRPr="00370E08">
        <w:rPr>
          <w:rFonts w:ascii="Times" w:hAnsi="Times" w:cs="Times"/>
          <w:sz w:val="20"/>
          <w:szCs w:val="20"/>
        </w:rPr>
        <w:t>performance indicators</w:t>
      </w:r>
      <w:r w:rsidR="00370E08">
        <w:rPr>
          <w:rFonts w:ascii="Times" w:hAnsi="Times" w:cs="Times" w:hint="eastAsia"/>
          <w:sz w:val="20"/>
          <w:szCs w:val="20"/>
        </w:rPr>
        <w:t>(KPIs)</w:t>
      </w:r>
      <w:r w:rsidR="00370E08" w:rsidRPr="00370E08">
        <w:rPr>
          <w:rFonts w:ascii="Times" w:hAnsi="Times" w:cs="Times"/>
          <w:sz w:val="20"/>
          <w:szCs w:val="20"/>
        </w:rPr>
        <w:t xml:space="preserve"> for 6G</w:t>
      </w:r>
      <w:r w:rsidR="00370E08" w:rsidRPr="00370E08">
        <w:rPr>
          <w:rFonts w:ascii="Times" w:hAnsi="Times" w:cs="Times"/>
          <w:sz w:val="20"/>
          <w:szCs w:val="20"/>
          <w:lang w:val="en-GB"/>
        </w:rPr>
        <w:t xml:space="preserve"> based on the latest ITU working document </w:t>
      </w:r>
      <w:r w:rsidR="00B035A8">
        <w:rPr>
          <w:rFonts w:ascii="Times" w:hAnsi="Times" w:cs="Times" w:hint="eastAsia"/>
          <w:sz w:val="20"/>
          <w:szCs w:val="20"/>
        </w:rPr>
        <w:t xml:space="preserve"> has been approved </w:t>
      </w:r>
      <w:r w:rsidR="00FC39F2">
        <w:rPr>
          <w:rFonts w:ascii="Times" w:hAnsi="Times" w:cs="Times" w:hint="eastAsia"/>
          <w:sz w:val="20"/>
          <w:szCs w:val="20"/>
        </w:rPr>
        <w:t>as</w:t>
      </w:r>
      <w:r w:rsidR="00FC39F2">
        <w:rPr>
          <w:rFonts w:ascii="Times" w:hAnsi="Times" w:cs="Times"/>
          <w:sz w:val="20"/>
          <w:szCs w:val="20"/>
        </w:rPr>
        <w:t xml:space="preserve"> follows</w:t>
      </w:r>
      <w:r w:rsidR="00B035A8">
        <w:rPr>
          <w:rFonts w:ascii="Times" w:hAnsi="Times" w:cs="Times" w:hint="eastAsia"/>
          <w:sz w:val="20"/>
          <w:szCs w:val="20"/>
        </w:rPr>
        <w:t xml:space="preserve"> [</w:t>
      </w:r>
      <w:r w:rsidR="00370E08">
        <w:rPr>
          <w:rFonts w:ascii="Times" w:hAnsi="Times" w:cs="Times" w:hint="eastAsia"/>
          <w:sz w:val="20"/>
          <w:szCs w:val="20"/>
        </w:rPr>
        <w:t>2</w:t>
      </w:r>
      <w:r w:rsidR="00B035A8">
        <w:rPr>
          <w:rFonts w:ascii="Times" w:hAnsi="Times" w:cs="Times" w:hint="eastAsia"/>
          <w:sz w:val="20"/>
          <w:szCs w:val="20"/>
        </w:rPr>
        <w:t xml:space="preserve">]: </w:t>
      </w:r>
      <w:r w:rsidR="00B57996">
        <w:rPr>
          <w:rFonts w:ascii="Times" w:hAnsi="Times" w:cs="Times"/>
          <w:sz w:val="20"/>
          <w:szCs w:val="20"/>
        </w:rPr>
        <w:t xml:space="preserve"> </w:t>
      </w:r>
    </w:p>
    <w:tbl>
      <w:tblPr>
        <w:tblStyle w:val="ac"/>
        <w:tblW w:w="0" w:type="auto"/>
        <w:tblLook w:val="04A0" w:firstRow="1" w:lastRow="0" w:firstColumn="1" w:lastColumn="0" w:noHBand="0" w:noVBand="1"/>
      </w:tblPr>
      <w:tblGrid>
        <w:gridCol w:w="9855"/>
      </w:tblGrid>
      <w:tr w:rsidR="008255E3" w14:paraId="06005D9E" w14:textId="77777777" w:rsidTr="008255E3">
        <w:tc>
          <w:tcPr>
            <w:tcW w:w="9855" w:type="dxa"/>
          </w:tcPr>
          <w:p w14:paraId="44D1FDD7" w14:textId="77777777" w:rsidR="00370E08" w:rsidRPr="00370E08" w:rsidRDefault="00370E08" w:rsidP="00370E08">
            <w:pPr>
              <w:keepNext/>
              <w:keepLines/>
              <w:spacing w:before="120" w:after="180"/>
              <w:ind w:left="1134" w:hanging="1134"/>
              <w:outlineLvl w:val="2"/>
              <w:rPr>
                <w:rFonts w:ascii="Arial" w:eastAsia="SimSun" w:hAnsi="Arial"/>
                <w:sz w:val="28"/>
                <w:lang w:eastAsia="zh-CN"/>
              </w:rPr>
            </w:pPr>
            <w:bookmarkStart w:id="1" w:name="_Toc519780366"/>
            <w:r w:rsidRPr="00370E08">
              <w:rPr>
                <w:rFonts w:ascii="Arial" w:eastAsia="SimSun" w:hAnsi="Arial"/>
                <w:sz w:val="28"/>
                <w:lang w:eastAsia="zh-CN"/>
              </w:rPr>
              <w:t>5.1.1</w:t>
            </w:r>
            <w:r w:rsidRPr="00370E08">
              <w:rPr>
                <w:rFonts w:ascii="Arial" w:eastAsia="SimSun" w:hAnsi="Arial"/>
                <w:sz w:val="28"/>
                <w:lang w:eastAsia="zh-CN"/>
              </w:rPr>
              <w:tab/>
            </w:r>
            <w:bookmarkEnd w:id="1"/>
            <w:r w:rsidRPr="00370E08">
              <w:rPr>
                <w:rFonts w:ascii="Arial" w:eastAsia="SimSun" w:hAnsi="Arial"/>
                <w:sz w:val="28"/>
                <w:lang w:eastAsia="zh-CN"/>
              </w:rPr>
              <w:t>Peak data rate</w:t>
            </w:r>
          </w:p>
          <w:p w14:paraId="232395BC" w14:textId="03A41A4B" w:rsidR="00370E08" w:rsidRPr="00370E08" w:rsidRDefault="00370E08" w:rsidP="00370E08">
            <w:pPr>
              <w:spacing w:after="180"/>
              <w:rPr>
                <w:rFonts w:eastAsia="SimSun"/>
              </w:rPr>
            </w:pPr>
            <w:r w:rsidRPr="00370E08">
              <w:rPr>
                <w:rFonts w:eastAsia="SimSun"/>
                <w:lang w:eastAsia="zh-CN"/>
              </w:rPr>
              <w:t>[</w:t>
            </w:r>
            <w:r w:rsidRPr="00370E08">
              <w:rPr>
                <w:rFonts w:eastAsia="SimSun"/>
              </w:rPr>
              <w:t xml:space="preserve">Peak </w:t>
            </w:r>
            <w:r w:rsidRPr="00370E08">
              <w:rPr>
                <w:rFonts w:eastAsia="SimSun"/>
                <w:lang w:eastAsia="zh-CN"/>
              </w:rPr>
              <w:t>d</w:t>
            </w:r>
            <w:r w:rsidRPr="00370E08">
              <w:rPr>
                <w:rFonts w:eastAsia="SimSun"/>
              </w:rPr>
              <w:t xml:space="preserve">ata </w:t>
            </w:r>
            <w:r w:rsidRPr="00370E08">
              <w:rPr>
                <w:rFonts w:eastAsia="SimSun"/>
                <w:lang w:eastAsia="zh-CN"/>
              </w:rPr>
              <w:t>r</w:t>
            </w:r>
            <w:r w:rsidRPr="00370E08">
              <w:rPr>
                <w:rFonts w:eastAsia="SimSun"/>
              </w:rPr>
              <w:t xml:space="preserve">ate is the theoretical maximum </w:t>
            </w:r>
            <w:r w:rsidRPr="00370E08">
              <w:rPr>
                <w:rFonts w:eastAsia="SimSun"/>
                <w:lang w:eastAsia="zh-CN"/>
              </w:rPr>
              <w:t>[</w:t>
            </w:r>
            <w:r w:rsidRPr="00370E08">
              <w:rPr>
                <w:rFonts w:eastAsia="SimSun"/>
              </w:rPr>
              <w:t>achievable</w:t>
            </w:r>
            <w:r w:rsidRPr="00370E08">
              <w:rPr>
                <w:rFonts w:eastAsia="SimSun"/>
                <w:lang w:eastAsia="zh-CN"/>
              </w:rPr>
              <w:t>]</w:t>
            </w:r>
            <w:r w:rsidRPr="00370E08">
              <w:rPr>
                <w:rFonts w:eastAsia="SimSun"/>
              </w:rPr>
              <w:t xml:space="preserv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2733FFE0" w14:textId="77777777" w:rsidR="00370E08" w:rsidRPr="00370E08" w:rsidRDefault="00370E08" w:rsidP="00370E08">
            <w:pPr>
              <w:spacing w:after="180"/>
              <w:rPr>
                <w:rFonts w:eastAsia="SimSun"/>
                <w:szCs w:val="24"/>
                <w:lang w:eastAsia="zh-CN"/>
              </w:rPr>
            </w:pPr>
            <w:r w:rsidRPr="00370E08">
              <w:rPr>
                <w:rFonts w:eastAsia="SimSun"/>
              </w:rPr>
              <w:t xml:space="preserve">Peak data rate is defined for a single mobile station. In a single band, it is related to the peak spectral efficiency in that band. </w:t>
            </w:r>
            <w:r w:rsidRPr="00370E08">
              <w:rPr>
                <w:rFonts w:eastAsia="SimSun"/>
                <w:color w:val="000000"/>
                <w:lang w:eastAsia="zh-CN"/>
              </w:rPr>
              <w:t>L</w:t>
            </w:r>
            <w:r w:rsidRPr="00370E08">
              <w:rPr>
                <w:rFonts w:eastAsia="SimSun"/>
                <w:color w:val="000000"/>
              </w:rPr>
              <w:t>et W denote the</w:t>
            </w:r>
            <w:r w:rsidRPr="00370E08">
              <w:rPr>
                <w:rFonts w:eastAsia="SimSun"/>
                <w:color w:val="000000"/>
                <w:lang w:eastAsia="zh-CN"/>
              </w:rPr>
              <w:t xml:space="preserve"> </w:t>
            </w:r>
            <w:r w:rsidRPr="00370E08">
              <w:rPr>
                <w:rFonts w:eastAsia="SimSun"/>
                <w:color w:val="000000"/>
              </w:rPr>
              <w:t>channel bandwidth and</w:t>
            </w:r>
            <w:r w:rsidRPr="00370E08">
              <w:rPr>
                <w:rFonts w:eastAsia="SimSun"/>
                <w:color w:val="000000"/>
                <w:lang w:eastAsia="zh-CN"/>
              </w:rPr>
              <w:t xml:space="preserve"> </w:t>
            </w:r>
            <w:r w:rsidRPr="00370E08">
              <w:rPr>
                <w:rFonts w:eastAsia="SimSun"/>
              </w:rPr>
              <w:fldChar w:fldCharType="begin"/>
            </w:r>
            <w:r w:rsidRPr="00370E08">
              <w:rPr>
                <w:rFonts w:eastAsia="SimSun"/>
              </w:rPr>
              <w:fldChar w:fldCharType="end"/>
            </w:r>
            <w:proofErr w:type="spellStart"/>
            <w:r w:rsidRPr="00370E08">
              <w:rPr>
                <w:rFonts w:eastAsia="SimSun"/>
              </w:rPr>
              <w:t>SE</w:t>
            </w:r>
            <w:r w:rsidRPr="00370E08">
              <w:rPr>
                <w:rFonts w:eastAsia="SimSun"/>
                <w:vertAlign w:val="subscript"/>
              </w:rPr>
              <w:t>p</w:t>
            </w:r>
            <w:proofErr w:type="spellEnd"/>
            <w:r w:rsidRPr="00370E08">
              <w:rPr>
                <w:rFonts w:eastAsia="SimSun"/>
                <w:color w:val="000000"/>
                <w:lang w:eastAsia="zh-CN"/>
              </w:rPr>
              <w:t xml:space="preserve"> denote the </w:t>
            </w:r>
            <w:r w:rsidRPr="00370E08">
              <w:rPr>
                <w:rFonts w:eastAsia="SimSun"/>
                <w:lang w:eastAsia="zh-CN"/>
              </w:rPr>
              <w:t>p</w:t>
            </w:r>
            <w:r w:rsidRPr="00370E08">
              <w:rPr>
                <w:rFonts w:eastAsia="SimSun"/>
              </w:rPr>
              <w:t>eak spectral efficiency in that band</w:t>
            </w:r>
            <w:r w:rsidRPr="00370E08">
              <w:rPr>
                <w:rFonts w:eastAsia="SimSun"/>
                <w:lang w:eastAsia="zh-CN"/>
              </w:rPr>
              <w:t>. Then the p</w:t>
            </w:r>
            <w:r w:rsidRPr="00370E08">
              <w:rPr>
                <w:rFonts w:eastAsia="SimSun"/>
              </w:rPr>
              <w:t>eak data rate</w:t>
            </w:r>
            <w:r w:rsidRPr="00370E08">
              <w:rPr>
                <w:rFonts w:eastAsia="SimSun"/>
                <w:lang w:eastAsia="zh-CN"/>
              </w:rPr>
              <w:t xml:space="preserve"> </w:t>
            </w:r>
            <w:r w:rsidRPr="00370E08">
              <w:rPr>
                <w:rFonts w:eastAsia="SimSun"/>
              </w:rPr>
              <w:t>R</w:t>
            </w:r>
            <w:r w:rsidRPr="00370E08">
              <w:rPr>
                <w:rFonts w:eastAsia="SimSun"/>
                <w:vertAlign w:val="subscript"/>
              </w:rPr>
              <w:t>p</w:t>
            </w:r>
            <w:r w:rsidRPr="00370E08">
              <w:rPr>
                <w:rFonts w:eastAsia="SimSun"/>
              </w:rPr>
              <w:t xml:space="preserve"> </w:t>
            </w:r>
            <w:r w:rsidRPr="00370E08">
              <w:rPr>
                <w:rFonts w:eastAsia="SimSun"/>
                <w:lang w:eastAsia="zh-CN"/>
              </w:rPr>
              <w:t>is given by:</w:t>
            </w:r>
          </w:p>
          <w:p w14:paraId="10EBFF28" w14:textId="77777777" w:rsidR="00370E08" w:rsidRPr="00370E08" w:rsidRDefault="00370E08" w:rsidP="00370E08">
            <w:pPr>
              <w:keepLines/>
              <w:tabs>
                <w:tab w:val="center" w:pos="4536"/>
                <w:tab w:val="right" w:pos="9072"/>
              </w:tabs>
              <w:spacing w:after="180"/>
              <w:jc w:val="center"/>
              <w:rPr>
                <w:rFonts w:eastAsia="SimSun"/>
                <w:lang w:eastAsia="zh-CN"/>
              </w:rPr>
            </w:pPr>
            <w:r w:rsidRPr="00370E08">
              <w:rPr>
                <w:rFonts w:eastAsia="SimSun"/>
              </w:rPr>
              <w:t>R</w:t>
            </w:r>
            <w:r w:rsidRPr="00370E08">
              <w:rPr>
                <w:rFonts w:eastAsia="SimSun"/>
                <w:vertAlign w:val="subscript"/>
              </w:rPr>
              <w:t>p</w:t>
            </w:r>
            <w:r w:rsidRPr="00370E08">
              <w:rPr>
                <w:rFonts w:eastAsia="SimSun"/>
              </w:rPr>
              <w:t xml:space="preserve"> = W × </w:t>
            </w:r>
            <w:proofErr w:type="spellStart"/>
            <w:r w:rsidRPr="00370E08">
              <w:rPr>
                <w:rFonts w:eastAsia="SimSun"/>
              </w:rPr>
              <w:t>SE</w:t>
            </w:r>
            <w:r w:rsidRPr="00370E08">
              <w:rPr>
                <w:rFonts w:eastAsia="SimSun"/>
                <w:vertAlign w:val="subscript"/>
              </w:rPr>
              <w:t>p</w:t>
            </w:r>
            <w:proofErr w:type="spellEnd"/>
          </w:p>
          <w:p w14:paraId="48A85FA6" w14:textId="77777777" w:rsidR="00370E08" w:rsidRPr="00370E08" w:rsidRDefault="00370E08" w:rsidP="00370E08">
            <w:pPr>
              <w:spacing w:after="180"/>
              <w:rPr>
                <w:rFonts w:eastAsia="SimSun"/>
              </w:rPr>
            </w:pPr>
            <w:r w:rsidRPr="00370E08">
              <w:rPr>
                <w:rFonts w:eastAsia="SimSun"/>
              </w:rPr>
              <w:t>Peak spectral efficiency and available bandwidth may have different values in different frequency ranges. In case bandwidth is aggregated across multiple bands, the peak data rate will be summed over the bands.</w:t>
            </w:r>
            <w:r w:rsidRPr="00370E08">
              <w:rPr>
                <w:rFonts w:eastAsia="SimSun"/>
                <w:i/>
                <w:iCs/>
              </w:rPr>
              <w:t xml:space="preserve"> </w:t>
            </w:r>
            <w:r w:rsidRPr="00370E08">
              <w:rPr>
                <w:rFonts w:eastAsia="SimSun"/>
              </w:rPr>
              <w:t xml:space="preserve">Therefore, if bandwidth is aggregated across </w:t>
            </w:r>
            <w:r w:rsidRPr="00370E08">
              <w:rPr>
                <w:rFonts w:eastAsia="SimSun"/>
                <w:i/>
              </w:rPr>
              <w:t>Q</w:t>
            </w:r>
            <w:r w:rsidRPr="00370E08">
              <w:rPr>
                <w:rFonts w:eastAsia="SimSun"/>
              </w:rPr>
              <w:t xml:space="preserve"> bands</w:t>
            </w:r>
            <w:r w:rsidRPr="00370E08">
              <w:rPr>
                <w:rFonts w:eastAsia="SimSun"/>
                <w:lang w:eastAsia="zh-CN"/>
              </w:rPr>
              <w:t>,</w:t>
            </w:r>
            <w:r w:rsidRPr="00370E08">
              <w:rPr>
                <w:rFonts w:eastAsia="SimSun"/>
              </w:rPr>
              <w:t xml:space="preserve"> then the total peak data rate is</w:t>
            </w:r>
          </w:p>
          <w:p w14:paraId="7E6A2D08" w14:textId="77777777" w:rsidR="00370E08" w:rsidRPr="00370E08" w:rsidRDefault="00370E08" w:rsidP="00370E08">
            <w:pPr>
              <w:keepLines/>
              <w:tabs>
                <w:tab w:val="center" w:pos="4536"/>
                <w:tab w:val="right" w:pos="9072"/>
              </w:tabs>
              <w:spacing w:after="180"/>
              <w:jc w:val="center"/>
              <w:rPr>
                <w:rFonts w:eastAsia="SimSun"/>
                <w:vertAlign w:val="subscript"/>
              </w:rPr>
            </w:pPr>
            <m:oMath>
              <m:r>
                <w:rPr>
                  <w:rFonts w:ascii="Cambria Math" w:eastAsia="SimSun" w:hAnsi="Cambria Math"/>
                </w:rPr>
                <m:t>R</m:t>
              </m:r>
              <m:r>
                <m:rPr>
                  <m:sty m:val="p"/>
                </m:rPr>
                <w:rPr>
                  <w:rFonts w:ascii="Cambria Math" w:eastAsia="SimSun" w:hAnsi="Cambria Math"/>
                </w:rPr>
                <m:t>=</m:t>
              </m:r>
              <m:nary>
                <m:naryPr>
                  <m:chr m:val="∑"/>
                  <m:limLoc m:val="undOvr"/>
                  <m:ctrlPr>
                    <w:rPr>
                      <w:rFonts w:ascii="Cambria Math" w:eastAsia="SimSun" w:hAnsi="Cambria Math"/>
                    </w:rPr>
                  </m:ctrlPr>
                </m:naryPr>
                <m:sub>
                  <m:r>
                    <w:rPr>
                      <w:rFonts w:ascii="Cambria Math" w:eastAsia="SimSun" w:hAnsi="Cambria Math"/>
                    </w:rPr>
                    <m:t>i</m:t>
                  </m:r>
                  <m:r>
                    <m:rPr>
                      <m:sty m:val="p"/>
                    </m:rPr>
                    <w:rPr>
                      <w:rFonts w:ascii="Cambria Math" w:eastAsia="SimSun" w:hAnsi="Cambria Math"/>
                    </w:rPr>
                    <m:t>=1</m:t>
                  </m:r>
                </m:sub>
                <m:sup>
                  <m:r>
                    <w:rPr>
                      <w:rFonts w:ascii="Cambria Math" w:eastAsia="SimSun" w:hAnsi="Cambria Math"/>
                    </w:rPr>
                    <m:t>Q</m:t>
                  </m:r>
                </m:sup>
                <m:e>
                  <m:r>
                    <m:rPr>
                      <m:sty m:val="p"/>
                    </m:rPr>
                    <w:rPr>
                      <w:rFonts w:ascii="Cambria Math" w:eastAsia="SimSun" w:hAnsi="Cambria Math"/>
                    </w:rPr>
                    <m:t xml:space="preserve">  </m:t>
                  </m:r>
                </m:e>
              </m:nary>
            </m:oMath>
            <w:r w:rsidRPr="00370E08">
              <w:rPr>
                <w:rFonts w:eastAsia="SimSun"/>
              </w:rPr>
              <w:t>W</w:t>
            </w:r>
            <w:r w:rsidRPr="00370E08">
              <w:rPr>
                <w:rFonts w:eastAsia="SimSun"/>
                <w:sz w:val="32"/>
                <w:vertAlign w:val="subscript"/>
              </w:rPr>
              <w:t>i</w:t>
            </w:r>
            <w:r w:rsidRPr="00370E08">
              <w:rPr>
                <w:rFonts w:eastAsia="SimSun"/>
              </w:rPr>
              <w:t xml:space="preserve"> × </w:t>
            </w:r>
            <w:proofErr w:type="spellStart"/>
            <w:r w:rsidRPr="00370E08">
              <w:rPr>
                <w:rFonts w:eastAsia="SimSun"/>
              </w:rPr>
              <w:t>SE</w:t>
            </w:r>
            <w:r w:rsidRPr="00370E08">
              <w:rPr>
                <w:rFonts w:eastAsia="SimSun"/>
                <w:sz w:val="22"/>
              </w:rPr>
              <w:t>p</w:t>
            </w:r>
            <w:r w:rsidRPr="00370E08">
              <w:rPr>
                <w:rFonts w:eastAsia="SimSun"/>
                <w:sz w:val="32"/>
                <w:vertAlign w:val="subscript"/>
              </w:rPr>
              <w:t>i</w:t>
            </w:r>
            <w:proofErr w:type="spellEnd"/>
          </w:p>
          <w:p w14:paraId="4A4E81EB" w14:textId="77777777" w:rsidR="00370E08" w:rsidRPr="00370E08" w:rsidRDefault="00370E08" w:rsidP="00370E08">
            <w:pPr>
              <w:spacing w:after="180"/>
              <w:rPr>
                <w:rFonts w:eastAsia="SimSun"/>
              </w:rPr>
            </w:pPr>
            <w:r w:rsidRPr="00370E08">
              <w:rPr>
                <w:rFonts w:eastAsia="SimSun"/>
              </w:rPr>
              <w:t>where W</w:t>
            </w:r>
            <w:r w:rsidRPr="00370E08">
              <w:rPr>
                <w:rFonts w:eastAsia="SimSun"/>
                <w:vertAlign w:val="subscript"/>
              </w:rPr>
              <w:t>i</w:t>
            </w:r>
            <w:r w:rsidRPr="00370E08">
              <w:rPr>
                <w:rFonts w:eastAsia="SimSun"/>
              </w:rPr>
              <w:t xml:space="preserve"> and </w:t>
            </w:r>
            <w:proofErr w:type="spellStart"/>
            <w:r w:rsidRPr="00370E08">
              <w:rPr>
                <w:rFonts w:eastAsia="SimSun"/>
              </w:rPr>
              <w:t>SEp</w:t>
            </w:r>
            <w:r w:rsidRPr="00370E08">
              <w:rPr>
                <w:rFonts w:eastAsia="SimSun"/>
                <w:vertAlign w:val="subscript"/>
              </w:rPr>
              <w:t>i</w:t>
            </w:r>
            <w:proofErr w:type="spellEnd"/>
            <w:r w:rsidRPr="00370E08">
              <w:rPr>
                <w:rFonts w:eastAsia="SimSun"/>
              </w:rPr>
              <w:t xml:space="preserve"> (</w:t>
            </w:r>
            <w:proofErr w:type="spellStart"/>
            <w:r w:rsidRPr="00370E08">
              <w:rPr>
                <w:rFonts w:eastAsia="SimSun"/>
              </w:rPr>
              <w:t>i</w:t>
            </w:r>
            <w:proofErr w:type="spellEnd"/>
            <w:r w:rsidRPr="00370E08">
              <w:rPr>
                <w:rFonts w:eastAsia="SimSun"/>
              </w:rPr>
              <w:t xml:space="preserve"> = 1,</w:t>
            </w:r>
            <w:r w:rsidRPr="00370E08">
              <w:rPr>
                <w:rFonts w:eastAsia="SimSun"/>
                <w:lang w:eastAsia="zh-CN"/>
              </w:rPr>
              <w:t xml:space="preserve"> </w:t>
            </w:r>
            <w:r w:rsidRPr="00370E08">
              <w:rPr>
                <w:rFonts w:eastAsia="SimSun"/>
              </w:rPr>
              <w:t>…</w:t>
            </w:r>
            <w:r w:rsidRPr="00370E08">
              <w:rPr>
                <w:rFonts w:eastAsia="SimSun"/>
                <w:lang w:eastAsia="zh-CN"/>
              </w:rPr>
              <w:t xml:space="preserve">, </w:t>
            </w:r>
            <w:r w:rsidRPr="00370E08">
              <w:rPr>
                <w:rFonts w:eastAsia="SimSun"/>
              </w:rPr>
              <w:t xml:space="preserve">Q) are the component bandwidths and </w:t>
            </w:r>
            <w:r w:rsidRPr="00370E08">
              <w:rPr>
                <w:rFonts w:eastAsia="SimSun"/>
                <w:lang w:eastAsia="zh-CN"/>
              </w:rPr>
              <w:t>s</w:t>
            </w:r>
            <w:r w:rsidRPr="00370E08">
              <w:rPr>
                <w:rFonts w:eastAsia="SimSun"/>
              </w:rPr>
              <w:t>pectral efficiencies respectively.</w:t>
            </w:r>
          </w:p>
          <w:p w14:paraId="40DAF182" w14:textId="77777777" w:rsidR="00370E08" w:rsidRPr="00370E08" w:rsidRDefault="00370E08" w:rsidP="00370E08">
            <w:pPr>
              <w:spacing w:after="180"/>
              <w:rPr>
                <w:rFonts w:eastAsia="SimSun"/>
              </w:rPr>
            </w:pPr>
            <w:r w:rsidRPr="00370E08">
              <w:rPr>
                <w:rFonts w:eastAsia="SimSun"/>
              </w:rPr>
              <w:t>The minimum requirements for peak data rate are as follows:</w:t>
            </w:r>
          </w:p>
          <w:p w14:paraId="2A6FD99A" w14:textId="77777777" w:rsidR="00370E08" w:rsidRPr="00370E08" w:rsidRDefault="00370E08" w:rsidP="00370E08">
            <w:pPr>
              <w:spacing w:after="180"/>
              <w:ind w:left="568" w:hanging="284"/>
              <w:rPr>
                <w:rFonts w:eastAsia="SimSun"/>
                <w:lang w:val="en-US"/>
              </w:rPr>
            </w:pPr>
            <w:r w:rsidRPr="00370E08">
              <w:rPr>
                <w:rFonts w:eastAsia="SimSun"/>
                <w:lang w:val="en-US"/>
              </w:rPr>
              <w:t>–</w:t>
            </w:r>
            <w:r w:rsidRPr="00370E08">
              <w:rPr>
                <w:rFonts w:eastAsia="SimSun"/>
                <w:lang w:val="en-US"/>
              </w:rPr>
              <w:tab/>
              <w:t xml:space="preserve">Downlink peak data rate is </w:t>
            </w:r>
            <w:r w:rsidRPr="00370E08">
              <w:rPr>
                <w:rFonts w:eastAsia="FangSong"/>
                <w:bCs/>
                <w:lang w:val="en-US" w:eastAsia="zh-CN"/>
              </w:rPr>
              <w:t>TBD</w:t>
            </w:r>
            <w:r w:rsidRPr="00370E08">
              <w:rPr>
                <w:rFonts w:eastAsia="SimSun"/>
                <w:lang w:val="en-US"/>
              </w:rPr>
              <w:t xml:space="preserve"> Gbit/s.</w:t>
            </w:r>
          </w:p>
          <w:p w14:paraId="1FFBA677" w14:textId="77777777" w:rsidR="00370E08" w:rsidRPr="00370E08" w:rsidRDefault="00370E08" w:rsidP="00370E08">
            <w:pPr>
              <w:spacing w:after="180"/>
              <w:ind w:left="568" w:hanging="284"/>
              <w:rPr>
                <w:rFonts w:eastAsia="SimSun"/>
                <w:lang w:val="en-US" w:eastAsia="zh-CN"/>
              </w:rPr>
            </w:pPr>
            <w:r w:rsidRPr="00370E08">
              <w:rPr>
                <w:rFonts w:eastAsia="SimSun"/>
                <w:lang w:val="en-US"/>
              </w:rPr>
              <w:t>–</w:t>
            </w:r>
            <w:r w:rsidRPr="00370E08">
              <w:rPr>
                <w:rFonts w:eastAsia="SimSun"/>
                <w:lang w:val="en-US"/>
              </w:rPr>
              <w:tab/>
              <w:t xml:space="preserve">Uplink peak data rate is </w:t>
            </w:r>
            <w:r w:rsidRPr="00370E08">
              <w:rPr>
                <w:rFonts w:eastAsia="FangSong"/>
                <w:bCs/>
                <w:lang w:val="en-US" w:eastAsia="zh-CN"/>
              </w:rPr>
              <w:t>TBD</w:t>
            </w:r>
            <w:r w:rsidRPr="00370E08">
              <w:rPr>
                <w:rFonts w:eastAsia="SimSun"/>
                <w:lang w:val="en-US"/>
              </w:rPr>
              <w:t xml:space="preserve"> Gbit/s.</w:t>
            </w:r>
            <w:r w:rsidRPr="00370E08">
              <w:rPr>
                <w:rFonts w:eastAsia="SimSun"/>
                <w:lang w:val="en-US" w:eastAsia="zh-CN"/>
              </w:rPr>
              <w:t>]</w:t>
            </w:r>
          </w:p>
          <w:p w14:paraId="3702EB0F" w14:textId="4F308832" w:rsidR="00370E08" w:rsidRPr="00370E08" w:rsidRDefault="00370E08" w:rsidP="00E64058">
            <w:pPr>
              <w:overflowPunct w:val="0"/>
              <w:autoSpaceDE w:val="0"/>
              <w:autoSpaceDN w:val="0"/>
              <w:adjustRightInd w:val="0"/>
              <w:contextualSpacing/>
              <w:jc w:val="both"/>
              <w:textAlignment w:val="baseline"/>
              <w:rPr>
                <w:lang w:val="en-US" w:eastAsia="ko-KR"/>
              </w:rPr>
            </w:pPr>
            <w:r>
              <w:rPr>
                <w:lang w:val="en-US" w:eastAsia="ko-KR"/>
              </w:rPr>
              <w:t>…</w:t>
            </w:r>
          </w:p>
        </w:tc>
      </w:tr>
    </w:tbl>
    <w:p w14:paraId="1F70AAC5" w14:textId="77777777" w:rsidR="00352BA9" w:rsidRPr="00352BA9" w:rsidRDefault="00352BA9" w:rsidP="00352BA9">
      <w:pPr>
        <w:pStyle w:val="paragraph"/>
        <w:spacing w:beforeAutospacing="0" w:after="180" w:afterAutospacing="0" w:line="276" w:lineRule="auto"/>
        <w:jc w:val="both"/>
        <w:textAlignment w:val="baseline"/>
        <w:rPr>
          <w:rFonts w:ascii="Times" w:hAnsi="Times" w:cs="Times"/>
          <w:sz w:val="20"/>
          <w:szCs w:val="20"/>
        </w:rPr>
      </w:pPr>
      <w:r w:rsidRPr="00352BA9">
        <w:rPr>
          <w:rFonts w:ascii="Times" w:hAnsi="Times" w:cs="Times"/>
          <w:sz w:val="20"/>
          <w:szCs w:val="20"/>
        </w:rPr>
        <w:t xml:space="preserve">As reflected in the discussions captured in the previous </w:t>
      </w:r>
      <w:proofErr w:type="spellStart"/>
      <w:r w:rsidRPr="00352BA9">
        <w:rPr>
          <w:rFonts w:ascii="Times" w:hAnsi="Times" w:cs="Times"/>
          <w:sz w:val="20"/>
          <w:szCs w:val="20"/>
        </w:rPr>
        <w:t>pCR</w:t>
      </w:r>
      <w:proofErr w:type="spellEnd"/>
      <w:r w:rsidRPr="00352BA9">
        <w:rPr>
          <w:rFonts w:ascii="Times" w:hAnsi="Times" w:cs="Times"/>
          <w:sz w:val="20"/>
          <w:szCs w:val="20"/>
        </w:rPr>
        <w:t>, additional work is still required to reach agreement on how the Peak Data Rate should be defined or represented. Likewise, the topic of Coverage was not sufficiently addressed during the RAN#109 meeting, and no clear consensus was reached on the appropriate metric or evaluation methodology.</w:t>
      </w:r>
    </w:p>
    <w:p w14:paraId="405416EA" w14:textId="2E7A9464" w:rsidR="00352BA9" w:rsidRPr="00352BA9" w:rsidRDefault="00352BA9" w:rsidP="00352BA9">
      <w:pPr>
        <w:pStyle w:val="paragraph"/>
        <w:spacing w:beforeAutospacing="0" w:after="180" w:afterAutospacing="0" w:line="276" w:lineRule="auto"/>
        <w:jc w:val="both"/>
        <w:textAlignment w:val="baseline"/>
        <w:rPr>
          <w:rFonts w:ascii="Times" w:hAnsi="Times" w:cs="Times"/>
          <w:sz w:val="20"/>
          <w:szCs w:val="20"/>
        </w:rPr>
      </w:pPr>
      <w:r w:rsidRPr="00352BA9">
        <w:rPr>
          <w:rFonts w:ascii="Times" w:hAnsi="Times" w:cs="Times"/>
          <w:sz w:val="20"/>
          <w:szCs w:val="20"/>
        </w:rPr>
        <w:t xml:space="preserve">Therefore, through this contribution, we </w:t>
      </w:r>
      <w:r w:rsidR="006B6AE7">
        <w:rPr>
          <w:rFonts w:ascii="Times" w:hAnsi="Times" w:cs="Times" w:hint="eastAsia"/>
          <w:sz w:val="20"/>
          <w:szCs w:val="20"/>
        </w:rPr>
        <w:t>present our view on</w:t>
      </w:r>
      <w:r w:rsidRPr="00352BA9">
        <w:rPr>
          <w:rFonts w:ascii="Times" w:hAnsi="Times" w:cs="Times"/>
          <w:sz w:val="20"/>
          <w:szCs w:val="20"/>
        </w:rPr>
        <w:t xml:space="preserve"> both Peak Data Rate and Coverage, with the objective of facilitating further discussion and helping the group converge toward a consistent and technically sound approach for 6G performance characterization.</w:t>
      </w:r>
    </w:p>
    <w:p w14:paraId="7E010EBA" w14:textId="77777777" w:rsidR="00CE546B" w:rsidRDefault="005D20F1" w:rsidP="006229B5">
      <w:pPr>
        <w:pStyle w:val="1"/>
        <w:keepLines/>
        <w:pBdr>
          <w:top w:val="single" w:sz="12" w:space="3" w:color="auto"/>
        </w:pBdr>
        <w:tabs>
          <w:tab w:val="left" w:pos="4423"/>
        </w:tabs>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0D7F2AC4" w14:textId="19ED58D8" w:rsidR="00977E77" w:rsidRPr="00D514CF" w:rsidRDefault="00CE546B" w:rsidP="0046771E">
      <w:pPr>
        <w:pStyle w:val="2"/>
        <w:spacing w:after="180"/>
        <w:rPr>
          <w:lang w:eastAsia="ko-KR"/>
        </w:rPr>
      </w:pPr>
      <w:r>
        <w:rPr>
          <w:rFonts w:hint="eastAsia"/>
          <w:lang w:eastAsia="ko-KR"/>
        </w:rPr>
        <w:t xml:space="preserve">2.1 Peak </w:t>
      </w:r>
      <w:r w:rsidR="0046771E">
        <w:rPr>
          <w:rFonts w:hint="eastAsia"/>
          <w:lang w:eastAsia="ko-KR"/>
        </w:rPr>
        <w:t>d</w:t>
      </w:r>
      <w:r>
        <w:rPr>
          <w:rFonts w:hint="eastAsia"/>
          <w:lang w:eastAsia="ko-KR"/>
        </w:rPr>
        <w:t xml:space="preserve">ata </w:t>
      </w:r>
      <w:r w:rsidR="0046771E">
        <w:rPr>
          <w:rFonts w:hint="eastAsia"/>
          <w:lang w:eastAsia="ko-KR"/>
        </w:rPr>
        <w:t>r</w:t>
      </w:r>
      <w:r>
        <w:rPr>
          <w:rFonts w:hint="eastAsia"/>
          <w:lang w:eastAsia="ko-KR"/>
        </w:rPr>
        <w:t>ate</w:t>
      </w:r>
      <w:r w:rsidR="006229B5">
        <w:rPr>
          <w:rFonts w:eastAsia="SimSun"/>
        </w:rPr>
        <w:tab/>
      </w:r>
    </w:p>
    <w:p w14:paraId="381006C6" w14:textId="77777777" w:rsidR="0046771E" w:rsidRPr="0046771E" w:rsidRDefault="0046771E" w:rsidP="0046771E">
      <w:pPr>
        <w:spacing w:after="120"/>
        <w:jc w:val="both"/>
        <w:rPr>
          <w:lang w:val="en-US" w:eastAsia="ko-KR"/>
        </w:rPr>
      </w:pPr>
      <w:r w:rsidRPr="0046771E">
        <w:rPr>
          <w:lang w:val="en-US" w:eastAsia="ko-KR"/>
        </w:rPr>
        <w:t xml:space="preserve">To compute the Peak Data Rate, both the available frequency bandwidth and the corresponding Peak Spectral Efficiency need to be specified. However, determining a concrete Peak Data Rate value for 6G remains infeasible at this stage, as the </w:t>
      </w:r>
      <w:r w:rsidRPr="0046771E">
        <w:rPr>
          <w:lang w:val="en-US" w:eastAsia="ko-KR"/>
        </w:rPr>
        <w:lastRenderedPageBreak/>
        <w:t>IMT-2030 candidate spectrum has not yet been finalized. The identification and allocation of 6G frequency ranges will only be clarified after WRC-27, leaving the bandwidth assumptions highly uncertain until then.</w:t>
      </w:r>
    </w:p>
    <w:p w14:paraId="59E0B0FF" w14:textId="3179691D" w:rsidR="0046771E" w:rsidRPr="0046771E" w:rsidRDefault="0046771E" w:rsidP="006B6AE7">
      <w:pPr>
        <w:spacing w:after="120"/>
        <w:jc w:val="both"/>
        <w:rPr>
          <w:lang w:val="en-US" w:eastAsia="ko-KR"/>
        </w:rPr>
      </w:pPr>
      <w:r w:rsidRPr="0046771E">
        <w:rPr>
          <w:lang w:val="en-US" w:eastAsia="ko-KR"/>
        </w:rPr>
        <w:t xml:space="preserve">It is also noted that the current work on Peak Spectral Efficiency already incorporates the expected gains from major 6G technology enablers, including </w:t>
      </w:r>
      <w:r w:rsidR="006B6AE7">
        <w:rPr>
          <w:rFonts w:hint="eastAsia"/>
          <w:lang w:val="en-US" w:eastAsia="ko-KR"/>
        </w:rPr>
        <w:t xml:space="preserve">advancements of modulation and channel coding, # of layers, etc. </w:t>
      </w:r>
      <w:r w:rsidRPr="0046771E">
        <w:rPr>
          <w:lang w:val="en-US" w:eastAsia="ko-KR"/>
        </w:rPr>
        <w:t>These metrics already capture improvements driven by physical-layer innovations without requiring premature assumptions about spectrum availability.</w:t>
      </w:r>
    </w:p>
    <w:p w14:paraId="1BF30307" w14:textId="6B0FDFE0" w:rsidR="0046771E" w:rsidRPr="0046771E" w:rsidRDefault="0046771E" w:rsidP="0046771E">
      <w:pPr>
        <w:spacing w:after="120"/>
        <w:jc w:val="both"/>
        <w:rPr>
          <w:lang w:val="en-US" w:eastAsia="ko-KR"/>
        </w:rPr>
      </w:pPr>
      <w:r w:rsidRPr="0046771E">
        <w:rPr>
          <w:lang w:val="en-US" w:eastAsia="ko-KR"/>
        </w:rPr>
        <w:t xml:space="preserve">Given these uncertainties, specifying a numerical Peak Data Rate would not be technically justified and could unintentionally create unrealistic expectations for external stakeholders. The 5G experience further illustrates that the originally advertised Peak Data Rates have often been perceived as unattainable, and similar issues may arise again </w:t>
      </w:r>
      <w:r w:rsidR="006B6AE7">
        <w:rPr>
          <w:rFonts w:hint="eastAsia"/>
          <w:lang w:val="en-US" w:eastAsia="ko-KR"/>
        </w:rPr>
        <w:t xml:space="preserve">in 6G era </w:t>
      </w:r>
      <w:r w:rsidRPr="0046771E">
        <w:rPr>
          <w:lang w:val="en-US" w:eastAsia="ko-KR"/>
        </w:rPr>
        <w:t>if speculative numbers are included in early 6G documents.</w:t>
      </w:r>
    </w:p>
    <w:p w14:paraId="54C7D598" w14:textId="11A735DF" w:rsidR="0046771E" w:rsidRPr="0046771E" w:rsidRDefault="0046771E" w:rsidP="0046771E">
      <w:pPr>
        <w:spacing w:after="120"/>
        <w:jc w:val="both"/>
        <w:rPr>
          <w:lang w:val="en-US" w:eastAsia="ko-KR"/>
        </w:rPr>
      </w:pPr>
      <w:r w:rsidRPr="0046771E">
        <w:rPr>
          <w:lang w:val="en-US" w:eastAsia="ko-KR"/>
        </w:rPr>
        <w:t>Therefore, we propose the following options regarding the Peak Data Rate in the TR:</w:t>
      </w:r>
    </w:p>
    <w:p w14:paraId="0D5F7DB5" w14:textId="5ABACB1D" w:rsidR="0046771E" w:rsidRPr="00CB1A87" w:rsidRDefault="0046771E" w:rsidP="0046771E">
      <w:pPr>
        <w:pStyle w:val="Proposal"/>
        <w:numPr>
          <w:ilvl w:val="0"/>
          <w:numId w:val="23"/>
        </w:numPr>
        <w:tabs>
          <w:tab w:val="clear" w:pos="1701"/>
          <w:tab w:val="left" w:pos="1134"/>
        </w:tabs>
        <w:ind w:left="1701" w:hanging="1701"/>
        <w:rPr>
          <w:lang w:val="en-GB" w:eastAsia="ko-KR"/>
        </w:rPr>
      </w:pPr>
      <w:r>
        <w:rPr>
          <w:rFonts w:hint="eastAsia"/>
          <w:lang w:val="en-GB" w:eastAsia="ko-KR"/>
        </w:rPr>
        <w:t>W</w:t>
      </w:r>
      <w:r w:rsidRPr="0046771E">
        <w:rPr>
          <w:lang w:val="en-GB" w:eastAsia="ko-KR"/>
        </w:rPr>
        <w:t>e propose the following options regarding the Peak Data Rate in the TR:</w:t>
      </w:r>
      <w:r>
        <w:rPr>
          <w:rFonts w:hint="eastAsia"/>
          <w:lang w:val="en-GB" w:eastAsia="ko-KR"/>
        </w:rPr>
        <w:t xml:space="preserve"> </w:t>
      </w:r>
    </w:p>
    <w:p w14:paraId="115A0EF3" w14:textId="77777777" w:rsidR="0046771E" w:rsidRPr="0046771E" w:rsidRDefault="0046771E" w:rsidP="0046771E">
      <w:pPr>
        <w:numPr>
          <w:ilvl w:val="0"/>
          <w:numId w:val="26"/>
        </w:numPr>
        <w:spacing w:after="120"/>
        <w:jc w:val="both"/>
        <w:rPr>
          <w:lang w:val="en-US" w:eastAsia="ko-KR"/>
        </w:rPr>
      </w:pPr>
      <w:r w:rsidRPr="0046771E">
        <w:rPr>
          <w:b/>
          <w:bCs/>
          <w:lang w:val="en-US" w:eastAsia="ko-KR"/>
        </w:rPr>
        <w:t>Option 1:</w:t>
      </w:r>
      <w:r w:rsidRPr="0046771E">
        <w:rPr>
          <w:lang w:val="en-US" w:eastAsia="ko-KR"/>
        </w:rPr>
        <w:t xml:space="preserve"> Do not define a Peak Data Rate value at this stage, </w:t>
      </w:r>
      <w:r w:rsidRPr="0046771E">
        <w:rPr>
          <w:i/>
          <w:iCs/>
          <w:lang w:val="en-US" w:eastAsia="ko-KR"/>
        </w:rPr>
        <w:t>or</w:t>
      </w:r>
      <w:r w:rsidRPr="0046771E">
        <w:rPr>
          <w:lang w:val="en-US" w:eastAsia="ko-KR"/>
        </w:rPr>
        <w:t xml:space="preserve">, if the group believes a reference metric is still useful, designate it explicitly as a </w:t>
      </w:r>
      <w:r w:rsidRPr="0046771E">
        <w:rPr>
          <w:b/>
          <w:bCs/>
          <w:lang w:val="en-US" w:eastAsia="ko-KR"/>
        </w:rPr>
        <w:t>“Theoretical Peak Data Rate”</w:t>
      </w:r>
      <w:r w:rsidRPr="0046771E">
        <w:rPr>
          <w:lang w:val="en-US" w:eastAsia="ko-KR"/>
        </w:rPr>
        <w:t xml:space="preserve"> to clarify that it is based on hypothetical bandwidth assumptions and does not represent deployable performance.</w:t>
      </w:r>
    </w:p>
    <w:p w14:paraId="46FC34E0" w14:textId="6DA576F4" w:rsidR="0046771E" w:rsidRPr="0046771E" w:rsidRDefault="0046771E" w:rsidP="0046771E">
      <w:pPr>
        <w:numPr>
          <w:ilvl w:val="0"/>
          <w:numId w:val="26"/>
        </w:numPr>
        <w:spacing w:after="120"/>
        <w:jc w:val="both"/>
        <w:rPr>
          <w:lang w:val="en-US" w:eastAsia="ko-KR"/>
        </w:rPr>
      </w:pPr>
      <w:r w:rsidRPr="0046771E">
        <w:rPr>
          <w:b/>
          <w:bCs/>
          <w:lang w:val="en-US" w:eastAsia="ko-KR"/>
        </w:rPr>
        <w:t>Option 2:</w:t>
      </w:r>
      <w:r w:rsidRPr="0046771E">
        <w:rPr>
          <w:lang w:val="en-US" w:eastAsia="ko-KR"/>
        </w:rPr>
        <w:t xml:space="preserve"> If the group prefers to retain </w:t>
      </w:r>
      <w:r w:rsidR="006B6AE7">
        <w:rPr>
          <w:rFonts w:hint="eastAsia"/>
          <w:lang w:val="en-US" w:eastAsia="ko-KR"/>
        </w:rPr>
        <w:t xml:space="preserve">some figures for </w:t>
      </w:r>
      <w:r w:rsidRPr="0046771E">
        <w:rPr>
          <w:lang w:val="en-US" w:eastAsia="ko-KR"/>
        </w:rPr>
        <w:t>Peak Data Rate in the TR, the proponent shall provide a specific numerical proposal together with the explicit assumptions used (e.g., bandwidth, spectral efficiency), ensuring transparency and avoiding misleading interpretation.</w:t>
      </w:r>
    </w:p>
    <w:p w14:paraId="548562D8" w14:textId="62359CB7" w:rsidR="0046771E" w:rsidRDefault="0046771E" w:rsidP="0046771E">
      <w:pPr>
        <w:spacing w:after="120"/>
        <w:jc w:val="both"/>
        <w:rPr>
          <w:lang w:val="en-US" w:eastAsia="ko-KR"/>
        </w:rPr>
      </w:pPr>
      <w:r w:rsidRPr="0046771E">
        <w:rPr>
          <w:lang w:val="en-US" w:eastAsia="ko-KR"/>
        </w:rPr>
        <w:t>We believe the above approach</w:t>
      </w:r>
      <w:r w:rsidR="006B6AE7">
        <w:rPr>
          <w:rFonts w:hint="eastAsia"/>
          <w:lang w:val="en-US" w:eastAsia="ko-KR"/>
        </w:rPr>
        <w:t xml:space="preserve"> can</w:t>
      </w:r>
      <w:r w:rsidRPr="0046771E">
        <w:rPr>
          <w:lang w:val="en-US" w:eastAsia="ko-KR"/>
        </w:rPr>
        <w:t xml:space="preserve"> provide a more realistic and technically sound handling of Peak Data Rate while avoiding unnecessary speculation during the early phase of 6G standardization.</w:t>
      </w:r>
    </w:p>
    <w:p w14:paraId="2AE19B78" w14:textId="77777777" w:rsidR="0046771E" w:rsidRPr="0046771E" w:rsidRDefault="0046771E" w:rsidP="0046771E">
      <w:pPr>
        <w:spacing w:after="120"/>
        <w:jc w:val="both"/>
        <w:rPr>
          <w:lang w:val="en-US" w:eastAsia="ko-KR"/>
        </w:rPr>
      </w:pPr>
    </w:p>
    <w:p w14:paraId="5D033291" w14:textId="77777777" w:rsidR="0046771E" w:rsidRDefault="0046771E" w:rsidP="0046771E">
      <w:pPr>
        <w:pStyle w:val="2"/>
        <w:spacing w:after="180"/>
        <w:rPr>
          <w:lang w:eastAsia="ko-KR"/>
        </w:rPr>
      </w:pPr>
      <w:r>
        <w:rPr>
          <w:rFonts w:hint="eastAsia"/>
          <w:lang w:eastAsia="ko-KR"/>
        </w:rPr>
        <w:t>2.2 Coverage</w:t>
      </w:r>
    </w:p>
    <w:p w14:paraId="23000E46" w14:textId="1926C1A4" w:rsidR="00F43477" w:rsidRDefault="0046771E" w:rsidP="00E64058">
      <w:pPr>
        <w:spacing w:after="120"/>
        <w:jc w:val="both"/>
        <w:rPr>
          <w:lang w:eastAsia="ko-KR"/>
        </w:rPr>
      </w:pPr>
      <w:r w:rsidRPr="0046771E">
        <w:rPr>
          <w:lang w:val="en-US" w:eastAsia="ko-KR"/>
        </w:rPr>
        <w:t>Although “Coverage” is not currently defined as a KPI item, it continues to be an important topic of discussion within the group. In TR 38.914, the following statement has already been included:</w:t>
      </w:r>
    </w:p>
    <w:tbl>
      <w:tblPr>
        <w:tblStyle w:val="ac"/>
        <w:tblW w:w="0" w:type="auto"/>
        <w:tblLook w:val="04A0" w:firstRow="1" w:lastRow="0" w:firstColumn="1" w:lastColumn="0" w:noHBand="0" w:noVBand="1"/>
      </w:tblPr>
      <w:tblGrid>
        <w:gridCol w:w="9855"/>
      </w:tblGrid>
      <w:tr w:rsidR="00F43477" w14:paraId="5B146F65" w14:textId="77777777" w:rsidTr="00F43477">
        <w:tc>
          <w:tcPr>
            <w:tcW w:w="9855" w:type="dxa"/>
          </w:tcPr>
          <w:p w14:paraId="5D171F30" w14:textId="1321C04B" w:rsidR="00F43477" w:rsidRDefault="00F43477" w:rsidP="00E64058">
            <w:pPr>
              <w:spacing w:after="120"/>
              <w:jc w:val="both"/>
              <w:rPr>
                <w:lang w:eastAsia="ko-KR"/>
              </w:rPr>
            </w:pPr>
            <w:r w:rsidRPr="00F43477">
              <w:rPr>
                <w:lang w:eastAsia="ko-KR"/>
              </w:rPr>
              <w:t>Re-use of existing 5G mid-band (~3.5GHz) site grid for 6G deployments in at least around 7 GHz and targeting comparable coverage to 5G mid-band</w:t>
            </w:r>
          </w:p>
        </w:tc>
      </w:tr>
    </w:tbl>
    <w:p w14:paraId="5E925C1F" w14:textId="77777777" w:rsidR="00F43477" w:rsidRDefault="00F43477" w:rsidP="00E64058">
      <w:pPr>
        <w:spacing w:after="120"/>
        <w:jc w:val="both"/>
        <w:rPr>
          <w:lang w:eastAsia="ko-KR"/>
        </w:rPr>
      </w:pPr>
    </w:p>
    <w:p w14:paraId="06527C14" w14:textId="77777777" w:rsidR="0046771E" w:rsidRPr="0046771E" w:rsidRDefault="0046771E" w:rsidP="0046771E">
      <w:pPr>
        <w:spacing w:after="120"/>
        <w:jc w:val="both"/>
        <w:rPr>
          <w:lang w:val="en-US" w:eastAsia="ko-KR"/>
        </w:rPr>
      </w:pPr>
      <w:r w:rsidRPr="0046771E">
        <w:rPr>
          <w:lang w:val="en-US" w:eastAsia="ko-KR"/>
        </w:rPr>
        <w:t xml:space="preserve">Given this context, it is reasonable and practical to assess </w:t>
      </w:r>
      <w:r w:rsidRPr="0046771E">
        <w:rPr>
          <w:i/>
          <w:iCs/>
          <w:lang w:val="en-US" w:eastAsia="ko-KR"/>
        </w:rPr>
        <w:t>comparable coverage</w:t>
      </w:r>
      <w:r w:rsidRPr="0046771E">
        <w:rPr>
          <w:lang w:val="en-US" w:eastAsia="ko-KR"/>
        </w:rPr>
        <w:t xml:space="preserve"> using the same methodology that was applied for the 5G mid-band. Leveraging an established comparison framework will ensure consistency with prior IMT evaluations and facilitate a clearer understanding of 6G deployment expectations.</w:t>
      </w:r>
    </w:p>
    <w:p w14:paraId="256EAEEF" w14:textId="6F2BA80E" w:rsidR="0046771E" w:rsidRPr="0046771E" w:rsidRDefault="0046771E" w:rsidP="0046771E">
      <w:pPr>
        <w:spacing w:after="120"/>
        <w:jc w:val="both"/>
        <w:rPr>
          <w:lang w:val="en-US" w:eastAsia="ko-KR"/>
        </w:rPr>
      </w:pPr>
      <w:r w:rsidRPr="0046771E">
        <w:rPr>
          <w:lang w:val="en-US" w:eastAsia="ko-KR"/>
        </w:rPr>
        <w:t xml:space="preserve">In 5G, coverage was represented </w:t>
      </w:r>
      <w:r w:rsidR="00212580">
        <w:rPr>
          <w:rFonts w:hint="eastAsia"/>
          <w:lang w:val="en-US" w:eastAsia="ko-KR"/>
        </w:rPr>
        <w:t xml:space="preserve">by </w:t>
      </w:r>
      <w:r w:rsidRPr="0046771E">
        <w:rPr>
          <w:lang w:val="en-US" w:eastAsia="ko-KR"/>
        </w:rPr>
        <w:t xml:space="preserve">using the </w:t>
      </w:r>
      <w:r w:rsidRPr="0046771E">
        <w:rPr>
          <w:b/>
          <w:bCs/>
          <w:lang w:val="en-US" w:eastAsia="ko-KR"/>
        </w:rPr>
        <w:t>Maximum Coupling Loss (MCL)</w:t>
      </w:r>
      <w:r w:rsidRPr="0046771E">
        <w:rPr>
          <w:lang w:val="en-US" w:eastAsia="ko-KR"/>
        </w:rPr>
        <w:t xml:space="preserve"> metric. We understand that the group is currently discussing whether 6G coverage should be expressed using MCL or the alternative </w:t>
      </w:r>
      <w:r w:rsidRPr="0046771E">
        <w:rPr>
          <w:b/>
          <w:bCs/>
          <w:lang w:val="en-US" w:eastAsia="ko-KR"/>
        </w:rPr>
        <w:t>Maximum Path Loss (MPL)</w:t>
      </w:r>
      <w:r w:rsidRPr="0046771E">
        <w:rPr>
          <w:lang w:val="en-US" w:eastAsia="ko-KR"/>
        </w:rPr>
        <w:t xml:space="preserve"> metric. To the best of our knowledge, the definitions of these two metrics are as follows:</w:t>
      </w:r>
    </w:p>
    <w:p w14:paraId="2239CBFC" w14:textId="77777777" w:rsidR="0046771E" w:rsidRPr="0046771E" w:rsidRDefault="0046771E" w:rsidP="0046771E">
      <w:pPr>
        <w:numPr>
          <w:ilvl w:val="0"/>
          <w:numId w:val="27"/>
        </w:numPr>
        <w:spacing w:after="120"/>
        <w:jc w:val="both"/>
        <w:rPr>
          <w:lang w:val="en-US" w:eastAsia="ko-KR"/>
        </w:rPr>
      </w:pPr>
      <w:r w:rsidRPr="0046771E">
        <w:rPr>
          <w:b/>
          <w:bCs/>
          <w:lang w:val="en-US" w:eastAsia="ko-KR"/>
        </w:rPr>
        <w:t>MCL (Maximum Coupling Loss):</w:t>
      </w:r>
      <w:r w:rsidRPr="0046771E">
        <w:rPr>
          <w:lang w:val="en-US" w:eastAsia="ko-KR"/>
        </w:rPr>
        <w:t xml:space="preserve"> The difference between the transmit and receive power levels measured at the respective antenna ports, representing the coupling loss between the transmitting and receiving antennas.</w:t>
      </w:r>
    </w:p>
    <w:p w14:paraId="1E534F20" w14:textId="32278944" w:rsidR="0046771E" w:rsidRPr="0046771E" w:rsidRDefault="0046771E" w:rsidP="0046771E">
      <w:pPr>
        <w:numPr>
          <w:ilvl w:val="0"/>
          <w:numId w:val="27"/>
        </w:numPr>
        <w:spacing w:after="120"/>
        <w:jc w:val="both"/>
        <w:rPr>
          <w:lang w:val="en-US" w:eastAsia="ko-KR"/>
        </w:rPr>
      </w:pPr>
      <w:r w:rsidRPr="0046771E">
        <w:rPr>
          <w:b/>
          <w:bCs/>
          <w:lang w:val="en-US" w:eastAsia="ko-KR"/>
        </w:rPr>
        <w:t>MPL (Maximum Path Loss):</w:t>
      </w:r>
      <w:r w:rsidRPr="0046771E">
        <w:rPr>
          <w:lang w:val="en-US" w:eastAsia="ko-KR"/>
        </w:rPr>
        <w:t xml:space="preserve"> The maximum loss observed along the propagation path, accounting for various environmental factors affecting signal attenuation.</w:t>
      </w:r>
    </w:p>
    <w:p w14:paraId="7D0F4A86" w14:textId="77777777" w:rsidR="0046771E" w:rsidRPr="0046771E" w:rsidRDefault="0046771E" w:rsidP="0046771E">
      <w:pPr>
        <w:spacing w:after="120"/>
        <w:jc w:val="both"/>
        <w:rPr>
          <w:lang w:val="en-US" w:eastAsia="ko-KR"/>
        </w:rPr>
      </w:pPr>
      <w:r w:rsidRPr="0046771E">
        <w:rPr>
          <w:lang w:val="en-US" w:eastAsia="ko-KR"/>
        </w:rPr>
        <w:t>While both metrics can theoretically be used to characterize coverage, adopting MPL would introduce a new baseline that is not directly aligned with the methodology previously used for 5G. In contrast, maintaining MCL would ensure compatibility with established 5G coverage evaluations and simplify direct comparison, which is essential given the “comparable coverage” requirement stated in TR 38.914.</w:t>
      </w:r>
    </w:p>
    <w:p w14:paraId="108898A8" w14:textId="58A42E13" w:rsidR="0046771E" w:rsidRPr="00CB1A87" w:rsidRDefault="0046771E" w:rsidP="0046771E">
      <w:pPr>
        <w:pStyle w:val="Proposal"/>
        <w:numPr>
          <w:ilvl w:val="0"/>
          <w:numId w:val="23"/>
        </w:numPr>
        <w:tabs>
          <w:tab w:val="clear" w:pos="1701"/>
          <w:tab w:val="left" w:pos="1134"/>
        </w:tabs>
        <w:ind w:left="1134" w:hanging="1134"/>
        <w:rPr>
          <w:lang w:val="en-GB" w:eastAsia="ko-KR"/>
        </w:rPr>
      </w:pPr>
      <w:r w:rsidRPr="0046771E">
        <w:rPr>
          <w:lang w:val="en-GB" w:eastAsia="ko-KR"/>
        </w:rPr>
        <w:t>We propose that MCL, rather than MPL, be used for expressing 6G coverage, in order to maintain consistency with 5G mid-band evaluations.</w:t>
      </w:r>
      <w:r>
        <w:rPr>
          <w:rFonts w:hint="eastAsia"/>
          <w:lang w:val="en-GB" w:eastAsia="ko-KR"/>
        </w:rPr>
        <w:t xml:space="preserve"> </w:t>
      </w:r>
    </w:p>
    <w:p w14:paraId="0FD0EDA6" w14:textId="440946D5" w:rsidR="0046771E" w:rsidRPr="0046771E" w:rsidRDefault="0046771E" w:rsidP="0046771E">
      <w:pPr>
        <w:spacing w:after="120"/>
        <w:jc w:val="both"/>
        <w:rPr>
          <w:lang w:val="en-US" w:eastAsia="ko-KR"/>
        </w:rPr>
      </w:pPr>
      <w:r w:rsidRPr="0046771E">
        <w:rPr>
          <w:lang w:val="en-US" w:eastAsia="ko-KR"/>
        </w:rPr>
        <w:br/>
        <w:t>It should be noted that if a proponent provides strong and technically justified rationale for MPL, we do not intend to preclude such consideration. However, from a comparability and continuity perspective, MCL remains the preferred metric.</w:t>
      </w:r>
    </w:p>
    <w:p w14:paraId="5A8FC472" w14:textId="77777777" w:rsidR="0046771E" w:rsidRPr="0046771E" w:rsidRDefault="0046771E" w:rsidP="00E64058">
      <w:pPr>
        <w:spacing w:after="120"/>
        <w:jc w:val="both"/>
        <w:rPr>
          <w:lang w:val="en-US" w:eastAsia="ko-KR"/>
        </w:rPr>
      </w:pPr>
    </w:p>
    <w:p w14:paraId="4E86EC69" w14:textId="77777777" w:rsidR="0046771E" w:rsidRDefault="0046771E" w:rsidP="00E64058">
      <w:pPr>
        <w:spacing w:after="120"/>
        <w:jc w:val="both"/>
        <w:rPr>
          <w:lang w:eastAsia="ko-KR"/>
        </w:rPr>
      </w:pPr>
    </w:p>
    <w:p w14:paraId="0D73247A" w14:textId="77777777" w:rsidR="0046771E" w:rsidRDefault="0046771E" w:rsidP="00E64058">
      <w:pPr>
        <w:spacing w:after="120"/>
        <w:jc w:val="both"/>
        <w:rPr>
          <w:lang w:eastAsia="ko-KR"/>
        </w:rPr>
      </w:pPr>
    </w:p>
    <w:p w14:paraId="15495DE9" w14:textId="69C5BB64" w:rsidR="000D6DAE" w:rsidRDefault="000D6DAE" w:rsidP="000D6DAE">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lastRenderedPageBreak/>
        <w:t xml:space="preserve">3. </w:t>
      </w:r>
      <w:r w:rsidR="00352BA9">
        <w:rPr>
          <w:rFonts w:eastAsiaTheme="minorEastAsia" w:hint="eastAsia"/>
          <w:b w:val="0"/>
          <w:color w:val="000000"/>
          <w:sz w:val="36"/>
          <w:lang w:eastAsia="ko-KR"/>
        </w:rPr>
        <w:t>Conclusion</w:t>
      </w:r>
    </w:p>
    <w:p w14:paraId="569BE237" w14:textId="77777777" w:rsidR="00352BA9" w:rsidRPr="00B13A31" w:rsidRDefault="00352BA9" w:rsidP="00352BA9">
      <w:pPr>
        <w:pStyle w:val="paragraph"/>
        <w:spacing w:beforeAutospacing="0" w:after="180" w:afterAutospacing="0" w:line="276" w:lineRule="auto"/>
        <w:jc w:val="both"/>
        <w:textAlignment w:val="baseline"/>
        <w:rPr>
          <w:rFonts w:ascii="Times" w:hAnsi="Times" w:cs="Times"/>
          <w:sz w:val="20"/>
          <w:szCs w:val="20"/>
        </w:rPr>
      </w:pPr>
      <w:r w:rsidRPr="00B13A31">
        <w:rPr>
          <w:rFonts w:ascii="Times" w:hAnsi="Times" w:cs="Times"/>
          <w:sz w:val="20"/>
          <w:szCs w:val="20"/>
          <w:lang w:val="en-GB"/>
        </w:rPr>
        <w:t>In this contribution, the following proposals are provided.</w:t>
      </w:r>
    </w:p>
    <w:p w14:paraId="48C0BF0B" w14:textId="77777777" w:rsidR="0046771E" w:rsidRPr="00CB1A87" w:rsidRDefault="0046771E" w:rsidP="0046771E">
      <w:pPr>
        <w:pStyle w:val="Proposal"/>
        <w:numPr>
          <w:ilvl w:val="0"/>
          <w:numId w:val="28"/>
        </w:numPr>
        <w:tabs>
          <w:tab w:val="clear" w:pos="1701"/>
          <w:tab w:val="left" w:pos="1134"/>
        </w:tabs>
        <w:rPr>
          <w:lang w:val="en-GB" w:eastAsia="ko-KR"/>
        </w:rPr>
      </w:pPr>
      <w:r>
        <w:rPr>
          <w:rFonts w:hint="eastAsia"/>
          <w:lang w:val="en-GB" w:eastAsia="ko-KR"/>
        </w:rPr>
        <w:t>W</w:t>
      </w:r>
      <w:r w:rsidRPr="0046771E">
        <w:rPr>
          <w:lang w:val="en-GB" w:eastAsia="ko-KR"/>
        </w:rPr>
        <w:t>e propose the following options regarding the treatment of Peak Data Rate in the TR:</w:t>
      </w:r>
      <w:r>
        <w:rPr>
          <w:rFonts w:hint="eastAsia"/>
          <w:lang w:val="en-GB" w:eastAsia="ko-KR"/>
        </w:rPr>
        <w:t xml:space="preserve"> </w:t>
      </w:r>
    </w:p>
    <w:p w14:paraId="256DD37A" w14:textId="77777777" w:rsidR="0046771E" w:rsidRPr="0046771E" w:rsidRDefault="0046771E" w:rsidP="0046771E">
      <w:pPr>
        <w:numPr>
          <w:ilvl w:val="0"/>
          <w:numId w:val="26"/>
        </w:numPr>
        <w:spacing w:after="120"/>
        <w:jc w:val="both"/>
        <w:rPr>
          <w:lang w:val="en-US" w:eastAsia="ko-KR"/>
        </w:rPr>
      </w:pPr>
      <w:r w:rsidRPr="0046771E">
        <w:rPr>
          <w:b/>
          <w:bCs/>
          <w:lang w:val="en-US" w:eastAsia="ko-KR"/>
        </w:rPr>
        <w:t>Option 1:</w:t>
      </w:r>
      <w:r w:rsidRPr="0046771E">
        <w:rPr>
          <w:lang w:val="en-US" w:eastAsia="ko-KR"/>
        </w:rPr>
        <w:t xml:space="preserve"> Do not define a Peak Data Rate value at this stage, </w:t>
      </w:r>
      <w:r w:rsidRPr="0046771E">
        <w:rPr>
          <w:i/>
          <w:iCs/>
          <w:lang w:val="en-US" w:eastAsia="ko-KR"/>
        </w:rPr>
        <w:t>or</w:t>
      </w:r>
      <w:r w:rsidRPr="0046771E">
        <w:rPr>
          <w:lang w:val="en-US" w:eastAsia="ko-KR"/>
        </w:rPr>
        <w:t xml:space="preserve">, if the group believes a reference metric is still useful, designate it explicitly as a </w:t>
      </w:r>
      <w:r w:rsidRPr="0046771E">
        <w:rPr>
          <w:b/>
          <w:bCs/>
          <w:lang w:val="en-US" w:eastAsia="ko-KR"/>
        </w:rPr>
        <w:t>“Theoretical Peak Data Rate”</w:t>
      </w:r>
      <w:r w:rsidRPr="0046771E">
        <w:rPr>
          <w:lang w:val="en-US" w:eastAsia="ko-KR"/>
        </w:rPr>
        <w:t xml:space="preserve"> to clarify that it is based on hypothetical bandwidth assumptions and does not represent deployable performance.</w:t>
      </w:r>
    </w:p>
    <w:p w14:paraId="0156B7EE" w14:textId="77777777" w:rsidR="0046771E" w:rsidRPr="0046771E" w:rsidRDefault="0046771E" w:rsidP="0046771E">
      <w:pPr>
        <w:numPr>
          <w:ilvl w:val="0"/>
          <w:numId w:val="26"/>
        </w:numPr>
        <w:spacing w:after="120"/>
        <w:jc w:val="both"/>
        <w:rPr>
          <w:lang w:val="en-US" w:eastAsia="ko-KR"/>
        </w:rPr>
      </w:pPr>
      <w:r w:rsidRPr="0046771E">
        <w:rPr>
          <w:b/>
          <w:bCs/>
          <w:lang w:val="en-US" w:eastAsia="ko-KR"/>
        </w:rPr>
        <w:t>Option 2:</w:t>
      </w:r>
      <w:r w:rsidRPr="0046771E">
        <w:rPr>
          <w:lang w:val="en-US" w:eastAsia="ko-KR"/>
        </w:rPr>
        <w:t xml:space="preserve"> If the group prefers to retain a Peak Data Rate figure in the TR, the proponent shall provide a specific numerical proposal together with the explicit assumptions used (e.g., bandwidth, spectral efficiency), ensuring transparency and avoiding misleading interpretation.</w:t>
      </w:r>
    </w:p>
    <w:p w14:paraId="22012160" w14:textId="77777777" w:rsidR="000D6DAE" w:rsidRDefault="000D6DAE" w:rsidP="00E64058">
      <w:pPr>
        <w:spacing w:after="120"/>
        <w:jc w:val="both"/>
        <w:rPr>
          <w:lang w:eastAsia="ko-KR"/>
        </w:rPr>
      </w:pPr>
    </w:p>
    <w:p w14:paraId="4CE83470" w14:textId="77777777" w:rsidR="0046771E" w:rsidRPr="00CB1A87" w:rsidRDefault="0046771E" w:rsidP="00352BA9">
      <w:pPr>
        <w:pStyle w:val="Proposal"/>
        <w:numPr>
          <w:ilvl w:val="0"/>
          <w:numId w:val="29"/>
        </w:numPr>
        <w:tabs>
          <w:tab w:val="clear" w:pos="1701"/>
          <w:tab w:val="left" w:pos="1134"/>
        </w:tabs>
        <w:ind w:left="1134" w:hanging="1134"/>
        <w:rPr>
          <w:lang w:val="en-GB" w:eastAsia="ko-KR"/>
        </w:rPr>
      </w:pPr>
      <w:r w:rsidRPr="0046771E">
        <w:rPr>
          <w:lang w:val="en-GB" w:eastAsia="ko-KR"/>
        </w:rPr>
        <w:t>We propose that MCL, rather than MPL, be used for expressing 6G coverage, in order to maintain consistency with 5G mid-band evaluations.</w:t>
      </w:r>
      <w:r>
        <w:rPr>
          <w:rFonts w:hint="eastAsia"/>
          <w:lang w:val="en-GB" w:eastAsia="ko-KR"/>
        </w:rPr>
        <w:t xml:space="preserve"> </w:t>
      </w:r>
    </w:p>
    <w:p w14:paraId="700ED8B4" w14:textId="77777777" w:rsidR="005D20F1" w:rsidRPr="001D109A" w:rsidRDefault="005D20F1" w:rsidP="00E64058">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bookmarkStart w:id="2" w:name="_Ref77157032"/>
    <w:bookmarkStart w:id="3" w:name="_Ref174151459"/>
    <w:bookmarkStart w:id="4" w:name="_Ref189809556"/>
    <w:p w14:paraId="6D46A545" w14:textId="42A7B95F" w:rsidR="00225B24" w:rsidRPr="00F43477" w:rsidRDefault="00352BA9" w:rsidP="00E64058">
      <w:pPr>
        <w:pStyle w:val="a"/>
        <w:numPr>
          <w:ilvl w:val="0"/>
          <w:numId w:val="6"/>
        </w:numPr>
        <w:spacing w:after="120" w:line="259" w:lineRule="auto"/>
        <w:jc w:val="both"/>
        <w:rPr>
          <w:rFonts w:cs="Times"/>
          <w:b w:val="0"/>
          <w:bCs w:val="0"/>
        </w:rPr>
      </w:pPr>
      <w:r>
        <w:rPr>
          <w:rStyle w:val="ad"/>
          <w:rFonts w:cs="Times"/>
          <w:b w:val="0"/>
          <w:bCs w:val="0"/>
          <w:lang w:eastAsia="ko-KR"/>
        </w:rPr>
        <w:fldChar w:fldCharType="begin"/>
      </w:r>
      <w:r>
        <w:rPr>
          <w:rStyle w:val="ad"/>
          <w:rFonts w:cs="Times" w:hint="eastAsia"/>
          <w:b w:val="0"/>
          <w:bCs w:val="0"/>
          <w:lang w:eastAsia="ko-KR"/>
        </w:rPr>
        <w:instrText>HYPERLINK "https://www.3gpp.org/ftp/tsg_ran/TSG_RAN/TSGR_109/Docs/RP-252947.zip"</w:instrText>
      </w:r>
      <w:r>
        <w:rPr>
          <w:rStyle w:val="ad"/>
          <w:rFonts w:cs="Times"/>
          <w:b w:val="0"/>
          <w:bCs w:val="0"/>
          <w:lang w:eastAsia="ko-KR"/>
        </w:rPr>
      </w:r>
      <w:r>
        <w:rPr>
          <w:rStyle w:val="ad"/>
          <w:rFonts w:cs="Times"/>
          <w:b w:val="0"/>
          <w:bCs w:val="0"/>
          <w:lang w:eastAsia="ko-KR"/>
        </w:rPr>
        <w:fldChar w:fldCharType="separate"/>
      </w:r>
      <w:r w:rsidRPr="00352BA9">
        <w:rPr>
          <w:rStyle w:val="ad"/>
          <w:rFonts w:cs="Times" w:hint="eastAsia"/>
          <w:b w:val="0"/>
          <w:bCs w:val="0"/>
          <w:lang w:eastAsia="ko-KR"/>
        </w:rPr>
        <w:t>RP-252947</w:t>
      </w:r>
      <w:r>
        <w:rPr>
          <w:rStyle w:val="ad"/>
          <w:rFonts w:cs="Times"/>
          <w:b w:val="0"/>
          <w:bCs w:val="0"/>
          <w:lang w:eastAsia="ko-KR"/>
        </w:rPr>
        <w:fldChar w:fldCharType="end"/>
      </w:r>
      <w:r w:rsidR="00144316" w:rsidRPr="007E56C0">
        <w:rPr>
          <w:rFonts w:cs="Times"/>
        </w:rPr>
        <w:t xml:space="preserve">, </w:t>
      </w:r>
      <w:r w:rsidR="0027125A" w:rsidRPr="007E56C0">
        <w:rPr>
          <w:rFonts w:cs="Times"/>
          <w:b w:val="0"/>
          <w:bCs w:val="0"/>
          <w:lang w:eastAsia="ko-KR"/>
        </w:rPr>
        <w:t>“</w:t>
      </w:r>
      <w:proofErr w:type="spellStart"/>
      <w:r w:rsidRPr="00352BA9">
        <w:rPr>
          <w:rFonts w:cs="Times"/>
          <w:b w:val="0"/>
          <w:bCs w:val="0"/>
        </w:rPr>
        <w:t>pCR</w:t>
      </w:r>
      <w:proofErr w:type="spellEnd"/>
      <w:r w:rsidRPr="00352BA9">
        <w:rPr>
          <w:rFonts w:cs="Times"/>
          <w:b w:val="0"/>
          <w:bCs w:val="0"/>
        </w:rPr>
        <w:t xml:space="preserve"> for 38.914 on Key performance indicators for 6G</w:t>
      </w:r>
      <w:r w:rsidR="0027125A" w:rsidRPr="007E56C0">
        <w:rPr>
          <w:rFonts w:cs="Times"/>
          <w:b w:val="0"/>
          <w:bCs w:val="0"/>
          <w:lang w:eastAsia="ko-KR"/>
        </w:rPr>
        <w:t>”</w:t>
      </w:r>
      <w:r w:rsidR="00225B24" w:rsidRPr="007E56C0">
        <w:rPr>
          <w:rFonts w:eastAsia="맑은 고딕" w:cs="Times"/>
          <w:b w:val="0"/>
          <w:bCs w:val="0"/>
          <w:szCs w:val="20"/>
          <w:lang w:val="en-US"/>
        </w:rPr>
        <w:t xml:space="preserve">, </w:t>
      </w:r>
      <w:r w:rsidRPr="00352BA9">
        <w:rPr>
          <w:rFonts w:eastAsia="맑은 고딕" w:cs="Times"/>
          <w:b w:val="0"/>
          <w:bCs w:val="0"/>
          <w:szCs w:val="20"/>
          <w:lang w:val="en-US" w:eastAsia="ko-KR"/>
        </w:rPr>
        <w:t>CMCC (moderator)</w:t>
      </w:r>
      <w:r>
        <w:rPr>
          <w:rFonts w:eastAsia="맑은 고딕" w:cs="Times" w:hint="eastAsia"/>
          <w:b w:val="0"/>
          <w:bCs w:val="0"/>
          <w:szCs w:val="20"/>
          <w:lang w:val="en-US" w:eastAsia="ko-KR"/>
        </w:rPr>
        <w:t xml:space="preserve">, </w:t>
      </w:r>
      <w:r w:rsidR="00225B24" w:rsidRPr="007E56C0">
        <w:rPr>
          <w:rFonts w:eastAsia="맑은 고딕" w:cs="Times"/>
          <w:b w:val="0"/>
          <w:bCs w:val="0"/>
          <w:szCs w:val="20"/>
          <w:lang w:val="en-US"/>
        </w:rPr>
        <w:t>RAN#1</w:t>
      </w:r>
      <w:r w:rsidR="00225B24" w:rsidRPr="007E56C0">
        <w:rPr>
          <w:rFonts w:eastAsia="맑은 고딕" w:cs="Times"/>
          <w:b w:val="0"/>
          <w:bCs w:val="0"/>
          <w:szCs w:val="20"/>
          <w:lang w:val="en-US" w:eastAsia="ko-KR"/>
        </w:rPr>
        <w:t>0</w:t>
      </w:r>
      <w:r>
        <w:rPr>
          <w:rFonts w:eastAsia="맑은 고딕" w:cs="Times" w:hint="eastAsia"/>
          <w:b w:val="0"/>
          <w:bCs w:val="0"/>
          <w:szCs w:val="20"/>
          <w:lang w:val="en-US" w:eastAsia="ko-KR"/>
        </w:rPr>
        <w:t>9</w:t>
      </w:r>
      <w:r w:rsidR="00225B24" w:rsidRPr="007E56C0">
        <w:rPr>
          <w:rFonts w:eastAsia="맑은 고딕" w:cs="Times"/>
          <w:b w:val="0"/>
          <w:bCs w:val="0"/>
          <w:szCs w:val="20"/>
          <w:lang w:val="en-US"/>
        </w:rPr>
        <w:t>.</w:t>
      </w:r>
      <w:bookmarkEnd w:id="2"/>
      <w:bookmarkEnd w:id="3"/>
      <w:bookmarkEnd w:id="4"/>
    </w:p>
    <w:p w14:paraId="1756E03B" w14:textId="7970AE3F" w:rsidR="00F43477" w:rsidRPr="005C0D2B" w:rsidRDefault="00F43477" w:rsidP="00E64058">
      <w:pPr>
        <w:pStyle w:val="a"/>
        <w:numPr>
          <w:ilvl w:val="0"/>
          <w:numId w:val="6"/>
        </w:numPr>
        <w:spacing w:after="120" w:line="259" w:lineRule="auto"/>
        <w:jc w:val="both"/>
        <w:rPr>
          <w:rFonts w:cs="Times"/>
          <w:b w:val="0"/>
          <w:bCs w:val="0"/>
        </w:rPr>
      </w:pPr>
      <w:r>
        <w:rPr>
          <w:rFonts w:eastAsia="맑은 고딕" w:cs="Times" w:hint="eastAsia"/>
          <w:b w:val="0"/>
          <w:bCs w:val="0"/>
          <w:szCs w:val="20"/>
          <w:lang w:val="en-US" w:eastAsia="ko-KR"/>
        </w:rPr>
        <w:t xml:space="preserve">RP-252882, </w:t>
      </w:r>
      <w:r>
        <w:rPr>
          <w:rFonts w:eastAsia="맑은 고딕" w:cs="Times"/>
          <w:b w:val="0"/>
          <w:bCs w:val="0"/>
          <w:szCs w:val="20"/>
          <w:lang w:val="en-US" w:eastAsia="ko-KR"/>
        </w:rPr>
        <w:t>“</w:t>
      </w:r>
      <w:r w:rsidRPr="00F43477">
        <w:rPr>
          <w:rFonts w:eastAsia="맑은 고딕" w:cs="Times"/>
          <w:b w:val="0"/>
          <w:bCs w:val="0"/>
          <w:szCs w:val="20"/>
          <w:lang w:eastAsia="ko-KR"/>
        </w:rPr>
        <w:t>R 38.914 v0.2.0 for Study on 6G Scenarios and requirements</w:t>
      </w:r>
      <w:r>
        <w:rPr>
          <w:rFonts w:eastAsia="맑은 고딕" w:cs="Times"/>
          <w:b w:val="0"/>
          <w:bCs w:val="0"/>
          <w:szCs w:val="20"/>
          <w:lang w:eastAsia="ko-KR"/>
        </w:rPr>
        <w:t>”</w:t>
      </w:r>
      <w:r>
        <w:rPr>
          <w:rFonts w:eastAsia="맑은 고딕" w:cs="Times" w:hint="eastAsia"/>
          <w:b w:val="0"/>
          <w:bCs w:val="0"/>
          <w:szCs w:val="20"/>
          <w:lang w:eastAsia="ko-KR"/>
        </w:rPr>
        <w:t>, RAN#109.</w:t>
      </w:r>
    </w:p>
    <w:p w14:paraId="3870B5F5" w14:textId="6F9200AB" w:rsidR="00352BA9" w:rsidRDefault="005C0D2B" w:rsidP="00352BA9">
      <w:pPr>
        <w:pStyle w:val="a"/>
        <w:numPr>
          <w:ilvl w:val="0"/>
          <w:numId w:val="6"/>
        </w:numPr>
        <w:rPr>
          <w:rFonts w:cs="Times"/>
          <w:b w:val="0"/>
          <w:bCs w:val="0"/>
        </w:rPr>
      </w:pPr>
      <w:r w:rsidRPr="005C0D2B">
        <w:rPr>
          <w:rFonts w:cs="Times"/>
          <w:b w:val="0"/>
          <w:bCs w:val="0"/>
        </w:rPr>
        <w:t>RP-</w:t>
      </w:r>
      <w:r>
        <w:rPr>
          <w:rFonts w:cs="Times" w:hint="eastAsia"/>
          <w:b w:val="0"/>
          <w:bCs w:val="0"/>
          <w:lang w:eastAsia="ko-KR"/>
        </w:rPr>
        <w:t>252970</w:t>
      </w:r>
      <w:r w:rsidRPr="005C0D2B">
        <w:rPr>
          <w:rFonts w:cs="Times"/>
          <w:b w:val="0"/>
          <w:bCs w:val="0"/>
        </w:rPr>
        <w:t>, “Agenda for RAN #1</w:t>
      </w:r>
      <w:r>
        <w:rPr>
          <w:rFonts w:cs="Times" w:hint="eastAsia"/>
          <w:b w:val="0"/>
          <w:bCs w:val="0"/>
          <w:lang w:eastAsia="ko-KR"/>
        </w:rPr>
        <w:t>10</w:t>
      </w:r>
      <w:r w:rsidRPr="005C0D2B">
        <w:rPr>
          <w:rFonts w:cs="Times"/>
          <w:b w:val="0"/>
          <w:bCs w:val="0"/>
        </w:rPr>
        <w:t>,”</w:t>
      </w:r>
      <w:r w:rsidR="00352BA9">
        <w:rPr>
          <w:rFonts w:cs="Times" w:hint="eastAsia"/>
          <w:b w:val="0"/>
          <w:bCs w:val="0"/>
          <w:lang w:eastAsia="ko-KR"/>
        </w:rPr>
        <w:t xml:space="preserve">  </w:t>
      </w:r>
      <w:r w:rsidR="00352BA9" w:rsidRPr="005C0D2B">
        <w:rPr>
          <w:rFonts w:cs="Times"/>
          <w:b w:val="0"/>
          <w:bCs w:val="0"/>
        </w:rPr>
        <w:t>RAN Chair (Samsung)</w:t>
      </w:r>
      <w:r w:rsidR="00352BA9">
        <w:rPr>
          <w:rFonts w:cs="Times" w:hint="eastAsia"/>
          <w:b w:val="0"/>
          <w:bCs w:val="0"/>
          <w:lang w:eastAsia="ko-KR"/>
        </w:rPr>
        <w:t>,</w:t>
      </w:r>
      <w:r w:rsidR="00352BA9" w:rsidRPr="005C0D2B">
        <w:rPr>
          <w:rFonts w:cs="Times"/>
          <w:b w:val="0"/>
          <w:bCs w:val="0"/>
        </w:rPr>
        <w:t xml:space="preserve"> Beijing, China, September 15–18, 2025.</w:t>
      </w:r>
    </w:p>
    <w:sectPr w:rsidR="00352BA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665B3" w14:textId="77777777" w:rsidR="00AC21BF" w:rsidRDefault="00AC21BF">
      <w:r>
        <w:separator/>
      </w:r>
    </w:p>
  </w:endnote>
  <w:endnote w:type="continuationSeparator" w:id="0">
    <w:p w14:paraId="7847AB79" w14:textId="77777777" w:rsidR="00AC21BF" w:rsidRDefault="00AC21BF">
      <w:r>
        <w:continuationSeparator/>
      </w:r>
    </w:p>
  </w:endnote>
  <w:endnote w:type="continuationNotice" w:id="1">
    <w:p w14:paraId="03710DF4" w14:textId="77777777" w:rsidR="00AC21BF" w:rsidRDefault="00AC2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auto"/>
    <w:pitch w:val="default"/>
    <w:sig w:usb0="00000000" w:usb1="00000000"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2C012" w14:textId="77777777" w:rsidR="00AC21BF" w:rsidRDefault="00AC21BF">
      <w:r>
        <w:separator/>
      </w:r>
    </w:p>
  </w:footnote>
  <w:footnote w:type="continuationSeparator" w:id="0">
    <w:p w14:paraId="522AFC45" w14:textId="77777777" w:rsidR="00AC21BF" w:rsidRDefault="00AC21BF">
      <w:r>
        <w:continuationSeparator/>
      </w:r>
    </w:p>
  </w:footnote>
  <w:footnote w:type="continuationNotice" w:id="1">
    <w:p w14:paraId="29D52771" w14:textId="77777777" w:rsidR="00AC21BF" w:rsidRDefault="00AC21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D65"/>
    <w:multiLevelType w:val="hybridMultilevel"/>
    <w:tmpl w:val="61767AE8"/>
    <w:lvl w:ilvl="0" w:tplc="E1DAF27E">
      <w:start w:val="1"/>
      <w:numFmt w:val="bullet"/>
      <w:lvlText w:val="•"/>
      <w:lvlJc w:val="left"/>
      <w:pPr>
        <w:ind w:left="880" w:hanging="440"/>
      </w:pPr>
      <w:rPr>
        <w:rFonts w:ascii="Times New Roman" w:eastAsia="Yu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5C20AA9"/>
    <w:multiLevelType w:val="hybridMultilevel"/>
    <w:tmpl w:val="33361C9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CD44345A">
      <w:start w:val="1"/>
      <w:numFmt w:val="bullet"/>
      <w:lvlText w:val=""/>
      <w:lvlJc w:val="left"/>
      <w:pPr>
        <w:ind w:left="880" w:hanging="440"/>
      </w:pPr>
      <w:rPr>
        <w:rFonts w:ascii="Wingdings" w:hAnsi="Wingdings" w:hint="default"/>
      </w:r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07270FB8"/>
    <w:multiLevelType w:val="hybridMultilevel"/>
    <w:tmpl w:val="88D02DDC"/>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14EF3EE7"/>
    <w:multiLevelType w:val="hybridMultilevel"/>
    <w:tmpl w:val="B906A7DA"/>
    <w:lvl w:ilvl="0" w:tplc="230A991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178909C1"/>
    <w:multiLevelType w:val="hybridMultilevel"/>
    <w:tmpl w:val="D4122E18"/>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AF70492"/>
    <w:multiLevelType w:val="hybridMultilevel"/>
    <w:tmpl w:val="4D8A37B8"/>
    <w:lvl w:ilvl="0" w:tplc="CD44345A">
      <w:start w:val="1"/>
      <w:numFmt w:val="bullet"/>
      <w:lvlText w:val=""/>
      <w:lvlJc w:val="left"/>
      <w:pPr>
        <w:ind w:left="880" w:hanging="440"/>
      </w:pPr>
      <w:rPr>
        <w:rFonts w:ascii="Wingdings" w:hAnsi="Wingdings" w:hint="default"/>
      </w:rPr>
    </w:lvl>
    <w:lvl w:ilvl="1" w:tplc="305CC1C4">
      <w:start w:val="1"/>
      <w:numFmt w:val="bullet"/>
      <w:lvlText w:val="─"/>
      <w:lvlJc w:val="left"/>
      <w:pPr>
        <w:ind w:left="1520" w:hanging="440"/>
      </w:pPr>
      <w:rPr>
        <w:rFonts w:ascii="Arial" w:hAnsi="Arial" w:hint="default"/>
      </w:rPr>
    </w:lvl>
    <w:lvl w:ilvl="2" w:tplc="EF120F92">
      <w:start w:val="1"/>
      <w:numFmt w:val="bullet"/>
      <w:lvlText w:val="◦"/>
      <w:lvlJc w:val="left"/>
      <w:pPr>
        <w:ind w:left="1760" w:hanging="440"/>
      </w:pPr>
      <w:rPr>
        <w:rFonts w:ascii="Arial" w:hAnsi="Aria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3"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9D4D6E"/>
    <w:multiLevelType w:val="multilevel"/>
    <w:tmpl w:val="7174D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0F5091D"/>
    <w:multiLevelType w:val="multilevel"/>
    <w:tmpl w:val="996AF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AC90EE2"/>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76166E"/>
    <w:multiLevelType w:val="hybridMultilevel"/>
    <w:tmpl w:val="774880A4"/>
    <w:lvl w:ilvl="0" w:tplc="85D22B7C">
      <w:start w:val="2"/>
      <w:numFmt w:val="decimal"/>
      <w:lvlText w:val="Proposal %1."/>
      <w:lvlJc w:val="left"/>
      <w:pPr>
        <w:ind w:left="400" w:hanging="40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5C1831"/>
    <w:multiLevelType w:val="multilevel"/>
    <w:tmpl w:val="98929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6FD32E8"/>
    <w:multiLevelType w:val="hybridMultilevel"/>
    <w:tmpl w:val="72D825A8"/>
    <w:lvl w:ilvl="0" w:tplc="C71CF29A">
      <w:start w:val="1"/>
      <w:numFmt w:val="decimal"/>
      <w:lvlText w:val="Proposal %1."/>
      <w:lvlJc w:val="left"/>
      <w:pPr>
        <w:ind w:left="400" w:hanging="40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16cid:durableId="411973513">
    <w:abstractNumId w:val="24"/>
  </w:num>
  <w:num w:numId="2" w16cid:durableId="1898319205">
    <w:abstractNumId w:val="18"/>
  </w:num>
  <w:num w:numId="3" w16cid:durableId="1997763736">
    <w:abstractNumId w:val="11"/>
  </w:num>
  <w:num w:numId="4" w16cid:durableId="688071851">
    <w:abstractNumId w:val="7"/>
  </w:num>
  <w:num w:numId="5" w16cid:durableId="87315635">
    <w:abstractNumId w:val="21"/>
  </w:num>
  <w:num w:numId="6" w16cid:durableId="1735200949">
    <w:abstractNumId w:val="15"/>
  </w:num>
  <w:num w:numId="7" w16cid:durableId="1511288486">
    <w:abstractNumId w:val="13"/>
  </w:num>
  <w:num w:numId="8" w16cid:durableId="311837725">
    <w:abstractNumId w:val="2"/>
  </w:num>
  <w:num w:numId="9" w16cid:durableId="1146237915">
    <w:abstractNumId w:val="10"/>
  </w:num>
  <w:num w:numId="10" w16cid:durableId="165285828">
    <w:abstractNumId w:val="8"/>
  </w:num>
  <w:num w:numId="11" w16cid:durableId="1625765842">
    <w:abstractNumId w:val="4"/>
  </w:num>
  <w:num w:numId="12" w16cid:durableId="1557743480">
    <w:abstractNumId w:val="26"/>
  </w:num>
  <w:num w:numId="13" w16cid:durableId="618609765">
    <w:abstractNumId w:val="14"/>
  </w:num>
  <w:num w:numId="14" w16cid:durableId="71393971">
    <w:abstractNumId w:val="10"/>
  </w:num>
  <w:num w:numId="15" w16cid:durableId="120881050">
    <w:abstractNumId w:val="12"/>
  </w:num>
  <w:num w:numId="16" w16cid:durableId="371031813">
    <w:abstractNumId w:val="20"/>
  </w:num>
  <w:num w:numId="17" w16cid:durableId="907306514">
    <w:abstractNumId w:val="5"/>
  </w:num>
  <w:num w:numId="18" w16cid:durableId="1242065248">
    <w:abstractNumId w:val="6"/>
  </w:num>
  <w:num w:numId="19" w16cid:durableId="206141384">
    <w:abstractNumId w:val="1"/>
  </w:num>
  <w:num w:numId="20" w16cid:durableId="1110708239">
    <w:abstractNumId w:val="20"/>
  </w:num>
  <w:num w:numId="21" w16cid:durableId="1753311783">
    <w:abstractNumId w:val="3"/>
  </w:num>
  <w:num w:numId="22" w16cid:durableId="1087506014">
    <w:abstractNumId w:val="9"/>
  </w:num>
  <w:num w:numId="23" w16cid:durableId="1056851760">
    <w:abstractNumId w:val="19"/>
  </w:num>
  <w:num w:numId="24" w16cid:durableId="592470515">
    <w:abstractNumId w:val="0"/>
  </w:num>
  <w:num w:numId="25" w16cid:durableId="2029673760">
    <w:abstractNumId w:val="16"/>
  </w:num>
  <w:num w:numId="26" w16cid:durableId="1163743838">
    <w:abstractNumId w:val="17"/>
  </w:num>
  <w:num w:numId="27" w16cid:durableId="1288588129">
    <w:abstractNumId w:val="23"/>
  </w:num>
  <w:num w:numId="28" w16cid:durableId="1463109285">
    <w:abstractNumId w:val="25"/>
  </w:num>
  <w:num w:numId="29" w16cid:durableId="1233085362">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528"/>
    <w:rsid w:val="00004F5A"/>
    <w:rsid w:val="000106D4"/>
    <w:rsid w:val="00012D90"/>
    <w:rsid w:val="000138EF"/>
    <w:rsid w:val="00014380"/>
    <w:rsid w:val="00024CF3"/>
    <w:rsid w:val="00025BC4"/>
    <w:rsid w:val="00032ADC"/>
    <w:rsid w:val="00037D89"/>
    <w:rsid w:val="00041535"/>
    <w:rsid w:val="000450DD"/>
    <w:rsid w:val="0004779E"/>
    <w:rsid w:val="00052393"/>
    <w:rsid w:val="00055D1A"/>
    <w:rsid w:val="000616AE"/>
    <w:rsid w:val="00062919"/>
    <w:rsid w:val="00065B99"/>
    <w:rsid w:val="00065ED7"/>
    <w:rsid w:val="000719DC"/>
    <w:rsid w:val="00071E72"/>
    <w:rsid w:val="00072E34"/>
    <w:rsid w:val="00074B0B"/>
    <w:rsid w:val="00085F16"/>
    <w:rsid w:val="00091E1F"/>
    <w:rsid w:val="00092B81"/>
    <w:rsid w:val="000930DC"/>
    <w:rsid w:val="00096539"/>
    <w:rsid w:val="000970AE"/>
    <w:rsid w:val="000A3150"/>
    <w:rsid w:val="000B0854"/>
    <w:rsid w:val="000B0A27"/>
    <w:rsid w:val="000B3026"/>
    <w:rsid w:val="000D260A"/>
    <w:rsid w:val="000D425C"/>
    <w:rsid w:val="000D6DAE"/>
    <w:rsid w:val="000E05C9"/>
    <w:rsid w:val="000E33E2"/>
    <w:rsid w:val="000E3619"/>
    <w:rsid w:val="000E5C93"/>
    <w:rsid w:val="00110629"/>
    <w:rsid w:val="00110BC3"/>
    <w:rsid w:val="00132113"/>
    <w:rsid w:val="00136507"/>
    <w:rsid w:val="001373CF"/>
    <w:rsid w:val="00144316"/>
    <w:rsid w:val="0014523B"/>
    <w:rsid w:val="001470E3"/>
    <w:rsid w:val="00152529"/>
    <w:rsid w:val="00160EB8"/>
    <w:rsid w:val="00170ACB"/>
    <w:rsid w:val="0017586A"/>
    <w:rsid w:val="001764A9"/>
    <w:rsid w:val="00181C8F"/>
    <w:rsid w:val="001833A9"/>
    <w:rsid w:val="0018555A"/>
    <w:rsid w:val="00191DE4"/>
    <w:rsid w:val="00196B85"/>
    <w:rsid w:val="001A4CA2"/>
    <w:rsid w:val="001A6688"/>
    <w:rsid w:val="001B0C08"/>
    <w:rsid w:val="001B0C64"/>
    <w:rsid w:val="001B0D9E"/>
    <w:rsid w:val="001B2916"/>
    <w:rsid w:val="001B4932"/>
    <w:rsid w:val="001B4BFC"/>
    <w:rsid w:val="001C0D91"/>
    <w:rsid w:val="001C2F74"/>
    <w:rsid w:val="001C3075"/>
    <w:rsid w:val="001C4DCB"/>
    <w:rsid w:val="001D0E2D"/>
    <w:rsid w:val="001D109A"/>
    <w:rsid w:val="001D5888"/>
    <w:rsid w:val="001D6129"/>
    <w:rsid w:val="001E1648"/>
    <w:rsid w:val="001E16B0"/>
    <w:rsid w:val="001E2EE3"/>
    <w:rsid w:val="001E3618"/>
    <w:rsid w:val="001E3C63"/>
    <w:rsid w:val="001F26BA"/>
    <w:rsid w:val="00201D03"/>
    <w:rsid w:val="00202D97"/>
    <w:rsid w:val="0020426D"/>
    <w:rsid w:val="00206BEF"/>
    <w:rsid w:val="00210E36"/>
    <w:rsid w:val="00212580"/>
    <w:rsid w:val="0021275C"/>
    <w:rsid w:val="002128E1"/>
    <w:rsid w:val="00216044"/>
    <w:rsid w:val="002217B0"/>
    <w:rsid w:val="00221A87"/>
    <w:rsid w:val="00223E66"/>
    <w:rsid w:val="00225B24"/>
    <w:rsid w:val="00232E4A"/>
    <w:rsid w:val="002335B4"/>
    <w:rsid w:val="00246437"/>
    <w:rsid w:val="00251550"/>
    <w:rsid w:val="00255EAB"/>
    <w:rsid w:val="00257E5F"/>
    <w:rsid w:val="00262A25"/>
    <w:rsid w:val="00262F70"/>
    <w:rsid w:val="0026408A"/>
    <w:rsid w:val="00265131"/>
    <w:rsid w:val="002653F8"/>
    <w:rsid w:val="002664D2"/>
    <w:rsid w:val="0027005F"/>
    <w:rsid w:val="0027125A"/>
    <w:rsid w:val="0027216F"/>
    <w:rsid w:val="002726EB"/>
    <w:rsid w:val="00283FBF"/>
    <w:rsid w:val="00285E64"/>
    <w:rsid w:val="002937B9"/>
    <w:rsid w:val="00293844"/>
    <w:rsid w:val="00293FAD"/>
    <w:rsid w:val="002958AD"/>
    <w:rsid w:val="002A12CF"/>
    <w:rsid w:val="002B15BA"/>
    <w:rsid w:val="002B1A78"/>
    <w:rsid w:val="002B2F36"/>
    <w:rsid w:val="002B6B92"/>
    <w:rsid w:val="002C0333"/>
    <w:rsid w:val="002C2153"/>
    <w:rsid w:val="002C28A5"/>
    <w:rsid w:val="002C7D92"/>
    <w:rsid w:val="002D5D0D"/>
    <w:rsid w:val="002E05B6"/>
    <w:rsid w:val="002E0B7C"/>
    <w:rsid w:val="002E307E"/>
    <w:rsid w:val="00302880"/>
    <w:rsid w:val="003170B1"/>
    <w:rsid w:val="003233A1"/>
    <w:rsid w:val="00327793"/>
    <w:rsid w:val="00330D65"/>
    <w:rsid w:val="00332418"/>
    <w:rsid w:val="00332BAD"/>
    <w:rsid w:val="00351BA5"/>
    <w:rsid w:val="00352BA9"/>
    <w:rsid w:val="00353D4A"/>
    <w:rsid w:val="003555D8"/>
    <w:rsid w:val="003568F1"/>
    <w:rsid w:val="00356C63"/>
    <w:rsid w:val="00356E97"/>
    <w:rsid w:val="00370E08"/>
    <w:rsid w:val="00372174"/>
    <w:rsid w:val="00373A57"/>
    <w:rsid w:val="003A3C8C"/>
    <w:rsid w:val="003A44AA"/>
    <w:rsid w:val="003A718C"/>
    <w:rsid w:val="003B0D71"/>
    <w:rsid w:val="003B65AE"/>
    <w:rsid w:val="003C79E6"/>
    <w:rsid w:val="003D4977"/>
    <w:rsid w:val="003D7AEC"/>
    <w:rsid w:val="003E011A"/>
    <w:rsid w:val="003F3FD2"/>
    <w:rsid w:val="003F5913"/>
    <w:rsid w:val="004013C1"/>
    <w:rsid w:val="004028F3"/>
    <w:rsid w:val="00406B7C"/>
    <w:rsid w:val="00407ABB"/>
    <w:rsid w:val="00411658"/>
    <w:rsid w:val="004154B8"/>
    <w:rsid w:val="00415E15"/>
    <w:rsid w:val="00422022"/>
    <w:rsid w:val="00422302"/>
    <w:rsid w:val="004245B2"/>
    <w:rsid w:val="00427FC1"/>
    <w:rsid w:val="004302F2"/>
    <w:rsid w:val="00433E21"/>
    <w:rsid w:val="004358A9"/>
    <w:rsid w:val="004425EB"/>
    <w:rsid w:val="004435DB"/>
    <w:rsid w:val="00452BE6"/>
    <w:rsid w:val="00457DAE"/>
    <w:rsid w:val="004607C3"/>
    <w:rsid w:val="0046249F"/>
    <w:rsid w:val="00462AAF"/>
    <w:rsid w:val="00463967"/>
    <w:rsid w:val="004658EC"/>
    <w:rsid w:val="0046771E"/>
    <w:rsid w:val="004703A6"/>
    <w:rsid w:val="00480ADB"/>
    <w:rsid w:val="0048250E"/>
    <w:rsid w:val="004967E1"/>
    <w:rsid w:val="00497D6F"/>
    <w:rsid w:val="004A7087"/>
    <w:rsid w:val="004B7F00"/>
    <w:rsid w:val="004C5F71"/>
    <w:rsid w:val="004C7DDE"/>
    <w:rsid w:val="004D32EC"/>
    <w:rsid w:val="004E22AE"/>
    <w:rsid w:val="004E31B5"/>
    <w:rsid w:val="004F35E9"/>
    <w:rsid w:val="004F5FF0"/>
    <w:rsid w:val="00520AF6"/>
    <w:rsid w:val="00522835"/>
    <w:rsid w:val="005270AA"/>
    <w:rsid w:val="0053431A"/>
    <w:rsid w:val="00534D93"/>
    <w:rsid w:val="00542718"/>
    <w:rsid w:val="00553122"/>
    <w:rsid w:val="00553DFE"/>
    <w:rsid w:val="005638BD"/>
    <w:rsid w:val="0056705E"/>
    <w:rsid w:val="00570EB7"/>
    <w:rsid w:val="005751BB"/>
    <w:rsid w:val="00582B68"/>
    <w:rsid w:val="0058350B"/>
    <w:rsid w:val="00591B35"/>
    <w:rsid w:val="005B6CC9"/>
    <w:rsid w:val="005C0D2B"/>
    <w:rsid w:val="005C7672"/>
    <w:rsid w:val="005D20F1"/>
    <w:rsid w:val="005E3494"/>
    <w:rsid w:val="005F0058"/>
    <w:rsid w:val="005F7ADB"/>
    <w:rsid w:val="00600B25"/>
    <w:rsid w:val="006053F3"/>
    <w:rsid w:val="0060583A"/>
    <w:rsid w:val="00612565"/>
    <w:rsid w:val="006148C8"/>
    <w:rsid w:val="006229B5"/>
    <w:rsid w:val="006465B7"/>
    <w:rsid w:val="00664C53"/>
    <w:rsid w:val="006667A6"/>
    <w:rsid w:val="006707A3"/>
    <w:rsid w:val="0067099C"/>
    <w:rsid w:val="00673460"/>
    <w:rsid w:val="006835D5"/>
    <w:rsid w:val="00684EA6"/>
    <w:rsid w:val="00685072"/>
    <w:rsid w:val="00694AEC"/>
    <w:rsid w:val="00694D8D"/>
    <w:rsid w:val="00695545"/>
    <w:rsid w:val="00696F18"/>
    <w:rsid w:val="00697650"/>
    <w:rsid w:val="006976C1"/>
    <w:rsid w:val="006A22D9"/>
    <w:rsid w:val="006A718A"/>
    <w:rsid w:val="006B6AE7"/>
    <w:rsid w:val="006B7F2A"/>
    <w:rsid w:val="006C13E2"/>
    <w:rsid w:val="006C33B5"/>
    <w:rsid w:val="006C405E"/>
    <w:rsid w:val="006C4FFB"/>
    <w:rsid w:val="006C7041"/>
    <w:rsid w:val="006D33CE"/>
    <w:rsid w:val="006D72CF"/>
    <w:rsid w:val="006E0A23"/>
    <w:rsid w:val="006E57E2"/>
    <w:rsid w:val="006E7AAD"/>
    <w:rsid w:val="006E7E90"/>
    <w:rsid w:val="006F12AC"/>
    <w:rsid w:val="006F1BBF"/>
    <w:rsid w:val="006F4954"/>
    <w:rsid w:val="006F55F4"/>
    <w:rsid w:val="00705630"/>
    <w:rsid w:val="00705B97"/>
    <w:rsid w:val="0070750F"/>
    <w:rsid w:val="00713CBE"/>
    <w:rsid w:val="00726783"/>
    <w:rsid w:val="00734438"/>
    <w:rsid w:val="0073669F"/>
    <w:rsid w:val="00741600"/>
    <w:rsid w:val="00742768"/>
    <w:rsid w:val="00742ECD"/>
    <w:rsid w:val="00743FB5"/>
    <w:rsid w:val="00744633"/>
    <w:rsid w:val="00757999"/>
    <w:rsid w:val="00766700"/>
    <w:rsid w:val="0077284A"/>
    <w:rsid w:val="007825FA"/>
    <w:rsid w:val="00791848"/>
    <w:rsid w:val="00794E2B"/>
    <w:rsid w:val="007972D2"/>
    <w:rsid w:val="007A0928"/>
    <w:rsid w:val="007A48FA"/>
    <w:rsid w:val="007A5CD6"/>
    <w:rsid w:val="007A6951"/>
    <w:rsid w:val="007B1E14"/>
    <w:rsid w:val="007C68E2"/>
    <w:rsid w:val="007D4B34"/>
    <w:rsid w:val="007D51C2"/>
    <w:rsid w:val="007D6F5D"/>
    <w:rsid w:val="007E56C0"/>
    <w:rsid w:val="007E5C4B"/>
    <w:rsid w:val="007E6322"/>
    <w:rsid w:val="007F1A1A"/>
    <w:rsid w:val="00800320"/>
    <w:rsid w:val="00800C4D"/>
    <w:rsid w:val="0081594E"/>
    <w:rsid w:val="00817F76"/>
    <w:rsid w:val="008255E3"/>
    <w:rsid w:val="00831344"/>
    <w:rsid w:val="0083224B"/>
    <w:rsid w:val="00833045"/>
    <w:rsid w:val="008358ED"/>
    <w:rsid w:val="00850B6C"/>
    <w:rsid w:val="00852932"/>
    <w:rsid w:val="00852C2B"/>
    <w:rsid w:val="008537C4"/>
    <w:rsid w:val="00854C28"/>
    <w:rsid w:val="008668C2"/>
    <w:rsid w:val="00876EEA"/>
    <w:rsid w:val="0088443D"/>
    <w:rsid w:val="008962B9"/>
    <w:rsid w:val="008A11D5"/>
    <w:rsid w:val="008A2888"/>
    <w:rsid w:val="008A2C5E"/>
    <w:rsid w:val="008A2F5C"/>
    <w:rsid w:val="008A6DAE"/>
    <w:rsid w:val="008B2B55"/>
    <w:rsid w:val="008B4062"/>
    <w:rsid w:val="008C18A5"/>
    <w:rsid w:val="008D45DE"/>
    <w:rsid w:val="008D5A4D"/>
    <w:rsid w:val="008E2260"/>
    <w:rsid w:val="008E6382"/>
    <w:rsid w:val="008F2B4D"/>
    <w:rsid w:val="008F65E8"/>
    <w:rsid w:val="008F6EA5"/>
    <w:rsid w:val="0090076E"/>
    <w:rsid w:val="00902A89"/>
    <w:rsid w:val="009202A9"/>
    <w:rsid w:val="00926CFC"/>
    <w:rsid w:val="0095345C"/>
    <w:rsid w:val="00955459"/>
    <w:rsid w:val="009569F6"/>
    <w:rsid w:val="0096285B"/>
    <w:rsid w:val="00963A3D"/>
    <w:rsid w:val="00971C7C"/>
    <w:rsid w:val="00977E77"/>
    <w:rsid w:val="00980AB5"/>
    <w:rsid w:val="00991078"/>
    <w:rsid w:val="00997568"/>
    <w:rsid w:val="009A7862"/>
    <w:rsid w:val="009B0D62"/>
    <w:rsid w:val="009B70FB"/>
    <w:rsid w:val="009C3005"/>
    <w:rsid w:val="009C476B"/>
    <w:rsid w:val="009C6067"/>
    <w:rsid w:val="009C7DE5"/>
    <w:rsid w:val="009D10CA"/>
    <w:rsid w:val="009E2E62"/>
    <w:rsid w:val="009E35E5"/>
    <w:rsid w:val="009E7888"/>
    <w:rsid w:val="009F13B9"/>
    <w:rsid w:val="009F69F4"/>
    <w:rsid w:val="00A010F5"/>
    <w:rsid w:val="00A0755F"/>
    <w:rsid w:val="00A15FF4"/>
    <w:rsid w:val="00A3052F"/>
    <w:rsid w:val="00A3248B"/>
    <w:rsid w:val="00A345EE"/>
    <w:rsid w:val="00A35A7C"/>
    <w:rsid w:val="00A361F7"/>
    <w:rsid w:val="00A400F6"/>
    <w:rsid w:val="00A42D6B"/>
    <w:rsid w:val="00A461FA"/>
    <w:rsid w:val="00A464BC"/>
    <w:rsid w:val="00A52850"/>
    <w:rsid w:val="00A541E1"/>
    <w:rsid w:val="00A5656D"/>
    <w:rsid w:val="00A578EC"/>
    <w:rsid w:val="00A57B01"/>
    <w:rsid w:val="00A57B95"/>
    <w:rsid w:val="00A61AF9"/>
    <w:rsid w:val="00A74130"/>
    <w:rsid w:val="00A76BB4"/>
    <w:rsid w:val="00A90F4E"/>
    <w:rsid w:val="00AA0AF6"/>
    <w:rsid w:val="00AA746A"/>
    <w:rsid w:val="00AA77B3"/>
    <w:rsid w:val="00AA7EC6"/>
    <w:rsid w:val="00AB18AF"/>
    <w:rsid w:val="00AB328E"/>
    <w:rsid w:val="00AB6476"/>
    <w:rsid w:val="00AC21BF"/>
    <w:rsid w:val="00AC4FE1"/>
    <w:rsid w:val="00AC5057"/>
    <w:rsid w:val="00AC5308"/>
    <w:rsid w:val="00AC6103"/>
    <w:rsid w:val="00AC6DC2"/>
    <w:rsid w:val="00AD08BD"/>
    <w:rsid w:val="00AD2808"/>
    <w:rsid w:val="00AD429C"/>
    <w:rsid w:val="00AE049E"/>
    <w:rsid w:val="00AE3C46"/>
    <w:rsid w:val="00AE4BA5"/>
    <w:rsid w:val="00AE4F4C"/>
    <w:rsid w:val="00B019E4"/>
    <w:rsid w:val="00B035A8"/>
    <w:rsid w:val="00B06C49"/>
    <w:rsid w:val="00B129BB"/>
    <w:rsid w:val="00B13A31"/>
    <w:rsid w:val="00B26EAE"/>
    <w:rsid w:val="00B356BE"/>
    <w:rsid w:val="00B36F01"/>
    <w:rsid w:val="00B40246"/>
    <w:rsid w:val="00B43412"/>
    <w:rsid w:val="00B44D65"/>
    <w:rsid w:val="00B52A4E"/>
    <w:rsid w:val="00B57996"/>
    <w:rsid w:val="00B63A31"/>
    <w:rsid w:val="00B64167"/>
    <w:rsid w:val="00B64977"/>
    <w:rsid w:val="00B6710B"/>
    <w:rsid w:val="00B7110A"/>
    <w:rsid w:val="00B75626"/>
    <w:rsid w:val="00B7686A"/>
    <w:rsid w:val="00B81A12"/>
    <w:rsid w:val="00B81B3C"/>
    <w:rsid w:val="00B84409"/>
    <w:rsid w:val="00B8506D"/>
    <w:rsid w:val="00B87210"/>
    <w:rsid w:val="00B92534"/>
    <w:rsid w:val="00B975FD"/>
    <w:rsid w:val="00BA042B"/>
    <w:rsid w:val="00BA062A"/>
    <w:rsid w:val="00BA45C0"/>
    <w:rsid w:val="00BB02F2"/>
    <w:rsid w:val="00BB371F"/>
    <w:rsid w:val="00BB589D"/>
    <w:rsid w:val="00BC73D6"/>
    <w:rsid w:val="00BD27A6"/>
    <w:rsid w:val="00BD61F8"/>
    <w:rsid w:val="00BE44B1"/>
    <w:rsid w:val="00BE5816"/>
    <w:rsid w:val="00BF289C"/>
    <w:rsid w:val="00BF443D"/>
    <w:rsid w:val="00C04716"/>
    <w:rsid w:val="00C058BE"/>
    <w:rsid w:val="00C14143"/>
    <w:rsid w:val="00C216CF"/>
    <w:rsid w:val="00C23B43"/>
    <w:rsid w:val="00C255F2"/>
    <w:rsid w:val="00C26218"/>
    <w:rsid w:val="00C43000"/>
    <w:rsid w:val="00C45F5E"/>
    <w:rsid w:val="00C46902"/>
    <w:rsid w:val="00C54EB6"/>
    <w:rsid w:val="00C64505"/>
    <w:rsid w:val="00C65D9C"/>
    <w:rsid w:val="00C8214B"/>
    <w:rsid w:val="00C8353C"/>
    <w:rsid w:val="00C8368D"/>
    <w:rsid w:val="00C83D64"/>
    <w:rsid w:val="00C85A7B"/>
    <w:rsid w:val="00C8649D"/>
    <w:rsid w:val="00C91D0B"/>
    <w:rsid w:val="00CA006A"/>
    <w:rsid w:val="00CA384F"/>
    <w:rsid w:val="00CA777A"/>
    <w:rsid w:val="00CB028C"/>
    <w:rsid w:val="00CB1A2F"/>
    <w:rsid w:val="00CB1A87"/>
    <w:rsid w:val="00CB2F14"/>
    <w:rsid w:val="00CC3161"/>
    <w:rsid w:val="00CC3380"/>
    <w:rsid w:val="00CD5FA7"/>
    <w:rsid w:val="00CE0886"/>
    <w:rsid w:val="00CE17C9"/>
    <w:rsid w:val="00CE2209"/>
    <w:rsid w:val="00CE3C57"/>
    <w:rsid w:val="00CE44D7"/>
    <w:rsid w:val="00CE546B"/>
    <w:rsid w:val="00D05387"/>
    <w:rsid w:val="00D06FBC"/>
    <w:rsid w:val="00D14DEA"/>
    <w:rsid w:val="00D16E83"/>
    <w:rsid w:val="00D21DFF"/>
    <w:rsid w:val="00D3098B"/>
    <w:rsid w:val="00D31B70"/>
    <w:rsid w:val="00D3452A"/>
    <w:rsid w:val="00D3669A"/>
    <w:rsid w:val="00D3767A"/>
    <w:rsid w:val="00D37CD7"/>
    <w:rsid w:val="00D47C61"/>
    <w:rsid w:val="00D512F9"/>
    <w:rsid w:val="00D514CF"/>
    <w:rsid w:val="00D52C3A"/>
    <w:rsid w:val="00D65ACC"/>
    <w:rsid w:val="00D711C2"/>
    <w:rsid w:val="00D72111"/>
    <w:rsid w:val="00D73656"/>
    <w:rsid w:val="00D74C7C"/>
    <w:rsid w:val="00D75F87"/>
    <w:rsid w:val="00D857DF"/>
    <w:rsid w:val="00D91936"/>
    <w:rsid w:val="00DA4621"/>
    <w:rsid w:val="00DB401F"/>
    <w:rsid w:val="00DC3A3F"/>
    <w:rsid w:val="00DD5EB6"/>
    <w:rsid w:val="00DD69CF"/>
    <w:rsid w:val="00DE4B96"/>
    <w:rsid w:val="00DF7790"/>
    <w:rsid w:val="00DF7A7D"/>
    <w:rsid w:val="00E017CA"/>
    <w:rsid w:val="00E01CD1"/>
    <w:rsid w:val="00E03379"/>
    <w:rsid w:val="00E12E6F"/>
    <w:rsid w:val="00E253EA"/>
    <w:rsid w:val="00E308F7"/>
    <w:rsid w:val="00E30C3B"/>
    <w:rsid w:val="00E30F42"/>
    <w:rsid w:val="00E31F07"/>
    <w:rsid w:val="00E325DD"/>
    <w:rsid w:val="00E40733"/>
    <w:rsid w:val="00E64058"/>
    <w:rsid w:val="00E65E66"/>
    <w:rsid w:val="00E70705"/>
    <w:rsid w:val="00E711BD"/>
    <w:rsid w:val="00E71EFE"/>
    <w:rsid w:val="00E738E3"/>
    <w:rsid w:val="00E7718C"/>
    <w:rsid w:val="00E849BE"/>
    <w:rsid w:val="00EC3403"/>
    <w:rsid w:val="00EC3E58"/>
    <w:rsid w:val="00ED6C3C"/>
    <w:rsid w:val="00EE1CFF"/>
    <w:rsid w:val="00EE3796"/>
    <w:rsid w:val="00F00B1D"/>
    <w:rsid w:val="00F05B3B"/>
    <w:rsid w:val="00F13183"/>
    <w:rsid w:val="00F152F0"/>
    <w:rsid w:val="00F17945"/>
    <w:rsid w:val="00F20624"/>
    <w:rsid w:val="00F2259F"/>
    <w:rsid w:val="00F31E32"/>
    <w:rsid w:val="00F32DBE"/>
    <w:rsid w:val="00F3425D"/>
    <w:rsid w:val="00F41320"/>
    <w:rsid w:val="00F41D4E"/>
    <w:rsid w:val="00F43477"/>
    <w:rsid w:val="00F5538B"/>
    <w:rsid w:val="00F60729"/>
    <w:rsid w:val="00F6113A"/>
    <w:rsid w:val="00F6315D"/>
    <w:rsid w:val="00F65BAE"/>
    <w:rsid w:val="00F65C6F"/>
    <w:rsid w:val="00F67A0E"/>
    <w:rsid w:val="00F71981"/>
    <w:rsid w:val="00F872AB"/>
    <w:rsid w:val="00F903E9"/>
    <w:rsid w:val="00F92203"/>
    <w:rsid w:val="00F9486D"/>
    <w:rsid w:val="00F96DA9"/>
    <w:rsid w:val="00FA317D"/>
    <w:rsid w:val="00FA4A62"/>
    <w:rsid w:val="00FA53E8"/>
    <w:rsid w:val="00FC10C4"/>
    <w:rsid w:val="00FC22B3"/>
    <w:rsid w:val="00FC39F2"/>
    <w:rsid w:val="00FD2DB6"/>
    <w:rsid w:val="00FE7F4D"/>
    <w:rsid w:val="00FF0A12"/>
    <w:rsid w:val="00FF3AF1"/>
    <w:rsid w:val="00FF55A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6771E"/>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167717541">
      <w:bodyDiv w:val="1"/>
      <w:marLeft w:val="0"/>
      <w:marRight w:val="0"/>
      <w:marTop w:val="0"/>
      <w:marBottom w:val="0"/>
      <w:divBdr>
        <w:top w:val="none" w:sz="0" w:space="0" w:color="auto"/>
        <w:left w:val="none" w:sz="0" w:space="0" w:color="auto"/>
        <w:bottom w:val="none" w:sz="0" w:space="0" w:color="auto"/>
        <w:right w:val="none" w:sz="0" w:space="0" w:color="auto"/>
      </w:divBdr>
    </w:div>
    <w:div w:id="222104591">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42809774">
      <w:bodyDiv w:val="1"/>
      <w:marLeft w:val="0"/>
      <w:marRight w:val="0"/>
      <w:marTop w:val="0"/>
      <w:marBottom w:val="0"/>
      <w:divBdr>
        <w:top w:val="none" w:sz="0" w:space="0" w:color="auto"/>
        <w:left w:val="none" w:sz="0" w:space="0" w:color="auto"/>
        <w:bottom w:val="none" w:sz="0" w:space="0" w:color="auto"/>
        <w:right w:val="none" w:sz="0" w:space="0" w:color="auto"/>
      </w:divBdr>
    </w:div>
    <w:div w:id="947926590">
      <w:bodyDiv w:val="1"/>
      <w:marLeft w:val="0"/>
      <w:marRight w:val="0"/>
      <w:marTop w:val="0"/>
      <w:marBottom w:val="0"/>
      <w:divBdr>
        <w:top w:val="none" w:sz="0" w:space="0" w:color="auto"/>
        <w:left w:val="none" w:sz="0" w:space="0" w:color="auto"/>
        <w:bottom w:val="none" w:sz="0" w:space="0" w:color="auto"/>
        <w:right w:val="none" w:sz="0" w:space="0" w:color="auto"/>
      </w:divBdr>
    </w:div>
    <w:div w:id="950479184">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10840719">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107044907">
      <w:bodyDiv w:val="1"/>
      <w:marLeft w:val="0"/>
      <w:marRight w:val="0"/>
      <w:marTop w:val="0"/>
      <w:marBottom w:val="0"/>
      <w:divBdr>
        <w:top w:val="none" w:sz="0" w:space="0" w:color="auto"/>
        <w:left w:val="none" w:sz="0" w:space="0" w:color="auto"/>
        <w:bottom w:val="none" w:sz="0" w:space="0" w:color="auto"/>
        <w:right w:val="none" w:sz="0" w:space="0" w:color="auto"/>
      </w:divBdr>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213730392">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40819342">
      <w:bodyDiv w:val="1"/>
      <w:marLeft w:val="0"/>
      <w:marRight w:val="0"/>
      <w:marTop w:val="0"/>
      <w:marBottom w:val="0"/>
      <w:divBdr>
        <w:top w:val="none" w:sz="0" w:space="0" w:color="auto"/>
        <w:left w:val="none" w:sz="0" w:space="0" w:color="auto"/>
        <w:bottom w:val="none" w:sz="0" w:space="0" w:color="auto"/>
        <w:right w:val="none" w:sz="0" w:space="0" w:color="auto"/>
      </w:divBdr>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750882163">
      <w:bodyDiv w:val="1"/>
      <w:marLeft w:val="0"/>
      <w:marRight w:val="0"/>
      <w:marTop w:val="0"/>
      <w:marBottom w:val="0"/>
      <w:divBdr>
        <w:top w:val="none" w:sz="0" w:space="0" w:color="auto"/>
        <w:left w:val="none" w:sz="0" w:space="0" w:color="auto"/>
        <w:bottom w:val="none" w:sz="0" w:space="0" w:color="auto"/>
        <w:right w:val="none" w:sz="0" w:space="0" w:color="auto"/>
      </w:divBdr>
    </w:div>
    <w:div w:id="1807887847">
      <w:bodyDiv w:val="1"/>
      <w:marLeft w:val="0"/>
      <w:marRight w:val="0"/>
      <w:marTop w:val="0"/>
      <w:marBottom w:val="0"/>
      <w:divBdr>
        <w:top w:val="none" w:sz="0" w:space="0" w:color="auto"/>
        <w:left w:val="none" w:sz="0" w:space="0" w:color="auto"/>
        <w:bottom w:val="none" w:sz="0" w:space="0" w:color="auto"/>
        <w:right w:val="none" w:sz="0" w:space="0" w:color="auto"/>
      </w:divBdr>
    </w:div>
    <w:div w:id="1849321945">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 w:id="2128347217">
      <w:bodyDiv w:val="1"/>
      <w:marLeft w:val="0"/>
      <w:marRight w:val="0"/>
      <w:marTop w:val="0"/>
      <w:marBottom w:val="0"/>
      <w:divBdr>
        <w:top w:val="none" w:sz="0" w:space="0" w:color="auto"/>
        <w:left w:val="none" w:sz="0" w:space="0" w:color="auto"/>
        <w:bottom w:val="none" w:sz="0" w:space="0" w:color="auto"/>
        <w:right w:val="none" w:sz="0" w:space="0" w:color="auto"/>
      </w:divBdr>
    </w:div>
    <w:div w:id="214075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a4b3fc7bb98a4ee66b6afa2b93af9d60">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4fca693c77c76bae8fc9f69c15313f49"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Props1.xml><?xml version="1.0" encoding="utf-8"?>
<ds:datastoreItem xmlns:ds="http://schemas.openxmlformats.org/officeDocument/2006/customXml" ds:itemID="{8E0FCC09-4FB9-41DC-BBC9-CAA3D5484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3.xml><?xml version="1.0" encoding="utf-8"?>
<ds:datastoreItem xmlns:ds="http://schemas.openxmlformats.org/officeDocument/2006/customXml" ds:itemID="{D13FC48B-AF0B-4B0B-A173-D7F1F03EF0E6}">
  <ds:schemaRefs>
    <ds:schemaRef ds:uri="70609df4-592e-430b-8f4c-e9858fcde78b"/>
    <ds:schemaRef ds:uri="9dae5fb1-ad29-4d43-8846-bf583ecd308b"/>
    <ds:schemaRef ds:uri="http://schemas.microsoft.com/office/infopath/2007/PartnerControls"/>
    <ds:schemaRef ds:uri="http://www.w3.org/XML/1998/namespace"/>
    <ds:schemaRef ds:uri="http://purl.org/dc/dcmitype/"/>
    <ds:schemaRef ds:uri="http://purl.org/dc/terms/"/>
    <ds:schemaRef ds:uri="http://purl.org/dc/elements/1.1/"/>
    <ds:schemaRef ds:uri="http://schemas.microsoft.com/office/2006/documentManagement/type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3</Pages>
  <Words>1196</Words>
  <Characters>6651</Characters>
  <Application>Microsoft Office Word</Application>
  <DocSecurity>0</DocSecurity>
  <Lines>103</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7787</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이재현</dc:creator>
  <cp:keywords/>
  <dc:description/>
  <cp:lastModifiedBy>이재현님(LEE, JAEHYUN)/6G개발팀</cp:lastModifiedBy>
  <cp:revision>12</cp:revision>
  <cp:lastPrinted>2002-04-23T00:10:00Z</cp:lastPrinted>
  <dcterms:created xsi:type="dcterms:W3CDTF">2025-11-26T02:27:00Z</dcterms:created>
  <dcterms:modified xsi:type="dcterms:W3CDTF">2025-11-26T09:04:00Z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