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9DF53" w14:textId="0D689773" w:rsidR="007E6854" w:rsidRPr="007E6854" w:rsidRDefault="007E6854" w:rsidP="007E6854">
      <w:pPr>
        <w:keepLines/>
        <w:widowControl/>
        <w:tabs>
          <w:tab w:val="left" w:pos="567"/>
        </w:tabs>
        <w:adjustRightInd w:val="0"/>
        <w:snapToGrid w:val="0"/>
        <w:jc w:val="left"/>
        <w:rPr>
          <w:rFonts w:ascii="Arial" w:eastAsia="MS Mincho" w:hAnsi="Arial" w:cs="Arial"/>
          <w:b/>
          <w:kern w:val="0"/>
          <w:sz w:val="28"/>
          <w:szCs w:val="28"/>
          <w:lang w:val="en-GB" w:eastAsia="en-GB"/>
        </w:rPr>
      </w:pPr>
      <w:r w:rsidRPr="007E6854">
        <w:rPr>
          <w:rFonts w:ascii="Arial" w:eastAsia="Times New Roman" w:hAnsi="Arial" w:cs="Arial"/>
          <w:b/>
          <w:kern w:val="0"/>
          <w:sz w:val="28"/>
          <w:szCs w:val="28"/>
          <w:lang w:val="en-GB" w:eastAsia="en-GB"/>
        </w:rPr>
        <w:t>3GPP TSG RAN Meeting #108</w:t>
      </w:r>
      <w:r w:rsidRPr="007E6854">
        <w:rPr>
          <w:rFonts w:ascii="Arial" w:eastAsia="Times New Roman" w:hAnsi="Arial" w:cs="Arial"/>
          <w:b/>
          <w:kern w:val="0"/>
          <w:sz w:val="28"/>
          <w:szCs w:val="28"/>
          <w:lang w:val="en-GB" w:eastAsia="en-GB"/>
        </w:rPr>
        <w:tab/>
      </w:r>
      <w:r w:rsidRPr="007E6854">
        <w:rPr>
          <w:rFonts w:ascii="Arial" w:eastAsia="Times New Roman" w:hAnsi="Arial" w:cs="Arial"/>
          <w:b/>
          <w:kern w:val="0"/>
          <w:sz w:val="28"/>
          <w:szCs w:val="28"/>
          <w:lang w:val="en-GB" w:eastAsia="en-GB"/>
        </w:rPr>
        <w:tab/>
      </w:r>
      <w:r w:rsidRPr="007E6854">
        <w:rPr>
          <w:rFonts w:ascii="Arial" w:eastAsia="Times New Roman" w:hAnsi="Arial" w:cs="Arial"/>
          <w:b/>
          <w:kern w:val="0"/>
          <w:sz w:val="28"/>
          <w:szCs w:val="28"/>
          <w:lang w:val="en-GB" w:eastAsia="en-GB"/>
        </w:rPr>
        <w:tab/>
      </w:r>
      <w:r w:rsidRPr="007E6854">
        <w:rPr>
          <w:rFonts w:ascii="Arial" w:eastAsia="MS Mincho" w:hAnsi="Arial" w:cs="Arial"/>
          <w:b/>
          <w:kern w:val="0"/>
          <w:sz w:val="28"/>
          <w:szCs w:val="28"/>
          <w:lang w:val="en-GB" w:eastAsia="en-GB"/>
        </w:rPr>
        <w:tab/>
      </w:r>
      <w:r w:rsidRPr="007E6854">
        <w:rPr>
          <w:rFonts w:ascii="Arial" w:eastAsia="MS Mincho" w:hAnsi="Arial" w:cs="Arial"/>
          <w:b/>
          <w:kern w:val="0"/>
          <w:sz w:val="28"/>
          <w:szCs w:val="28"/>
          <w:lang w:val="en-GB" w:eastAsia="en-GB"/>
        </w:rPr>
        <w:tab/>
      </w:r>
      <w:r w:rsidRPr="007E6854">
        <w:rPr>
          <w:rFonts w:ascii="Arial" w:eastAsia="MS Mincho" w:hAnsi="Arial" w:cs="Arial" w:hint="eastAsia"/>
          <w:b/>
          <w:kern w:val="0"/>
          <w:sz w:val="28"/>
          <w:szCs w:val="28"/>
          <w:lang w:val="en-GB" w:eastAsia="en-GB"/>
        </w:rPr>
        <w:tab/>
      </w:r>
      <w:r w:rsidRPr="007E6854">
        <w:rPr>
          <w:rFonts w:ascii="Arial" w:eastAsia="MS Mincho" w:hAnsi="Arial" w:cs="Arial"/>
          <w:b/>
          <w:kern w:val="0"/>
          <w:sz w:val="28"/>
          <w:szCs w:val="28"/>
          <w:lang w:val="en-GB" w:eastAsia="en-GB"/>
        </w:rPr>
        <w:tab/>
      </w:r>
      <w:r w:rsidRPr="007E6854">
        <w:rPr>
          <w:rFonts w:ascii="Arial" w:eastAsia="MS Mincho" w:hAnsi="Arial" w:cs="Arial" w:hint="eastAsia"/>
          <w:b/>
          <w:kern w:val="0"/>
          <w:sz w:val="28"/>
          <w:szCs w:val="28"/>
          <w:lang w:val="en-GB" w:eastAsia="en-GB"/>
        </w:rPr>
        <w:tab/>
      </w:r>
      <w:r w:rsidR="009B6911" w:rsidRPr="009B6911">
        <w:rPr>
          <w:rFonts w:ascii="Arial" w:eastAsia="MS Mincho" w:hAnsi="Arial" w:cs="Arial"/>
          <w:b/>
          <w:kern w:val="0"/>
          <w:sz w:val="28"/>
          <w:szCs w:val="28"/>
          <w:lang w:val="en-GB" w:eastAsia="en-GB"/>
        </w:rPr>
        <w:t>RP-251556</w:t>
      </w:r>
    </w:p>
    <w:p w14:paraId="6099292D" w14:textId="77777777" w:rsidR="007E6854" w:rsidRPr="007E6854" w:rsidRDefault="007E6854" w:rsidP="007E6854">
      <w:pPr>
        <w:keepLines/>
        <w:widowControl/>
        <w:tabs>
          <w:tab w:val="left" w:pos="567"/>
        </w:tabs>
        <w:overflowPunct w:val="0"/>
        <w:autoSpaceDE w:val="0"/>
        <w:autoSpaceDN w:val="0"/>
        <w:adjustRightInd w:val="0"/>
        <w:spacing w:after="180"/>
        <w:jc w:val="left"/>
        <w:textAlignment w:val="baseline"/>
        <w:rPr>
          <w:rFonts w:ascii="Arial" w:eastAsia="Times New Roman" w:hAnsi="Arial" w:cs="Arial"/>
          <w:b/>
          <w:kern w:val="0"/>
          <w:sz w:val="28"/>
          <w:szCs w:val="28"/>
          <w:lang w:val="en-GB" w:eastAsia="en-GB"/>
        </w:rPr>
      </w:pPr>
      <w:r w:rsidRPr="007E6854">
        <w:rPr>
          <w:rFonts w:ascii="Arial" w:eastAsia="Times New Roman" w:hAnsi="Arial" w:cs="Arial"/>
          <w:b/>
          <w:kern w:val="0"/>
          <w:sz w:val="28"/>
          <w:szCs w:val="28"/>
          <w:lang w:val="en-GB" w:eastAsia="en-GB"/>
        </w:rPr>
        <w:t>Prague, Czech Republic, June 9-13, 2025</w:t>
      </w:r>
    </w:p>
    <w:p w14:paraId="1EDC5AB3" w14:textId="77777777" w:rsidR="00901EC7" w:rsidRPr="00D77B9B" w:rsidRDefault="00901EC7" w:rsidP="00901EC7">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2"/>
          <w:lang w:val="en-GB" w:eastAsia="en-US"/>
        </w:rPr>
      </w:pPr>
    </w:p>
    <w:p w14:paraId="78A02062" w14:textId="566F8A33" w:rsidR="00B03CC7" w:rsidRPr="00D77B9B" w:rsidRDefault="00B03CC7" w:rsidP="00D77B9B">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rPr>
      </w:pPr>
      <w:r w:rsidRPr="00D77B9B">
        <w:rPr>
          <w:rFonts w:ascii="Arial" w:eastAsia="宋体" w:hAnsi="Arial" w:cs="Arial"/>
          <w:b/>
          <w:kern w:val="0"/>
          <w:sz w:val="24"/>
          <w:szCs w:val="24"/>
          <w:lang w:val="en-GB" w:eastAsia="en-US"/>
        </w:rPr>
        <w:t>Agenda Item:</w:t>
      </w:r>
      <w:r w:rsidRPr="00D77B9B">
        <w:rPr>
          <w:rFonts w:ascii="Arial" w:eastAsia="宋体" w:hAnsi="Arial" w:cs="Arial"/>
          <w:b/>
          <w:kern w:val="0"/>
          <w:sz w:val="24"/>
          <w:szCs w:val="24"/>
          <w:lang w:val="en-GB" w:eastAsia="en-US"/>
        </w:rPr>
        <w:tab/>
      </w:r>
      <w:r w:rsidR="00901EC7">
        <w:rPr>
          <w:rFonts w:ascii="Arial" w:eastAsia="宋体" w:hAnsi="Arial" w:cs="Arial"/>
          <w:b/>
          <w:kern w:val="0"/>
          <w:sz w:val="24"/>
          <w:szCs w:val="24"/>
          <w:lang w:val="en-GB" w:eastAsia="en-US"/>
        </w:rPr>
        <w:t>16</w:t>
      </w:r>
      <w:r w:rsidR="007E6854">
        <w:rPr>
          <w:rFonts w:ascii="Arial" w:eastAsia="宋体" w:hAnsi="Arial" w:cs="Arial" w:hint="eastAsia"/>
          <w:b/>
          <w:kern w:val="0"/>
          <w:sz w:val="24"/>
          <w:szCs w:val="24"/>
          <w:lang w:val="en-GB"/>
        </w:rPr>
        <w:t>.</w:t>
      </w:r>
      <w:r w:rsidR="007E6854">
        <w:rPr>
          <w:rFonts w:ascii="Arial" w:eastAsia="宋体" w:hAnsi="Arial" w:cs="Arial"/>
          <w:b/>
          <w:kern w:val="0"/>
          <w:sz w:val="24"/>
          <w:szCs w:val="24"/>
          <w:lang w:val="en-GB"/>
        </w:rPr>
        <w:t>1</w:t>
      </w:r>
    </w:p>
    <w:p w14:paraId="32074457" w14:textId="4E2A4051" w:rsidR="00B03CC7" w:rsidRPr="00D77B9B" w:rsidRDefault="00B03CC7" w:rsidP="00D77B9B">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D77B9B">
        <w:rPr>
          <w:rFonts w:ascii="Arial" w:eastAsia="宋体" w:hAnsi="Arial" w:cs="Arial"/>
          <w:b/>
          <w:kern w:val="0"/>
          <w:sz w:val="24"/>
          <w:szCs w:val="24"/>
          <w:lang w:val="en-GB" w:eastAsia="en-US"/>
        </w:rPr>
        <w:t>Source:</w:t>
      </w:r>
      <w:r w:rsidRPr="00D77B9B">
        <w:rPr>
          <w:rFonts w:ascii="Arial" w:eastAsia="宋体" w:hAnsi="Arial" w:cs="Arial"/>
          <w:b/>
          <w:kern w:val="0"/>
          <w:sz w:val="24"/>
          <w:szCs w:val="24"/>
          <w:lang w:val="en-GB" w:eastAsia="en-US"/>
        </w:rPr>
        <w:tab/>
        <w:t>Xiaomi</w:t>
      </w:r>
    </w:p>
    <w:p w14:paraId="5BD59771" w14:textId="13791CD5" w:rsidR="00B03CC7" w:rsidRPr="00D77B9B" w:rsidRDefault="00B03CC7" w:rsidP="00D77B9B">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D77B9B">
        <w:rPr>
          <w:rFonts w:ascii="Arial" w:eastAsia="宋体" w:hAnsi="Arial" w:cs="Arial"/>
          <w:b/>
          <w:kern w:val="0"/>
          <w:sz w:val="24"/>
          <w:szCs w:val="24"/>
          <w:lang w:val="en-GB" w:eastAsia="en-US"/>
        </w:rPr>
        <w:t>Title:</w:t>
      </w:r>
      <w:r w:rsidRPr="00D77B9B">
        <w:rPr>
          <w:rFonts w:ascii="Arial" w:eastAsia="宋体" w:hAnsi="Arial" w:cs="Arial"/>
          <w:b/>
          <w:kern w:val="0"/>
          <w:sz w:val="24"/>
          <w:szCs w:val="24"/>
          <w:lang w:val="en-GB" w:eastAsia="en-US"/>
        </w:rPr>
        <w:tab/>
      </w:r>
      <w:r w:rsidR="00901EC7" w:rsidRPr="00901EC7">
        <w:rPr>
          <w:rFonts w:ascii="Arial" w:eastAsia="宋体" w:hAnsi="Arial" w:cs="Arial"/>
          <w:b/>
          <w:kern w:val="0"/>
          <w:sz w:val="24"/>
          <w:szCs w:val="24"/>
          <w:lang w:eastAsia="en-US"/>
        </w:rPr>
        <w:t xml:space="preserve">Discussion on </w:t>
      </w:r>
      <w:r w:rsidR="008A55DC">
        <w:rPr>
          <w:rFonts w:ascii="Arial" w:eastAsia="宋体" w:hAnsi="Arial" w:cs="Arial" w:hint="eastAsia"/>
          <w:b/>
          <w:kern w:val="0"/>
          <w:sz w:val="24"/>
          <w:szCs w:val="24"/>
        </w:rPr>
        <w:t>minimum</w:t>
      </w:r>
      <w:r w:rsidR="008A55DC">
        <w:rPr>
          <w:rFonts w:ascii="Arial" w:eastAsia="宋体" w:hAnsi="Arial" w:cs="Arial"/>
          <w:b/>
          <w:kern w:val="0"/>
          <w:sz w:val="24"/>
          <w:szCs w:val="24"/>
          <w:lang w:eastAsia="en-US"/>
        </w:rPr>
        <w:t xml:space="preserve"> </w:t>
      </w:r>
      <w:r w:rsidR="008A55DC">
        <w:rPr>
          <w:rFonts w:ascii="Arial" w:eastAsia="宋体" w:hAnsi="Arial" w:cs="Arial" w:hint="eastAsia"/>
          <w:b/>
          <w:kern w:val="0"/>
          <w:sz w:val="24"/>
          <w:szCs w:val="24"/>
        </w:rPr>
        <w:t>TPR</w:t>
      </w:r>
      <w:r w:rsidR="008A55DC">
        <w:rPr>
          <w:rFonts w:ascii="Arial" w:eastAsia="宋体" w:hAnsi="Arial" w:cs="Arial"/>
          <w:b/>
          <w:kern w:val="0"/>
          <w:sz w:val="24"/>
          <w:szCs w:val="24"/>
        </w:rPr>
        <w:t xml:space="preserve"> for IMT-2030</w:t>
      </w:r>
    </w:p>
    <w:p w14:paraId="7A287724" w14:textId="4C4FBD9A" w:rsidR="0044041F" w:rsidRPr="00D77B9B" w:rsidRDefault="00B03CC7" w:rsidP="00D77B9B">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D77B9B">
        <w:rPr>
          <w:rFonts w:ascii="Arial" w:eastAsia="宋体" w:hAnsi="Arial" w:cs="Arial"/>
          <w:b/>
          <w:kern w:val="0"/>
          <w:sz w:val="24"/>
          <w:szCs w:val="24"/>
          <w:lang w:val="en-GB" w:eastAsia="en-US"/>
        </w:rPr>
        <w:t>Document for:</w:t>
      </w:r>
      <w:r w:rsidRPr="00D77B9B">
        <w:rPr>
          <w:rFonts w:ascii="Arial" w:eastAsia="宋体" w:hAnsi="Arial" w:cs="Arial"/>
          <w:b/>
          <w:kern w:val="0"/>
          <w:sz w:val="24"/>
          <w:szCs w:val="24"/>
          <w:lang w:val="en-GB" w:eastAsia="en-US"/>
        </w:rPr>
        <w:tab/>
        <w:t>Discussion and Decision</w:t>
      </w:r>
    </w:p>
    <w:p w14:paraId="1E687A0D" w14:textId="77777777" w:rsidR="003673FC" w:rsidRPr="00D77B9B" w:rsidRDefault="003673FC" w:rsidP="00D77B9B">
      <w:pPr>
        <w:widowControl/>
        <w:pBdr>
          <w:bottom w:val="single" w:sz="12" w:space="1" w:color="auto"/>
        </w:pBdr>
        <w:overflowPunct w:val="0"/>
        <w:autoSpaceDE w:val="0"/>
        <w:autoSpaceDN w:val="0"/>
        <w:adjustRightInd w:val="0"/>
        <w:snapToGrid w:val="0"/>
        <w:spacing w:after="120"/>
        <w:textAlignment w:val="baseline"/>
        <w:rPr>
          <w:rFonts w:eastAsia="Yu Mincho" w:cs="Times New Roman"/>
          <w:kern w:val="0"/>
          <w:sz w:val="4"/>
          <w:szCs w:val="4"/>
          <w:lang w:eastAsia="ja-JP"/>
        </w:rPr>
      </w:pPr>
    </w:p>
    <w:p w14:paraId="6A7F5C16" w14:textId="1F761E6A" w:rsidR="009E39E6" w:rsidRPr="00F15C24" w:rsidRDefault="009E39E6" w:rsidP="009E39E6">
      <w:pPr>
        <w:pStyle w:val="1"/>
        <w:numPr>
          <w:ilvl w:val="0"/>
          <w:numId w:val="4"/>
        </w:numPr>
        <w:adjustRightInd w:val="0"/>
        <w:snapToGrid w:val="0"/>
        <w:spacing w:before="0" w:after="120" w:line="240" w:lineRule="auto"/>
        <w:ind w:left="0" w:firstLine="0"/>
        <w:rPr>
          <w:rFonts w:ascii="Arial" w:eastAsia="宋体" w:hAnsi="Arial" w:cs="Arial"/>
          <w:sz w:val="28"/>
          <w:szCs w:val="28"/>
        </w:rPr>
      </w:pPr>
      <w:r>
        <w:rPr>
          <w:rFonts w:ascii="Arial" w:eastAsia="宋体" w:hAnsi="Arial" w:cs="Arial" w:hint="eastAsia"/>
          <w:sz w:val="28"/>
          <w:szCs w:val="28"/>
        </w:rPr>
        <w:t>Introduction</w:t>
      </w:r>
    </w:p>
    <w:p w14:paraId="758AAFA0" w14:textId="18841AAE" w:rsidR="008A55DC" w:rsidRPr="008A55DC" w:rsidRDefault="008A55DC" w:rsidP="008A55DC">
      <w:pPr>
        <w:spacing w:after="120"/>
        <w:rPr>
          <w:rFonts w:eastAsia="宋体" w:cs="Times New Roman"/>
          <w:kern w:val="0"/>
          <w:sz w:val="22"/>
        </w:rPr>
      </w:pPr>
      <w:r w:rsidRPr="008A55DC">
        <w:rPr>
          <w:rFonts w:eastAsia="等线" w:cs="Times New Roman"/>
        </w:rPr>
        <w:t>In RAN#106 meeting, 14 legacy TPRs of IMT-2020 are agreed as candidates IMT-2030 TPRs and an LS has been sent to ITU-R</w:t>
      </w:r>
      <w:bookmarkStart w:id="0" w:name="_Hlk191471291"/>
      <w:r w:rsidRPr="008A55DC">
        <w:rPr>
          <w:rFonts w:eastAsia="等线" w:cs="Times New Roman"/>
        </w:rPr>
        <w:t>.</w:t>
      </w:r>
      <w:bookmarkEnd w:id="0"/>
    </w:p>
    <w:p w14:paraId="6480798B" w14:textId="77777777" w:rsidR="008A55DC" w:rsidRPr="008A55DC" w:rsidRDefault="008A55DC" w:rsidP="008A55DC">
      <w:pPr>
        <w:spacing w:after="120"/>
        <w:rPr>
          <w:rFonts w:eastAsia="等线" w:cs="Times New Roman"/>
        </w:rPr>
      </w:pPr>
      <w:r w:rsidRPr="008A55DC">
        <w:rPr>
          <w:rFonts w:eastAsia="等线" w:cs="Times New Roman"/>
        </w:rPr>
        <w:t xml:space="preserve">In RAN#107, some new candidate TPRs were agreed to be defined, including </w:t>
      </w:r>
      <w:r w:rsidRPr="008650E6">
        <w:rPr>
          <w:rFonts w:eastAsia="等线" w:cs="Times New Roman"/>
        </w:rPr>
        <w:t>positioning accuracy, sensing-related capabilities, AI-related capabilities, Energy efficiency and joint/composite requirement [1]. The</w:t>
      </w:r>
      <w:r w:rsidRPr="008A55DC">
        <w:rPr>
          <w:rFonts w:eastAsia="等线" w:cs="Times New Roman"/>
        </w:rPr>
        <w:t xml:space="preserve"> following proposals are agreed:</w:t>
      </w:r>
    </w:p>
    <w:tbl>
      <w:tblPr>
        <w:tblStyle w:val="TableGrid5"/>
        <w:tblW w:w="9060" w:type="dxa"/>
        <w:tblLayout w:type="fixed"/>
        <w:tblLook w:val="04A0" w:firstRow="1" w:lastRow="0" w:firstColumn="1" w:lastColumn="0" w:noHBand="0" w:noVBand="1"/>
      </w:tblPr>
      <w:tblGrid>
        <w:gridCol w:w="9060"/>
      </w:tblGrid>
      <w:tr w:rsidR="008A55DC" w:rsidRPr="008A55DC" w14:paraId="26D92F95" w14:textId="77777777" w:rsidTr="000D570B">
        <w:tc>
          <w:tcPr>
            <w:tcW w:w="9060" w:type="dxa"/>
          </w:tcPr>
          <w:p w14:paraId="2FC3C368" w14:textId="77777777" w:rsidR="008A55DC" w:rsidRPr="008A55DC" w:rsidRDefault="008A55DC" w:rsidP="008A55DC">
            <w:pPr>
              <w:widowControl/>
              <w:jc w:val="left"/>
              <w:rPr>
                <w:rFonts w:eastAsia="等线" w:cs="Times New Roman"/>
                <w:i/>
                <w:kern w:val="0"/>
                <w:lang w:val="en-GB"/>
              </w:rPr>
            </w:pPr>
            <w:r w:rsidRPr="008A55DC">
              <w:rPr>
                <w:rFonts w:eastAsia="等线" w:cs="Times New Roman"/>
                <w:i/>
                <w:kern w:val="0"/>
                <w:lang w:val="en-GB"/>
              </w:rPr>
              <w:t>Proposal 1: Define positioning accuracy as a quantitative TPR</w:t>
            </w:r>
          </w:p>
          <w:p w14:paraId="042C3491" w14:textId="77777777" w:rsidR="008A55DC" w:rsidRPr="008A55DC" w:rsidRDefault="008A55DC" w:rsidP="008A55DC">
            <w:pPr>
              <w:widowControl/>
              <w:jc w:val="left"/>
              <w:rPr>
                <w:rFonts w:eastAsia="等线" w:cs="Times New Roman"/>
                <w:i/>
                <w:kern w:val="0"/>
                <w:lang w:val="en-GB"/>
              </w:rPr>
            </w:pPr>
            <w:r w:rsidRPr="008A55DC">
              <w:rPr>
                <w:rFonts w:eastAsia="等线" w:cs="Times New Roman"/>
                <w:i/>
                <w:kern w:val="0"/>
                <w:lang w:val="en-GB"/>
              </w:rPr>
              <w:t>Proposal 2: Define Sensing-related capabilities as a TPR.</w:t>
            </w:r>
          </w:p>
          <w:p w14:paraId="2EE9529A" w14:textId="77777777" w:rsidR="008A55DC" w:rsidRPr="008A55DC" w:rsidRDefault="008A55DC" w:rsidP="008A55DC">
            <w:pPr>
              <w:widowControl/>
              <w:jc w:val="left"/>
              <w:rPr>
                <w:rFonts w:eastAsia="等线" w:cs="Times New Roman"/>
                <w:i/>
                <w:kern w:val="0"/>
                <w:lang w:val="en-GB"/>
              </w:rPr>
            </w:pPr>
            <w:r w:rsidRPr="008A55DC">
              <w:rPr>
                <w:rFonts w:eastAsia="等线" w:cs="Times New Roman"/>
                <w:i/>
                <w:kern w:val="0"/>
                <w:lang w:val="en-GB"/>
              </w:rPr>
              <w:t>Proposal 3: define AI-related capabilities as qualitative TPR evaluated by inspection.</w:t>
            </w:r>
          </w:p>
          <w:p w14:paraId="4812B310" w14:textId="77777777" w:rsidR="008A55DC" w:rsidRPr="008A55DC" w:rsidRDefault="008A55DC" w:rsidP="008A55DC">
            <w:pPr>
              <w:widowControl/>
              <w:jc w:val="left"/>
              <w:rPr>
                <w:rFonts w:eastAsia="等线" w:cs="Times New Roman"/>
                <w:i/>
                <w:kern w:val="0"/>
                <w:lang w:val="en-GB"/>
              </w:rPr>
            </w:pPr>
            <w:r w:rsidRPr="008A55DC">
              <w:rPr>
                <w:rFonts w:eastAsia="等线" w:cs="Times New Roman"/>
                <w:i/>
                <w:kern w:val="0"/>
                <w:lang w:val="en-GB"/>
              </w:rPr>
              <w:t>Proposal 4: Define energy efficiency as a TPR.</w:t>
            </w:r>
          </w:p>
          <w:p w14:paraId="106C53D8" w14:textId="77777777" w:rsidR="008A55DC" w:rsidRPr="008A55DC" w:rsidRDefault="008A55DC" w:rsidP="008A55DC">
            <w:pPr>
              <w:widowControl/>
              <w:jc w:val="left"/>
              <w:rPr>
                <w:rFonts w:eastAsia="等线" w:cs="Times New Roman"/>
                <w:i/>
                <w:kern w:val="0"/>
                <w:lang w:val="en-GB"/>
              </w:rPr>
            </w:pPr>
            <w:r w:rsidRPr="008A55DC">
              <w:rPr>
                <w:rFonts w:eastAsia="等线" w:cs="Times New Roman"/>
                <w:i/>
                <w:kern w:val="0"/>
                <w:lang w:val="en-GB"/>
              </w:rPr>
              <w:t>Proposal 7: Define TPR (e.g. joint/composite requirement) related to data rate, latency, reliability, capacity etc. as a candidate IMT-2030 TPR.</w:t>
            </w:r>
          </w:p>
        </w:tc>
      </w:tr>
    </w:tbl>
    <w:p w14:paraId="75031DC0" w14:textId="77777777" w:rsidR="008A55DC" w:rsidRPr="008A55DC" w:rsidRDefault="008A55DC" w:rsidP="008A55DC">
      <w:pPr>
        <w:spacing w:after="120"/>
        <w:rPr>
          <w:rFonts w:eastAsia="等线" w:cs="Times New Roman"/>
        </w:rPr>
      </w:pPr>
      <w:r w:rsidRPr="008A55DC">
        <w:rPr>
          <w:rFonts w:eastAsia="等线" w:cs="Times New Roman"/>
        </w:rPr>
        <w:t>Furthermore, the values and some associated key assumptions of legacy TPRs were discussed and the following agreements were made:</w:t>
      </w:r>
    </w:p>
    <w:tbl>
      <w:tblPr>
        <w:tblStyle w:val="TableGrid5"/>
        <w:tblW w:w="9060" w:type="dxa"/>
        <w:tblLayout w:type="fixed"/>
        <w:tblLook w:val="04A0" w:firstRow="1" w:lastRow="0" w:firstColumn="1" w:lastColumn="0" w:noHBand="0" w:noVBand="1"/>
      </w:tblPr>
      <w:tblGrid>
        <w:gridCol w:w="9060"/>
      </w:tblGrid>
      <w:tr w:rsidR="008A55DC" w:rsidRPr="008A55DC" w14:paraId="26D4B9E4" w14:textId="77777777" w:rsidTr="000D570B">
        <w:tc>
          <w:tcPr>
            <w:tcW w:w="9060" w:type="dxa"/>
          </w:tcPr>
          <w:p w14:paraId="1399388D" w14:textId="77777777" w:rsidR="008A55DC" w:rsidRPr="008A55DC" w:rsidRDefault="008A55DC" w:rsidP="008A55DC">
            <w:pPr>
              <w:widowControl/>
              <w:jc w:val="left"/>
              <w:rPr>
                <w:rFonts w:eastAsia="等线" w:cs="Times New Roman"/>
                <w:i/>
                <w:kern w:val="0"/>
                <w:lang w:val="en-GB"/>
              </w:rPr>
            </w:pPr>
            <w:r w:rsidRPr="008A55DC">
              <w:rPr>
                <w:rFonts w:eastAsia="等线" w:cs="Times New Roman"/>
                <w:i/>
                <w:kern w:val="0"/>
                <w:lang w:val="en-GB"/>
              </w:rPr>
              <w:t>Proposal 5: For user experienced data rate, further discuss applicable deployment scenarios, and revisit the evaluation methodology before setting values for UL</w:t>
            </w:r>
          </w:p>
          <w:p w14:paraId="781B3EFA" w14:textId="77777777" w:rsidR="008A55DC" w:rsidRPr="008A55DC" w:rsidRDefault="008A55DC" w:rsidP="008A55DC">
            <w:pPr>
              <w:widowControl/>
              <w:jc w:val="left"/>
              <w:rPr>
                <w:rFonts w:eastAsia="等线" w:cs="Times New Roman"/>
                <w:i/>
                <w:kern w:val="0"/>
                <w:lang w:val="en-GB"/>
              </w:rPr>
            </w:pPr>
            <w:r w:rsidRPr="008A55DC">
              <w:rPr>
                <w:rFonts w:eastAsia="等线" w:cs="Times New Roman"/>
                <w:i/>
                <w:kern w:val="0"/>
                <w:lang w:val="en-GB"/>
              </w:rPr>
              <w:t>Proposal 6: For bandwidth TPR, it is proposed to set a target value of 400MHz (same definition as IMT-2020)</w:t>
            </w:r>
          </w:p>
          <w:p w14:paraId="484C0125" w14:textId="77777777" w:rsidR="008A55DC" w:rsidRPr="008A55DC" w:rsidRDefault="008A55DC" w:rsidP="008A55DC">
            <w:pPr>
              <w:widowControl/>
              <w:jc w:val="left"/>
              <w:rPr>
                <w:rFonts w:eastAsia="等线" w:cs="Times New Roman"/>
                <w:kern w:val="0"/>
              </w:rPr>
            </w:pPr>
            <w:r w:rsidRPr="008A55DC">
              <w:rPr>
                <w:rFonts w:eastAsia="等线" w:cs="Times New Roman"/>
                <w:i/>
                <w:kern w:val="0"/>
                <w:lang w:val="en-GB"/>
              </w:rPr>
              <w:t>-</w:t>
            </w:r>
            <w:r w:rsidRPr="008A55DC">
              <w:rPr>
                <w:rFonts w:eastAsia="等线" w:cs="Times New Roman"/>
                <w:i/>
                <w:kern w:val="0"/>
                <w:lang w:val="en-GB"/>
              </w:rPr>
              <w:tab/>
              <w:t>TBD on other TPR values</w:t>
            </w:r>
          </w:p>
        </w:tc>
      </w:tr>
    </w:tbl>
    <w:p w14:paraId="49EC2450" w14:textId="77777777" w:rsidR="008A55DC" w:rsidRPr="008A55DC" w:rsidRDefault="008A55DC" w:rsidP="008A55DC">
      <w:pPr>
        <w:spacing w:after="120"/>
        <w:rPr>
          <w:rFonts w:eastAsia="等线" w:cs="Times New Roman"/>
        </w:rPr>
      </w:pPr>
      <w:r w:rsidRPr="008A55DC">
        <w:rPr>
          <w:rFonts w:eastAsia="等线" w:cs="Times New Roman"/>
        </w:rPr>
        <w:t>In conference call 1 after RAN#107, further agreements on the values of peak data rate, peak spectral efficiency, user experience data rate, 5</w:t>
      </w:r>
      <w:r w:rsidRPr="008A55DC">
        <w:rPr>
          <w:rFonts w:eastAsia="等线" w:cs="Times New Roman"/>
          <w:vertAlign w:val="superscript"/>
        </w:rPr>
        <w:t>th</w:t>
      </w:r>
      <w:r w:rsidRPr="008A55DC">
        <w:rPr>
          <w:rFonts w:eastAsia="等线" w:cs="Times New Roman"/>
        </w:rPr>
        <w:t xml:space="preserve"> percentile user spectral efficiency were made, and it was agreed that security, interoperability, and sustainability are not defined as separate IMT-2030 </w:t>
      </w:r>
      <w:r w:rsidRPr="008650E6">
        <w:rPr>
          <w:rFonts w:eastAsia="等线" w:cs="Times New Roman"/>
        </w:rPr>
        <w:t>TPR [2].</w:t>
      </w:r>
    </w:p>
    <w:p w14:paraId="0339EBA8" w14:textId="0E048C45" w:rsidR="008A55DC" w:rsidRPr="008A55DC" w:rsidRDefault="008A55DC" w:rsidP="008A55DC">
      <w:pPr>
        <w:spacing w:after="120"/>
        <w:rPr>
          <w:rFonts w:eastAsia="等线" w:cs="Times New Roman"/>
        </w:rPr>
      </w:pPr>
      <w:r w:rsidRPr="008A55DC">
        <w:rPr>
          <w:rFonts w:eastAsia="等线" w:cs="Times New Roman"/>
        </w:rPr>
        <w:t xml:space="preserve">In this </w:t>
      </w:r>
      <w:r w:rsidR="009E39E6">
        <w:rPr>
          <w:rFonts w:eastAsia="等线" w:cs="Times New Roman"/>
        </w:rPr>
        <w:t>contribution</w:t>
      </w:r>
      <w:r w:rsidRPr="008A55DC">
        <w:rPr>
          <w:rFonts w:eastAsia="等线" w:cs="Times New Roman"/>
        </w:rPr>
        <w:t xml:space="preserve">, the remaining details of minimum TPRs are discussed. </w:t>
      </w:r>
    </w:p>
    <w:p w14:paraId="6012304B" w14:textId="77777777" w:rsidR="008A55DC" w:rsidRPr="008A55DC" w:rsidRDefault="008A55DC" w:rsidP="009E39E6">
      <w:pPr>
        <w:pStyle w:val="1"/>
        <w:numPr>
          <w:ilvl w:val="0"/>
          <w:numId w:val="4"/>
        </w:numPr>
        <w:adjustRightInd w:val="0"/>
        <w:snapToGrid w:val="0"/>
        <w:spacing w:before="0" w:after="120" w:line="240" w:lineRule="auto"/>
        <w:ind w:left="0" w:firstLine="0"/>
        <w:rPr>
          <w:rFonts w:ascii="Arial" w:eastAsia="宋体" w:hAnsi="Arial" w:cs="Arial"/>
          <w:sz w:val="28"/>
          <w:szCs w:val="28"/>
        </w:rPr>
      </w:pPr>
      <w:r w:rsidRPr="008A55DC">
        <w:rPr>
          <w:rFonts w:ascii="Arial" w:eastAsia="宋体" w:hAnsi="Arial" w:cs="Arial"/>
          <w:sz w:val="28"/>
          <w:szCs w:val="28"/>
        </w:rPr>
        <w:t xml:space="preserve">Values of legacy TPR </w:t>
      </w:r>
    </w:p>
    <w:p w14:paraId="34D3AA28" w14:textId="77777777" w:rsidR="008A55DC" w:rsidRPr="008A55DC" w:rsidRDefault="008A55DC" w:rsidP="008A55DC">
      <w:pPr>
        <w:rPr>
          <w:rFonts w:eastAsia="等线" w:cs="Times New Roman"/>
          <w:i/>
          <w:iCs/>
          <w:u w:val="single"/>
        </w:rPr>
      </w:pPr>
      <w:r w:rsidRPr="008A55DC">
        <w:rPr>
          <w:rFonts w:eastAsia="等线" w:cs="Times New Roman"/>
          <w:i/>
          <w:iCs/>
          <w:u w:val="single"/>
        </w:rPr>
        <w:t>Peak data rate &amp; peak spectrum efficiency</w:t>
      </w:r>
    </w:p>
    <w:p w14:paraId="37338325" w14:textId="77777777" w:rsidR="008A55DC" w:rsidRPr="008A55DC" w:rsidRDefault="008A55DC" w:rsidP="008A55DC">
      <w:pPr>
        <w:rPr>
          <w:rFonts w:eastAsia="等线" w:cs="Times New Roman"/>
        </w:rPr>
      </w:pPr>
    </w:p>
    <w:p w14:paraId="4E3AE846" w14:textId="77777777" w:rsidR="008A55DC" w:rsidRPr="008A55DC" w:rsidRDefault="008A55DC" w:rsidP="008A55DC">
      <w:pPr>
        <w:spacing w:after="120"/>
        <w:rPr>
          <w:rFonts w:eastAsia="等线" w:cs="Times New Roman"/>
        </w:rPr>
      </w:pPr>
      <w:r w:rsidRPr="008A55DC">
        <w:rPr>
          <w:rFonts w:eastAsia="等线" w:cs="Times New Roman"/>
        </w:rPr>
        <w:t xml:space="preserve">In Conference call 1 after RAN#107, two alternatives were agreed to determine the value of peak data rate </w:t>
      </w:r>
      <w:r w:rsidRPr="008650E6">
        <w:rPr>
          <w:rFonts w:eastAsia="等线" w:cs="Times New Roman"/>
        </w:rPr>
        <w:t>[2]:</w:t>
      </w:r>
    </w:p>
    <w:p w14:paraId="44EDAA5C" w14:textId="5A15AD56" w:rsidR="008A55DC" w:rsidRPr="008A55DC" w:rsidRDefault="008A55DC" w:rsidP="0032575B">
      <w:pPr>
        <w:numPr>
          <w:ilvl w:val="0"/>
          <w:numId w:val="9"/>
        </w:numPr>
        <w:suppressAutoHyphens/>
        <w:spacing w:after="120"/>
        <w:rPr>
          <w:rFonts w:eastAsia="等线" w:cs="Times New Roman"/>
        </w:rPr>
      </w:pPr>
      <w:r w:rsidRPr="008A55DC">
        <w:rPr>
          <w:rFonts w:eastAsia="等线" w:cs="Times New Roman"/>
        </w:rPr>
        <w:t xml:space="preserve">Alternative 1: Not to define a requirement, </w:t>
      </w:r>
      <w:r w:rsidR="008650E6" w:rsidRPr="008A55DC">
        <w:rPr>
          <w:rFonts w:eastAsia="等线" w:cs="Times New Roman"/>
        </w:rPr>
        <w:t>e.g.,</w:t>
      </w:r>
      <w:r w:rsidRPr="008A55DC">
        <w:rPr>
          <w:rFonts w:eastAsia="等线" w:cs="Times New Roman"/>
        </w:rPr>
        <w:t xml:space="preserve"> Leave the value for peak data rate for the technology proponent to provide</w:t>
      </w:r>
    </w:p>
    <w:p w14:paraId="6CAD5898" w14:textId="77777777" w:rsidR="008A55DC" w:rsidRPr="008A55DC" w:rsidRDefault="008A55DC" w:rsidP="0032575B">
      <w:pPr>
        <w:numPr>
          <w:ilvl w:val="0"/>
          <w:numId w:val="9"/>
        </w:numPr>
        <w:suppressAutoHyphens/>
        <w:spacing w:after="120"/>
        <w:rPr>
          <w:rFonts w:eastAsia="等线" w:cs="Times New Roman"/>
        </w:rPr>
      </w:pPr>
      <w:r w:rsidRPr="008A55DC">
        <w:rPr>
          <w:rFonts w:eastAsia="等线" w:cs="Times New Roman"/>
        </w:rPr>
        <w:t>Alternative 2: Define a requirement with reasonable value</w:t>
      </w:r>
    </w:p>
    <w:p w14:paraId="512CC2DE" w14:textId="77777777" w:rsidR="008A55DC" w:rsidRPr="008A55DC" w:rsidRDefault="008A55DC" w:rsidP="008A55DC">
      <w:pPr>
        <w:spacing w:after="120"/>
        <w:rPr>
          <w:rFonts w:eastAsia="等线" w:cs="Times New Roman"/>
        </w:rPr>
      </w:pPr>
      <w:r w:rsidRPr="008A55DC">
        <w:rPr>
          <w:rFonts w:eastAsia="等线" w:cs="Times New Roman"/>
        </w:rPr>
        <w:t>Also, the following agreement was made for value of peak spectrum efficiency:</w:t>
      </w:r>
    </w:p>
    <w:p w14:paraId="3D3C9E08" w14:textId="77777777" w:rsidR="008A55DC" w:rsidRPr="008A55DC" w:rsidRDefault="008A55DC" w:rsidP="0032575B">
      <w:pPr>
        <w:numPr>
          <w:ilvl w:val="0"/>
          <w:numId w:val="10"/>
        </w:numPr>
        <w:suppressAutoHyphens/>
        <w:spacing w:after="120"/>
        <w:rPr>
          <w:rFonts w:eastAsia="等线" w:cs="Times New Roman"/>
        </w:rPr>
      </w:pPr>
      <w:r w:rsidRPr="008A55DC">
        <w:rPr>
          <w:rFonts w:eastAsia="等线" w:cs="Times New Roman"/>
        </w:rPr>
        <w:t>DL: [1.5-2.5x] of IMT-2020</w:t>
      </w:r>
    </w:p>
    <w:p w14:paraId="59877B83" w14:textId="77777777" w:rsidR="008A55DC" w:rsidRPr="008A55DC" w:rsidRDefault="008A55DC" w:rsidP="0032575B">
      <w:pPr>
        <w:numPr>
          <w:ilvl w:val="0"/>
          <w:numId w:val="10"/>
        </w:numPr>
        <w:suppressAutoHyphens/>
        <w:spacing w:after="120"/>
        <w:rPr>
          <w:rFonts w:eastAsia="等线" w:cs="Times New Roman"/>
        </w:rPr>
      </w:pPr>
      <w:r w:rsidRPr="008A55DC">
        <w:rPr>
          <w:rFonts w:eastAsia="等线" w:cs="Times New Roman"/>
        </w:rPr>
        <w:t>UL: [1.5-2.5x] of IMT-2020</w:t>
      </w:r>
    </w:p>
    <w:p w14:paraId="3D9A2BEE" w14:textId="469DD107" w:rsidR="008A55DC" w:rsidRPr="008A55DC" w:rsidRDefault="008A55DC" w:rsidP="008A55DC">
      <w:pPr>
        <w:spacing w:after="120"/>
        <w:rPr>
          <w:rFonts w:eastAsia="等线" w:cs="Times New Roman"/>
        </w:rPr>
      </w:pPr>
      <w:r w:rsidRPr="008A55DC">
        <w:rPr>
          <w:rFonts w:eastAsia="等线" w:cs="Times New Roman"/>
        </w:rPr>
        <w:lastRenderedPageBreak/>
        <w:t xml:space="preserve">The value of the two TPRs are highly related, as the value of the peak data rate can be calculated by multiplexing the value of peak spectrum efficiency with the bandwidth. For peak spectrum efficiency, assuming that the overhead of 6G system is similar as that of 5G system, the </w:t>
      </w:r>
      <w:r w:rsidR="008C3BBB" w:rsidRPr="008A55DC">
        <w:rPr>
          <w:rFonts w:eastAsia="等线" w:cs="Times New Roman"/>
        </w:rPr>
        <w:t>enhancement</w:t>
      </w:r>
      <w:r w:rsidRPr="008A55DC">
        <w:rPr>
          <w:rFonts w:eastAsia="等线" w:cs="Times New Roman"/>
        </w:rPr>
        <w:t xml:space="preserve"> comes mainly from the increase of modulation order and the number of layers. </w:t>
      </w:r>
    </w:p>
    <w:p w14:paraId="5E940D0B" w14:textId="55CCDD98" w:rsidR="008A55DC" w:rsidRPr="008A55DC" w:rsidRDefault="008A55DC" w:rsidP="008A55DC">
      <w:pPr>
        <w:spacing w:after="120"/>
        <w:rPr>
          <w:rFonts w:eastAsia="等线" w:cs="Times New Roman"/>
        </w:rPr>
      </w:pPr>
      <w:r w:rsidRPr="008A55DC">
        <w:rPr>
          <w:rFonts w:eastAsia="等线" w:cs="Times New Roman"/>
        </w:rPr>
        <w:t xml:space="preserve">In TR 37.910 </w:t>
      </w:r>
      <w:r w:rsidRPr="008650E6">
        <w:rPr>
          <w:rFonts w:eastAsia="等线" w:cs="Times New Roman"/>
        </w:rPr>
        <w:t>[3],</w:t>
      </w:r>
      <w:r w:rsidRPr="008A55DC">
        <w:rPr>
          <w:rFonts w:eastAsia="等线" w:cs="Times New Roman"/>
        </w:rPr>
        <w:t xml:space="preserve"> the 3GPP evaluation assumption for DL spectrum efficiency is 8 layers</w:t>
      </w:r>
      <w:r w:rsidR="008C3BBB">
        <w:rPr>
          <w:rFonts w:eastAsia="等线" w:cs="Times New Roman"/>
        </w:rPr>
        <w:t xml:space="preserve"> and</w:t>
      </w:r>
      <w:r w:rsidRPr="008A55DC">
        <w:rPr>
          <w:rFonts w:eastAsia="等线" w:cs="Times New Roman"/>
        </w:rPr>
        <w:t xml:space="preserve"> 256 QAM</w:t>
      </w:r>
      <w:r w:rsidR="008C3BBB">
        <w:rPr>
          <w:rFonts w:eastAsia="等线" w:cs="Times New Roman"/>
        </w:rPr>
        <w:t>. Assuming</w:t>
      </w:r>
      <w:r w:rsidRPr="008A55DC">
        <w:rPr>
          <w:rFonts w:eastAsia="等线" w:cs="Times New Roman"/>
        </w:rPr>
        <w:t xml:space="preserve"> with max. coding rate 0.9258</w:t>
      </w:r>
      <w:r w:rsidR="008C3BBB">
        <w:rPr>
          <w:rFonts w:eastAsia="等线" w:cs="Times New Roman"/>
        </w:rPr>
        <w:t>,</w:t>
      </w:r>
      <w:r w:rsidRPr="008A55DC">
        <w:rPr>
          <w:rFonts w:eastAsia="等线" w:cs="Times New Roman"/>
        </w:rPr>
        <w:t xml:space="preserve"> the corresponding calculated spectrum efficiency is 46.7 with 100MHz BW and 30KHz SCS, which is higher than the minimum spectrum efficiency </w:t>
      </w:r>
      <w:r w:rsidR="008C3BBB">
        <w:rPr>
          <w:rFonts w:eastAsia="等线" w:cs="Times New Roman"/>
        </w:rPr>
        <w:t xml:space="preserve">TPR </w:t>
      </w:r>
      <w:r w:rsidRPr="008A55DC">
        <w:rPr>
          <w:rFonts w:eastAsia="等线" w:cs="Times New Roman"/>
        </w:rPr>
        <w:t xml:space="preserve">value of IMT-2020. </w:t>
      </w:r>
    </w:p>
    <w:p w14:paraId="70C5590D" w14:textId="41A6CA96" w:rsidR="008A55DC" w:rsidRPr="008A55DC" w:rsidRDefault="008A55DC" w:rsidP="008A55DC">
      <w:pPr>
        <w:spacing w:after="120"/>
        <w:rPr>
          <w:rFonts w:eastAsia="等线" w:cs="Times New Roman"/>
        </w:rPr>
      </w:pPr>
      <w:r w:rsidRPr="008A55DC">
        <w:rPr>
          <w:rFonts w:eastAsia="等线" w:cs="Times New Roman"/>
        </w:rPr>
        <w:t xml:space="preserve">Assuming the same configuration for IMT-2030, and </w:t>
      </w:r>
      <w:r w:rsidR="008C3BBB">
        <w:rPr>
          <w:rFonts w:eastAsia="等线" w:cs="Times New Roman"/>
        </w:rPr>
        <w:t>if</w:t>
      </w:r>
      <w:r w:rsidR="008C3BBB" w:rsidRPr="008A55DC">
        <w:rPr>
          <w:rFonts w:eastAsia="等线" w:cs="Times New Roman"/>
        </w:rPr>
        <w:t xml:space="preserve"> </w:t>
      </w:r>
      <w:r w:rsidRPr="008A55DC">
        <w:rPr>
          <w:rFonts w:eastAsia="等线" w:cs="Times New Roman"/>
        </w:rPr>
        <w:t>the modulation order is increased from 256QAM to 1024 QAM, the spectrum efficiency will be 58.4, which is still lower than 2 times of the spectrum efficiency value of IMT-2020. Therefore, to support 2 times of peak spectrum efficiency of IMT-2020, either 16 layers shall be assumed or 2048 QAM shall be assumed.</w:t>
      </w:r>
    </w:p>
    <w:p w14:paraId="5DF643CD" w14:textId="77777777" w:rsidR="008A55DC" w:rsidRPr="008A55DC" w:rsidRDefault="008A55DC" w:rsidP="008A55DC">
      <w:pPr>
        <w:spacing w:after="120"/>
        <w:rPr>
          <w:rFonts w:eastAsia="等线" w:cs="Times New Roman"/>
        </w:rPr>
      </w:pPr>
      <w:r w:rsidRPr="008A55DC">
        <w:rPr>
          <w:rFonts w:eastAsia="等线" w:cs="Times New Roman"/>
        </w:rPr>
        <w:t>Either 16 layers or 2048 QAM cannot be the typical configuration for 6G system, and thus it can be risky to set the value of peak spectrum of IMT-2030 to be 2 times of that of IMT-2020. Therefore, 1.5 times of IMT-2020 can be a more reasonable value for the peak spectrum efficiency of IMT-2030.</w:t>
      </w:r>
    </w:p>
    <w:p w14:paraId="4B9407E2" w14:textId="65711750" w:rsidR="008A55DC" w:rsidRPr="008A55DC" w:rsidRDefault="008A55DC" w:rsidP="008A55DC">
      <w:pPr>
        <w:spacing w:after="120"/>
        <w:rPr>
          <w:rFonts w:eastAsia="等线" w:cs="Times New Roman"/>
          <w:b/>
          <w:bCs/>
        </w:rPr>
      </w:pPr>
      <w:r w:rsidRPr="008A55DC">
        <w:rPr>
          <w:rFonts w:eastAsia="等线" w:cs="Times New Roman"/>
          <w:b/>
          <w:bCs/>
        </w:rPr>
        <w:t xml:space="preserve">Proposal </w:t>
      </w:r>
      <w:r w:rsidR="005B48FC">
        <w:rPr>
          <w:rFonts w:eastAsia="等线" w:cs="Times New Roman"/>
          <w:b/>
          <w:bCs/>
        </w:rPr>
        <w:t>1</w:t>
      </w:r>
      <w:r w:rsidRPr="008A55DC">
        <w:rPr>
          <w:rFonts w:eastAsia="等线" w:cs="Times New Roman"/>
          <w:b/>
          <w:bCs/>
        </w:rPr>
        <w:t xml:space="preserve">: The value for peak spectrum efficiency of IMT-2030 is 1.5 times of that of IMT-2020 </w:t>
      </w:r>
    </w:p>
    <w:p w14:paraId="08FF3EF9" w14:textId="77777777" w:rsidR="008A55DC" w:rsidRPr="008A55DC" w:rsidRDefault="008A55DC" w:rsidP="008A55DC">
      <w:pPr>
        <w:spacing w:after="120"/>
        <w:rPr>
          <w:rFonts w:eastAsia="等线" w:cs="Times New Roman"/>
        </w:rPr>
      </w:pPr>
      <w:r w:rsidRPr="008A55DC">
        <w:rPr>
          <w:rFonts w:eastAsia="等线" w:cs="Times New Roman"/>
        </w:rPr>
        <w:t xml:space="preserve">On the value of peak data rate, from recommendation M.2160 </w:t>
      </w:r>
      <w:r w:rsidRPr="008650E6">
        <w:rPr>
          <w:rFonts w:eastAsia="等线" w:cs="Times New Roman"/>
        </w:rPr>
        <w:t>[4],</w:t>
      </w:r>
      <w:r w:rsidRPr="008A55DC">
        <w:rPr>
          <w:rFonts w:eastAsia="等线" w:cs="Times New Roman"/>
        </w:rPr>
        <w:t xml:space="preserve"> a rather wide range of values have been proposed, i.e. [1~10x] of IMT-2020. Determining a reasonable value for this TPR would be difficult. In addition, almost all companies agree that the minimum TPR value of peak data rate would be a theoretical value which can never been achieved in the realistic. Therefore, Alternative 1 would be preferred if companies cannot achieve consensus on the exact value for this TPR. </w:t>
      </w:r>
    </w:p>
    <w:p w14:paraId="179E9BD4" w14:textId="46679FB8" w:rsidR="00620D9F" w:rsidRPr="008650E6" w:rsidRDefault="008A55DC" w:rsidP="00C9049F">
      <w:pPr>
        <w:spacing w:after="120"/>
        <w:rPr>
          <w:rFonts w:eastAsia="等线" w:cs="Times New Roman"/>
          <w:b/>
          <w:bCs/>
        </w:rPr>
      </w:pPr>
      <w:r w:rsidRPr="008A55DC">
        <w:rPr>
          <w:rFonts w:eastAsia="等线" w:cs="Times New Roman"/>
          <w:b/>
          <w:bCs/>
        </w:rPr>
        <w:t xml:space="preserve">Proposal </w:t>
      </w:r>
      <w:r w:rsidR="005B48FC">
        <w:rPr>
          <w:rFonts w:eastAsia="等线" w:cs="Times New Roman"/>
          <w:b/>
          <w:bCs/>
        </w:rPr>
        <w:t>2</w:t>
      </w:r>
      <w:r w:rsidRPr="008A55DC">
        <w:rPr>
          <w:rFonts w:eastAsia="等线" w:cs="Times New Roman"/>
          <w:b/>
          <w:bCs/>
        </w:rPr>
        <w:t xml:space="preserve">: Not to define a requirement for peak data rate, </w:t>
      </w:r>
      <w:r w:rsidR="008650E6" w:rsidRPr="008A55DC">
        <w:rPr>
          <w:rFonts w:eastAsia="等线" w:cs="Times New Roman"/>
          <w:b/>
          <w:bCs/>
        </w:rPr>
        <w:t>e.g.,</w:t>
      </w:r>
      <w:r w:rsidRPr="008A55DC">
        <w:rPr>
          <w:rFonts w:eastAsia="等线" w:cs="Times New Roman"/>
          <w:b/>
          <w:bCs/>
        </w:rPr>
        <w:t xml:space="preserve"> </w:t>
      </w:r>
      <w:r w:rsidR="00A51C06">
        <w:rPr>
          <w:rFonts w:eastAsia="等线" w:cs="Times New Roman" w:hint="eastAsia"/>
          <w:b/>
          <w:bCs/>
        </w:rPr>
        <w:t>l</w:t>
      </w:r>
      <w:r w:rsidRPr="008A55DC">
        <w:rPr>
          <w:rFonts w:eastAsia="等线" w:cs="Times New Roman"/>
          <w:b/>
          <w:bCs/>
        </w:rPr>
        <w:t>eave the value for peak data rate for the technology proponent to provide</w:t>
      </w:r>
    </w:p>
    <w:p w14:paraId="2CE71CE5" w14:textId="5BA24350" w:rsidR="008A55DC" w:rsidRPr="008A55DC" w:rsidRDefault="008A55DC" w:rsidP="008A55DC">
      <w:pPr>
        <w:spacing w:after="120"/>
        <w:rPr>
          <w:rFonts w:eastAsia="等线" w:cs="Times New Roman"/>
          <w:i/>
          <w:iCs/>
          <w:u w:val="single"/>
        </w:rPr>
      </w:pPr>
      <w:r w:rsidRPr="008A55DC">
        <w:rPr>
          <w:rFonts w:eastAsia="等线" w:cs="Times New Roman"/>
          <w:i/>
          <w:iCs/>
          <w:u w:val="single"/>
        </w:rPr>
        <w:t>5</w:t>
      </w:r>
      <w:r w:rsidRPr="008A55DC">
        <w:rPr>
          <w:rFonts w:eastAsia="等线" w:cs="Times New Roman"/>
          <w:i/>
          <w:iCs/>
          <w:u w:val="single"/>
          <w:vertAlign w:val="superscript"/>
        </w:rPr>
        <w:t>th</w:t>
      </w:r>
      <w:r w:rsidRPr="008A55DC">
        <w:rPr>
          <w:rFonts w:eastAsia="等线" w:cs="Times New Roman"/>
          <w:i/>
          <w:iCs/>
          <w:u w:val="single"/>
        </w:rPr>
        <w:t xml:space="preserve"> percentile user spectral </w:t>
      </w:r>
      <w:r w:rsidRPr="008650E6">
        <w:rPr>
          <w:rFonts w:eastAsia="等线" w:cs="Times New Roman"/>
          <w:i/>
          <w:iCs/>
          <w:u w:val="single"/>
        </w:rPr>
        <w:t xml:space="preserve">efficiency </w:t>
      </w:r>
      <w:r w:rsidR="008C3BBB" w:rsidRPr="008650E6">
        <w:rPr>
          <w:rFonts w:eastAsia="等线" w:cs="Times New Roman"/>
          <w:i/>
          <w:iCs/>
          <w:u w:val="single"/>
        </w:rPr>
        <w:t>&amp;</w:t>
      </w:r>
      <w:r w:rsidR="008C3BBB" w:rsidRPr="008650E6">
        <w:rPr>
          <w:u w:val="single"/>
        </w:rPr>
        <w:t xml:space="preserve"> </w:t>
      </w:r>
      <w:r w:rsidR="008C3BBB" w:rsidRPr="008650E6">
        <w:rPr>
          <w:rFonts w:eastAsia="等线" w:cs="Times New Roman"/>
          <w:i/>
          <w:iCs/>
          <w:u w:val="single"/>
        </w:rPr>
        <w:t>Av</w:t>
      </w:r>
      <w:r w:rsidR="008C3BBB" w:rsidRPr="008C3BBB">
        <w:rPr>
          <w:rFonts w:eastAsia="等线" w:cs="Times New Roman"/>
          <w:i/>
          <w:iCs/>
          <w:u w:val="single"/>
        </w:rPr>
        <w:t>erage spectral efficiency</w:t>
      </w:r>
    </w:p>
    <w:p w14:paraId="394C3790" w14:textId="226C8408" w:rsidR="008A55DC" w:rsidRDefault="008A55DC" w:rsidP="008A55DC">
      <w:pPr>
        <w:spacing w:after="120"/>
        <w:rPr>
          <w:rFonts w:eastAsia="等线" w:cs="Times New Roman"/>
        </w:rPr>
      </w:pPr>
      <w:r w:rsidRPr="008A55DC">
        <w:rPr>
          <w:rFonts w:eastAsia="等线" w:cs="Times New Roman"/>
        </w:rPr>
        <w:t xml:space="preserve">In the conference call after RAN#107, companies were encouraged to provide antenna assumption for different frequency ranges together with the requirements, </w:t>
      </w:r>
      <w:r w:rsidR="008650E6" w:rsidRPr="008A55DC">
        <w:rPr>
          <w:rFonts w:eastAsia="等线" w:cs="Times New Roman"/>
        </w:rPr>
        <w:t>e.g.,</w:t>
      </w:r>
      <w:r w:rsidRPr="008A55DC">
        <w:rPr>
          <w:rFonts w:eastAsia="等线" w:cs="Times New Roman"/>
        </w:rPr>
        <w:t xml:space="preserve"> 4GHz, 7GHz, and 30GHz. Also, the applicable scenarios should be </w:t>
      </w:r>
      <w:r w:rsidRPr="008650E6">
        <w:rPr>
          <w:rFonts w:eastAsia="等线" w:cs="Times New Roman"/>
        </w:rPr>
        <w:t>considered [2].</w:t>
      </w:r>
    </w:p>
    <w:p w14:paraId="0A8A6494" w14:textId="77777777" w:rsidR="00C9049F" w:rsidRDefault="00C9049F" w:rsidP="00C9049F">
      <w:pPr>
        <w:spacing w:after="120"/>
        <w:jc w:val="center"/>
        <w:rPr>
          <w:rFonts w:eastAsia="等线" w:cs="Times New Roman"/>
          <w:b/>
          <w:bCs/>
        </w:rPr>
      </w:pPr>
      <w:r>
        <w:rPr>
          <w:rFonts w:eastAsia="等线" w:cs="Times New Roman"/>
          <w:b/>
          <w:bCs/>
          <w:noProof/>
        </w:rPr>
        <w:drawing>
          <wp:inline distT="0" distB="0" distL="0" distR="0" wp14:anchorId="64D059AB" wp14:editId="280CF134">
            <wp:extent cx="2613600" cy="1854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13600" cy="1854000"/>
                    </a:xfrm>
                    <a:prstGeom prst="rect">
                      <a:avLst/>
                    </a:prstGeom>
                  </pic:spPr>
                </pic:pic>
              </a:graphicData>
            </a:graphic>
          </wp:inline>
        </w:drawing>
      </w:r>
      <w:r>
        <w:rPr>
          <w:rFonts w:eastAsia="等线" w:cs="Times New Roman" w:hint="eastAsia"/>
          <w:b/>
          <w:bCs/>
          <w:noProof/>
        </w:rPr>
        <w:drawing>
          <wp:inline distT="0" distB="0" distL="0" distR="0" wp14:anchorId="138E29F1" wp14:editId="4FEBB20E">
            <wp:extent cx="2613600" cy="1854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13600" cy="1854000"/>
                    </a:xfrm>
                    <a:prstGeom prst="rect">
                      <a:avLst/>
                    </a:prstGeom>
                  </pic:spPr>
                </pic:pic>
              </a:graphicData>
            </a:graphic>
          </wp:inline>
        </w:drawing>
      </w:r>
    </w:p>
    <w:p w14:paraId="7A412DAC" w14:textId="77777777" w:rsidR="00C9049F" w:rsidRPr="00BD4B07" w:rsidRDefault="00C9049F" w:rsidP="00C9049F">
      <w:pPr>
        <w:spacing w:after="120"/>
        <w:jc w:val="center"/>
        <w:rPr>
          <w:rFonts w:eastAsia="等线" w:cs="Times New Roman"/>
        </w:rPr>
      </w:pPr>
      <w:r w:rsidRPr="00BD4B07">
        <w:rPr>
          <w:rFonts w:eastAsia="等线" w:cs="Times New Roman"/>
        </w:rPr>
        <w:t>(a) Macro layer of dense urban</w:t>
      </w:r>
      <w:r w:rsidRPr="00BD4B07">
        <w:rPr>
          <w:rFonts w:eastAsia="等线" w:cs="Times New Roman"/>
        </w:rPr>
        <w:tab/>
      </w:r>
      <w:r w:rsidRPr="00BD4B07">
        <w:rPr>
          <w:rFonts w:eastAsia="等线" w:cs="Times New Roman"/>
        </w:rPr>
        <w:tab/>
      </w:r>
      <w:r w:rsidRPr="00BD4B07">
        <w:rPr>
          <w:rFonts w:eastAsia="等线" w:cs="Times New Roman"/>
        </w:rPr>
        <w:tab/>
      </w:r>
      <w:r w:rsidRPr="00BD4B07">
        <w:rPr>
          <w:rFonts w:eastAsia="等线" w:cs="Times New Roman"/>
        </w:rPr>
        <w:tab/>
      </w:r>
      <w:r w:rsidRPr="00BD4B07">
        <w:rPr>
          <w:rFonts w:eastAsia="等线" w:cs="Times New Roman"/>
        </w:rPr>
        <w:tab/>
        <w:t>(b) Indoor hotspot</w:t>
      </w:r>
    </w:p>
    <w:p w14:paraId="62A7F11B" w14:textId="5FD9956A" w:rsidR="008C3BBB" w:rsidRDefault="00C9049F" w:rsidP="008650E6">
      <w:pPr>
        <w:spacing w:after="120"/>
        <w:jc w:val="center"/>
        <w:rPr>
          <w:rFonts w:eastAsia="等线" w:cs="Times New Roman"/>
        </w:rPr>
      </w:pPr>
      <w:r w:rsidRPr="00BD4B07">
        <w:rPr>
          <w:rFonts w:eastAsia="等线" w:cs="Times New Roman" w:hint="eastAsia"/>
        </w:rPr>
        <w:t>F</w:t>
      </w:r>
      <w:r w:rsidRPr="00BD4B07">
        <w:rPr>
          <w:rFonts w:eastAsia="等线" w:cs="Times New Roman"/>
        </w:rPr>
        <w:t>igure 1. DL performance of average spectral efficiency and 5</w:t>
      </w:r>
      <w:r w:rsidRPr="00BD4B07">
        <w:rPr>
          <w:rFonts w:eastAsia="等线" w:cs="Times New Roman"/>
          <w:vertAlign w:val="superscript"/>
        </w:rPr>
        <w:t>th</w:t>
      </w:r>
      <w:r w:rsidRPr="00BD4B07">
        <w:rPr>
          <w:rFonts w:eastAsia="等线" w:cs="Times New Roman"/>
        </w:rPr>
        <w:t xml:space="preserve"> percentile user spectral efficiency</w:t>
      </w:r>
    </w:p>
    <w:p w14:paraId="10759965" w14:textId="09A12D71" w:rsidR="00C9049F" w:rsidRPr="00C9049F" w:rsidRDefault="008C3BBB" w:rsidP="008650E6">
      <w:pPr>
        <w:spacing w:after="120"/>
        <w:jc w:val="left"/>
        <w:rPr>
          <w:rFonts w:eastAsia="等线" w:cs="Times New Roman"/>
        </w:rPr>
      </w:pPr>
      <w:r>
        <w:rPr>
          <w:rFonts w:eastAsia="等线" w:cs="Times New Roman"/>
        </w:rPr>
        <w:t>In Figure 1, the DL performance</w:t>
      </w:r>
      <w:r w:rsidR="00C50048">
        <w:rPr>
          <w:rFonts w:eastAsia="等线" w:cs="Times New Roman"/>
        </w:rPr>
        <w:t xml:space="preserve"> gain</w:t>
      </w:r>
      <w:r>
        <w:rPr>
          <w:rFonts w:eastAsia="等线" w:cs="Times New Roman"/>
        </w:rPr>
        <w:t xml:space="preserve"> of average spectral efficiency and 5</w:t>
      </w:r>
      <w:r w:rsidRPr="008650E6">
        <w:rPr>
          <w:rFonts w:eastAsia="等线" w:cs="Times New Roman"/>
          <w:vertAlign w:val="superscript"/>
        </w:rPr>
        <w:t>th</w:t>
      </w:r>
      <w:r>
        <w:rPr>
          <w:rFonts w:eastAsia="等线" w:cs="Times New Roman"/>
        </w:rPr>
        <w:t xml:space="preserve"> percentile user spectral efficiency in </w:t>
      </w:r>
      <w:r w:rsidR="004C3744">
        <w:rPr>
          <w:rFonts w:eastAsia="等线" w:cs="Times New Roman"/>
        </w:rPr>
        <w:t xml:space="preserve">macro layer of </w:t>
      </w:r>
      <w:r>
        <w:rPr>
          <w:rFonts w:eastAsia="等线" w:cs="Times New Roman"/>
        </w:rPr>
        <w:t xml:space="preserve">dense urban and indoor hotspot scenarios are shown, with different antenna elements and </w:t>
      </w:r>
      <w:r w:rsidR="004C3744">
        <w:rPr>
          <w:rFonts w:eastAsia="等线" w:cs="Times New Roman"/>
        </w:rPr>
        <w:t xml:space="preserve">antenna port assumptions. Non-ideal CSI and channel estimation are assumed. 4GHz carrier frequency is assumed for NR as the baseline performance, and 7GHz carrier frequency is assumed for 6G system. </w:t>
      </w:r>
      <w:r w:rsidR="00C9049F" w:rsidRPr="00BD4B07">
        <w:rPr>
          <w:rFonts w:eastAsia="等线" w:cs="Times New Roman"/>
        </w:rPr>
        <w:t xml:space="preserve">At each TRxP, each antenna port corresponds with 4 antenna elements in macro layer of dense urban and 1 antenna element in indoor hotspot, respectively; At each UE, 4 antenna elements driven by 4 TXRUs are </w:t>
      </w:r>
      <w:r w:rsidR="004C3744">
        <w:rPr>
          <w:rFonts w:eastAsia="等线" w:cs="Times New Roman"/>
        </w:rPr>
        <w:t>assumed</w:t>
      </w:r>
      <w:r w:rsidR="00C9049F" w:rsidRPr="00BD4B07">
        <w:rPr>
          <w:rFonts w:eastAsia="等线" w:cs="Times New Roman"/>
        </w:rPr>
        <w:t>.</w:t>
      </w:r>
    </w:p>
    <w:p w14:paraId="5A781013" w14:textId="60F382F0" w:rsidR="008A55DC" w:rsidRPr="008A55DC" w:rsidRDefault="008A55DC" w:rsidP="008A55DC">
      <w:pPr>
        <w:spacing w:after="120"/>
        <w:rPr>
          <w:rFonts w:eastAsia="等线" w:cs="Times New Roman"/>
        </w:rPr>
      </w:pPr>
      <w:r w:rsidRPr="008650E6">
        <w:rPr>
          <w:rFonts w:eastAsia="等线" w:cs="Times New Roman"/>
        </w:rPr>
        <w:t xml:space="preserve">It can be observed that </w:t>
      </w:r>
      <w:r w:rsidR="00D354EC" w:rsidRPr="008650E6">
        <w:rPr>
          <w:rFonts w:eastAsia="等线" w:cs="Times New Roman"/>
        </w:rPr>
        <w:t xml:space="preserve">more than </w:t>
      </w:r>
      <w:r w:rsidRPr="008650E6">
        <w:rPr>
          <w:rFonts w:eastAsia="等线" w:cs="Times New Roman"/>
        </w:rPr>
        <w:t>2</w:t>
      </w:r>
      <w:r w:rsidR="00D354EC" w:rsidRPr="008650E6">
        <w:rPr>
          <w:rFonts w:eastAsia="等线" w:cs="Times New Roman"/>
        </w:rPr>
        <w:t>.5</w:t>
      </w:r>
      <w:r w:rsidRPr="008650E6">
        <w:rPr>
          <w:rFonts w:eastAsia="等线" w:cs="Times New Roman"/>
        </w:rPr>
        <w:t xml:space="preserve"> times of 5</w:t>
      </w:r>
      <w:r w:rsidRPr="008650E6">
        <w:rPr>
          <w:rFonts w:eastAsia="等线" w:cs="Times New Roman"/>
          <w:vertAlign w:val="superscript"/>
        </w:rPr>
        <w:t>th</w:t>
      </w:r>
      <w:r w:rsidRPr="008650E6">
        <w:rPr>
          <w:rFonts w:eastAsia="等线" w:cs="Times New Roman"/>
        </w:rPr>
        <w:t xml:space="preserve"> percentile user spectral efficiency can be achieved, if the antenna configuration of </w:t>
      </w:r>
      <w:r w:rsidR="008650E6" w:rsidRPr="00BD4B07">
        <w:rPr>
          <w:rFonts w:eastAsia="等线" w:cs="Times New Roman"/>
        </w:rPr>
        <w:t>TRxP</w:t>
      </w:r>
      <w:r w:rsidR="008650E6" w:rsidRPr="008650E6">
        <w:rPr>
          <w:rFonts w:eastAsia="等线" w:cs="Times New Roman"/>
        </w:rPr>
        <w:t xml:space="preserve"> </w:t>
      </w:r>
      <w:r w:rsidRPr="008650E6">
        <w:rPr>
          <w:rFonts w:eastAsia="等线" w:cs="Times New Roman"/>
        </w:rPr>
        <w:t>is increased from 32 ports</w:t>
      </w:r>
      <w:r w:rsidR="00D354EC" w:rsidRPr="008650E6">
        <w:rPr>
          <w:rFonts w:eastAsia="等线" w:cs="Times New Roman"/>
        </w:rPr>
        <w:t xml:space="preserve"> </w:t>
      </w:r>
      <w:r w:rsidR="005E76AD" w:rsidRPr="008650E6">
        <w:rPr>
          <w:rFonts w:eastAsia="等线" w:cs="Times New Roman"/>
        </w:rPr>
        <w:t>(</w:t>
      </w:r>
      <w:r w:rsidR="00D354EC" w:rsidRPr="008650E6">
        <w:rPr>
          <w:rFonts w:eastAsia="等线" w:cs="Times New Roman"/>
        </w:rPr>
        <w:t>corresponding to 128 antenna elements in macro layer of dense urban</w:t>
      </w:r>
      <w:r w:rsidR="005E76AD" w:rsidRPr="008650E6">
        <w:rPr>
          <w:rFonts w:eastAsia="等线" w:cs="Times New Roman"/>
        </w:rPr>
        <w:t xml:space="preserve"> or 32 antenna elements in indoor hotspot)</w:t>
      </w:r>
      <w:r w:rsidRPr="008650E6">
        <w:rPr>
          <w:rFonts w:eastAsia="等线" w:cs="Times New Roman"/>
        </w:rPr>
        <w:t xml:space="preserve"> to 256 ports</w:t>
      </w:r>
      <w:r w:rsidR="005E76AD" w:rsidRPr="008650E6">
        <w:rPr>
          <w:rFonts w:eastAsia="等线" w:cs="Times New Roman"/>
        </w:rPr>
        <w:t xml:space="preserve"> (corresponding to 1024 antenna </w:t>
      </w:r>
      <w:r w:rsidR="005E76AD" w:rsidRPr="008650E6">
        <w:rPr>
          <w:rFonts w:eastAsia="等线" w:cs="Times New Roman"/>
        </w:rPr>
        <w:lastRenderedPageBreak/>
        <w:t>elements in macro layer of dense urban or 32 antenna elements in indoor hotspot)</w:t>
      </w:r>
      <w:r w:rsidRPr="008650E6">
        <w:rPr>
          <w:rFonts w:eastAsia="等线" w:cs="Times New Roman"/>
        </w:rPr>
        <w:t>. With this assumption, 2 times of IMT-2020 can be considered a reasonable value for IMT-2030.</w:t>
      </w:r>
    </w:p>
    <w:p w14:paraId="4B0D9998" w14:textId="011B69B9" w:rsidR="008A55DC" w:rsidRPr="008A55DC" w:rsidRDefault="008A55DC" w:rsidP="008A55DC">
      <w:pPr>
        <w:spacing w:after="120"/>
        <w:rPr>
          <w:rFonts w:eastAsia="等线" w:cs="Times New Roman"/>
          <w:b/>
          <w:bCs/>
        </w:rPr>
      </w:pPr>
      <w:r w:rsidRPr="008A55DC">
        <w:rPr>
          <w:rFonts w:eastAsia="等线" w:cs="Times New Roman"/>
          <w:b/>
          <w:bCs/>
        </w:rPr>
        <w:t xml:space="preserve">Proposal </w:t>
      </w:r>
      <w:r w:rsidR="005B48FC">
        <w:rPr>
          <w:rFonts w:eastAsia="等线" w:cs="Times New Roman"/>
          <w:b/>
          <w:bCs/>
        </w:rPr>
        <w:t>3</w:t>
      </w:r>
      <w:r w:rsidRPr="008A55DC">
        <w:rPr>
          <w:rFonts w:eastAsia="等线" w:cs="Times New Roman"/>
          <w:b/>
          <w:bCs/>
        </w:rPr>
        <w:t>: The value of 5</w:t>
      </w:r>
      <w:r w:rsidRPr="008A55DC">
        <w:rPr>
          <w:rFonts w:eastAsia="等线" w:cs="Times New Roman"/>
          <w:b/>
          <w:bCs/>
          <w:vertAlign w:val="superscript"/>
        </w:rPr>
        <w:t>th</w:t>
      </w:r>
      <w:r w:rsidRPr="008A55DC">
        <w:rPr>
          <w:rFonts w:eastAsia="等线" w:cs="Times New Roman"/>
          <w:b/>
          <w:bCs/>
        </w:rPr>
        <w:t xml:space="preserve"> percentile user spectral efficiency of IMT-2030 is set as 2 times of that of IMT-2020.</w:t>
      </w:r>
    </w:p>
    <w:p w14:paraId="741AC727" w14:textId="08D55728" w:rsidR="008A55DC" w:rsidRPr="008A55DC" w:rsidRDefault="00D354EC" w:rsidP="008A55DC">
      <w:pPr>
        <w:spacing w:after="120"/>
        <w:rPr>
          <w:rFonts w:eastAsia="等线" w:cs="Times New Roman"/>
        </w:rPr>
      </w:pPr>
      <w:r w:rsidRPr="008650E6">
        <w:rPr>
          <w:rFonts w:eastAsia="等线" w:cs="Times New Roman"/>
        </w:rPr>
        <w:t>From Figure 1, i</w:t>
      </w:r>
      <w:r w:rsidR="008A55DC" w:rsidRPr="008650E6">
        <w:rPr>
          <w:rFonts w:eastAsia="等线" w:cs="Times New Roman"/>
        </w:rPr>
        <w:t>t can</w:t>
      </w:r>
      <w:r w:rsidR="005E76AD" w:rsidRPr="008650E6">
        <w:rPr>
          <w:rFonts w:eastAsia="等线" w:cs="Times New Roman"/>
        </w:rPr>
        <w:t xml:space="preserve"> also</w:t>
      </w:r>
      <w:r w:rsidR="008A55DC" w:rsidRPr="008650E6">
        <w:rPr>
          <w:rFonts w:eastAsia="等线" w:cs="Times New Roman"/>
        </w:rPr>
        <w:t xml:space="preserve"> be observed that </w:t>
      </w:r>
      <w:r w:rsidRPr="008650E6">
        <w:rPr>
          <w:rFonts w:eastAsia="等线" w:cs="Times New Roman"/>
        </w:rPr>
        <w:t xml:space="preserve">more than </w:t>
      </w:r>
      <w:r w:rsidR="008A55DC" w:rsidRPr="008650E6">
        <w:rPr>
          <w:rFonts w:eastAsia="等线" w:cs="Times New Roman"/>
        </w:rPr>
        <w:t>2</w:t>
      </w:r>
      <w:r w:rsidRPr="008650E6">
        <w:rPr>
          <w:rFonts w:eastAsia="等线" w:cs="Times New Roman"/>
        </w:rPr>
        <w:t>.5</w:t>
      </w:r>
      <w:r w:rsidR="008A55DC" w:rsidRPr="008650E6">
        <w:rPr>
          <w:rFonts w:eastAsia="等线" w:cs="Times New Roman"/>
        </w:rPr>
        <w:t xml:space="preserve"> times of average spectral efficiency can be achieved, if the antenna configuration of </w:t>
      </w:r>
      <w:r w:rsidR="008650E6" w:rsidRPr="00BD4B07">
        <w:rPr>
          <w:rFonts w:eastAsia="等线" w:cs="Times New Roman"/>
        </w:rPr>
        <w:t>TRxP</w:t>
      </w:r>
      <w:r w:rsidR="008650E6" w:rsidRPr="008650E6">
        <w:rPr>
          <w:rFonts w:eastAsia="等线" w:cs="Times New Roman"/>
        </w:rPr>
        <w:t xml:space="preserve"> </w:t>
      </w:r>
      <w:r w:rsidR="008A55DC" w:rsidRPr="008650E6">
        <w:rPr>
          <w:rFonts w:eastAsia="等线" w:cs="Times New Roman"/>
        </w:rPr>
        <w:t xml:space="preserve">is increased from 32 ports </w:t>
      </w:r>
      <w:r w:rsidR="005E76AD" w:rsidRPr="008650E6">
        <w:rPr>
          <w:rFonts w:eastAsia="等线" w:cs="Times New Roman"/>
        </w:rPr>
        <w:t xml:space="preserve">(corresponding to 128 antenna elements in macro layer of dense urban or 32 antenna elements in indoor hotspot) </w:t>
      </w:r>
      <w:r w:rsidR="008A55DC" w:rsidRPr="008650E6">
        <w:rPr>
          <w:rFonts w:eastAsia="等线" w:cs="Times New Roman"/>
        </w:rPr>
        <w:t>to 256 ports</w:t>
      </w:r>
      <w:r w:rsidR="005E76AD" w:rsidRPr="008650E6">
        <w:rPr>
          <w:rFonts w:eastAsia="等线" w:cs="Times New Roman"/>
        </w:rPr>
        <w:t xml:space="preserve"> (corresponding to 1024 antenna elements in macro layer of dense urban or 32 antenna elements in indoor hotspot)</w:t>
      </w:r>
      <w:r w:rsidR="008A55DC" w:rsidRPr="008650E6">
        <w:rPr>
          <w:rFonts w:eastAsia="等线" w:cs="Times New Roman"/>
        </w:rPr>
        <w:t>. With this assumption, 2 times of IMT-2020 can be considered a reasonable value for IMT-2030.</w:t>
      </w:r>
    </w:p>
    <w:p w14:paraId="4257155C" w14:textId="1CD4A60C" w:rsidR="008A55DC" w:rsidRPr="008A55DC" w:rsidRDefault="008A55DC" w:rsidP="008A55DC">
      <w:pPr>
        <w:spacing w:after="120"/>
        <w:rPr>
          <w:rFonts w:eastAsia="等线" w:cs="Times New Roman"/>
          <w:b/>
          <w:bCs/>
        </w:rPr>
      </w:pPr>
      <w:r w:rsidRPr="008A55DC">
        <w:rPr>
          <w:rFonts w:eastAsia="等线" w:cs="Times New Roman"/>
          <w:b/>
          <w:bCs/>
        </w:rPr>
        <w:t xml:space="preserve">Proposal </w:t>
      </w:r>
      <w:r w:rsidR="005B48FC">
        <w:rPr>
          <w:rFonts w:eastAsia="等线" w:cs="Times New Roman"/>
          <w:b/>
          <w:bCs/>
        </w:rPr>
        <w:t>4</w:t>
      </w:r>
      <w:r w:rsidRPr="008A55DC">
        <w:rPr>
          <w:rFonts w:eastAsia="等线" w:cs="Times New Roman"/>
          <w:b/>
          <w:bCs/>
        </w:rPr>
        <w:t>: The value of average spectral efficiency of IMT-2030 is set as 2 times of that of IMT-2020.</w:t>
      </w:r>
    </w:p>
    <w:p w14:paraId="21DB3D5F" w14:textId="77777777" w:rsidR="008A55DC" w:rsidRPr="008A55DC" w:rsidRDefault="008A55DC" w:rsidP="008A55DC">
      <w:pPr>
        <w:widowControl/>
        <w:overflowPunct w:val="0"/>
        <w:snapToGrid w:val="0"/>
        <w:spacing w:after="120"/>
        <w:textAlignment w:val="baseline"/>
        <w:rPr>
          <w:rFonts w:eastAsia="+mn-ea" w:cs="Times New Roman"/>
          <w:i/>
          <w:iCs/>
          <w:u w:val="single"/>
        </w:rPr>
      </w:pPr>
      <w:r w:rsidRPr="008A55DC">
        <w:rPr>
          <w:rFonts w:eastAsia="+mn-ea" w:cs="Times New Roman"/>
          <w:i/>
          <w:iCs/>
          <w:u w:val="single"/>
        </w:rPr>
        <w:t>Area traffic capacity</w:t>
      </w:r>
    </w:p>
    <w:p w14:paraId="72CE1BE8" w14:textId="77777777" w:rsidR="008A55DC" w:rsidRPr="008A55DC" w:rsidRDefault="008A55DC" w:rsidP="008A55DC">
      <w:pPr>
        <w:widowControl/>
        <w:overflowPunct w:val="0"/>
        <w:snapToGrid w:val="0"/>
        <w:spacing w:after="120"/>
        <w:textAlignment w:val="baseline"/>
        <w:rPr>
          <w:rFonts w:eastAsia="等线" w:cs="Times New Roman"/>
        </w:rPr>
      </w:pPr>
      <w:r w:rsidRPr="008A55DC">
        <w:rPr>
          <w:rFonts w:eastAsia="+mn-ea" w:cs="Times New Roman"/>
        </w:rPr>
        <w:t>Area traffic capacity</w:t>
      </w:r>
      <w:r w:rsidRPr="008A55DC">
        <w:rPr>
          <w:rFonts w:eastAsia="等线" w:cs="Times New Roman"/>
        </w:rPr>
        <w:t xml:space="preserve"> is t</w:t>
      </w:r>
      <w:r w:rsidRPr="008A55DC">
        <w:rPr>
          <w:rFonts w:eastAsia="等线" w:cs="Times New Roman"/>
          <w:szCs w:val="24"/>
        </w:rPr>
        <w:t xml:space="preserve">he </w:t>
      </w:r>
      <w:r w:rsidRPr="008A55DC">
        <w:rPr>
          <w:rFonts w:eastAsia="等线" w:cs="Times New Roman"/>
        </w:rPr>
        <w:t>total traffic throughput served per geographic area (in Mbit/s/m</w:t>
      </w:r>
      <w:r w:rsidRPr="008A55DC">
        <w:rPr>
          <w:rFonts w:eastAsia="等线" w:cs="Times New Roman"/>
          <w:vertAlign w:val="superscript"/>
        </w:rPr>
        <w:t>2</w:t>
      </w:r>
      <w:r w:rsidRPr="008A55DC">
        <w:rPr>
          <w:rFonts w:eastAsia="等线" w:cs="Times New Roman"/>
        </w:rPr>
        <w:t>), which can be expressed as</w:t>
      </w:r>
    </w:p>
    <w:p w14:paraId="68118E89" w14:textId="77777777" w:rsidR="008A55DC" w:rsidRPr="008A55DC" w:rsidRDefault="008A55DC" w:rsidP="008A55DC">
      <w:pPr>
        <w:widowControl/>
        <w:overflowPunct w:val="0"/>
        <w:snapToGrid w:val="0"/>
        <w:spacing w:after="120"/>
        <w:jc w:val="center"/>
        <w:textAlignment w:val="baseline"/>
        <w:rPr>
          <w:rFonts w:eastAsia="等线" w:cs="Times New Roman"/>
          <w:vertAlign w:val="subscript"/>
        </w:rPr>
      </w:pPr>
      <w:r w:rsidRPr="008A55DC">
        <w:rPr>
          <w:rFonts w:eastAsia="等线" w:cs="Times New Roman"/>
        </w:rPr>
        <w:t>C</w:t>
      </w:r>
      <w:r w:rsidRPr="008A55DC">
        <w:rPr>
          <w:rFonts w:eastAsia="等线" w:cs="Times New Roman"/>
          <w:vertAlign w:val="subscript"/>
        </w:rPr>
        <w:t>area</w:t>
      </w:r>
      <w:r w:rsidRPr="008A55DC">
        <w:rPr>
          <w:rFonts w:eastAsia="等线" w:cs="Times New Roman"/>
        </w:rPr>
        <w:t xml:space="preserve"> = ρ × W × SE</w:t>
      </w:r>
      <w:r w:rsidRPr="008A55DC">
        <w:rPr>
          <w:rFonts w:eastAsia="等线" w:cs="Times New Roman"/>
          <w:vertAlign w:val="subscript"/>
        </w:rPr>
        <w:t>avg</w:t>
      </w:r>
    </w:p>
    <w:p w14:paraId="04961655" w14:textId="036AE732" w:rsidR="008A55DC" w:rsidRPr="008A55DC" w:rsidRDefault="008A55DC" w:rsidP="008A55DC">
      <w:pPr>
        <w:widowControl/>
        <w:overflowPunct w:val="0"/>
        <w:snapToGrid w:val="0"/>
        <w:spacing w:after="120"/>
        <w:jc w:val="left"/>
        <w:textAlignment w:val="baseline"/>
        <w:rPr>
          <w:rFonts w:eastAsia="宋体" w:cs="Times New Roman"/>
          <w:kern w:val="0"/>
          <w:sz w:val="22"/>
        </w:rPr>
      </w:pPr>
      <w:r w:rsidRPr="008A55DC">
        <w:rPr>
          <w:rFonts w:eastAsia="等线" w:cs="Times New Roman"/>
        </w:rPr>
        <w:t xml:space="preserve">where </w:t>
      </w:r>
      <w:r w:rsidRPr="008A55DC">
        <w:rPr>
          <w:rFonts w:eastAsia="等线" w:cs="Times New Roman"/>
          <w:color w:val="000000"/>
        </w:rPr>
        <w:t xml:space="preserve">W denote the channel bandwidth and </w:t>
      </w:r>
      <m:oMath>
        <m:r>
          <w:rPr>
            <w:rFonts w:ascii="Cambria Math" w:eastAsia="宋体" w:hAnsi="Cambria Math" w:cs="等线"/>
          </w:rPr>
          <m:t>ρ</m:t>
        </m:r>
      </m:oMath>
      <w:r w:rsidRPr="008A55DC">
        <w:rPr>
          <w:rFonts w:eastAsia="等线" w:cs="Times New Roman"/>
          <w:color w:val="000000"/>
        </w:rPr>
        <w:t xml:space="preserve"> the </w:t>
      </w:r>
      <w:r w:rsidRPr="008A55DC">
        <w:rPr>
          <w:rFonts w:eastAsia="等线" w:cs="Times New Roman"/>
          <w:szCs w:val="24"/>
        </w:rPr>
        <w:t>TRxP density (TRxP/m</w:t>
      </w:r>
      <w:r w:rsidRPr="008A55DC">
        <w:rPr>
          <w:rFonts w:eastAsia="等线" w:cs="Times New Roman"/>
          <w:szCs w:val="24"/>
          <w:vertAlign w:val="superscript"/>
        </w:rPr>
        <w:t>2</w:t>
      </w:r>
      <w:r w:rsidRPr="008A55DC">
        <w:rPr>
          <w:rFonts w:eastAsia="等线" w:cs="Times New Roman"/>
          <w:szCs w:val="24"/>
        </w:rPr>
        <w:t xml:space="preserve">). Assuming that the same TRxP density as 5G, </w:t>
      </w:r>
      <w:r w:rsidRPr="008A55DC">
        <w:rPr>
          <w:rFonts w:eastAsia="等线" w:cs="Times New Roman"/>
        </w:rPr>
        <w:t>2 times of improvements on average spectral efficiency, and 2 times increase on channel bandwidth, totally 4 times improvements on area traffic capacity can be expected.</w:t>
      </w:r>
    </w:p>
    <w:p w14:paraId="0CE37853" w14:textId="77777777" w:rsidR="008A55DC" w:rsidRPr="008A55DC" w:rsidRDefault="008A55DC" w:rsidP="008A55DC">
      <w:pPr>
        <w:widowControl/>
        <w:overflowPunct w:val="0"/>
        <w:snapToGrid w:val="0"/>
        <w:spacing w:after="120"/>
        <w:textAlignment w:val="baseline"/>
        <w:rPr>
          <w:rFonts w:eastAsia="宋体" w:cs="Times New Roman"/>
          <w:i/>
          <w:iCs/>
          <w:kern w:val="0"/>
          <w:sz w:val="22"/>
          <w:u w:val="single"/>
        </w:rPr>
      </w:pPr>
      <w:r w:rsidRPr="008A55DC">
        <w:rPr>
          <w:rFonts w:eastAsia="宋体" w:cs="Times New Roman"/>
          <w:i/>
          <w:iCs/>
          <w:kern w:val="0"/>
          <w:sz w:val="22"/>
          <w:u w:val="single"/>
        </w:rPr>
        <w:t>User plane latency</w:t>
      </w:r>
    </w:p>
    <w:p w14:paraId="0D8BB989" w14:textId="77777777" w:rsidR="008A55DC" w:rsidRPr="008A55DC" w:rsidRDefault="008A55DC" w:rsidP="008A55DC">
      <w:pPr>
        <w:widowControl/>
        <w:overflowPunct w:val="0"/>
        <w:snapToGrid w:val="0"/>
        <w:spacing w:after="120"/>
        <w:textAlignment w:val="baseline"/>
        <w:rPr>
          <w:rFonts w:eastAsia="宋体" w:cs="Times New Roman"/>
          <w:kern w:val="0"/>
          <w:sz w:val="22"/>
        </w:rPr>
      </w:pPr>
      <w:r w:rsidRPr="008A55DC">
        <w:rPr>
          <w:rFonts w:eastAsia="宋体" w:cs="Times New Roman"/>
          <w:kern w:val="0"/>
          <w:sz w:val="22"/>
        </w:rPr>
        <w:t>User plane latency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w:t>
      </w:r>
    </w:p>
    <w:p w14:paraId="445964C8" w14:textId="77777777" w:rsidR="008A55DC" w:rsidRPr="008A55DC" w:rsidRDefault="008A55DC" w:rsidP="008A55DC">
      <w:pPr>
        <w:widowControl/>
        <w:overflowPunct w:val="0"/>
        <w:snapToGrid w:val="0"/>
        <w:spacing w:after="120"/>
        <w:textAlignment w:val="baseline"/>
        <w:rPr>
          <w:rFonts w:eastAsia="宋体" w:cs="Times New Roman"/>
          <w:kern w:val="0"/>
          <w:sz w:val="22"/>
        </w:rPr>
      </w:pPr>
      <w:r w:rsidRPr="008A55DC">
        <w:rPr>
          <w:rFonts w:eastAsia="宋体" w:cs="Times New Roman"/>
          <w:kern w:val="0"/>
          <w:sz w:val="22"/>
        </w:rPr>
        <w:t xml:space="preserve">The requirement of user plane latency for IMT-2030 can be 1ms for Immersive communication, and 0.5ms for HRLLC communications. </w:t>
      </w:r>
    </w:p>
    <w:p w14:paraId="347C2659" w14:textId="77777777" w:rsidR="008A55DC" w:rsidRPr="008A55DC" w:rsidRDefault="008A55DC" w:rsidP="008A55DC">
      <w:pPr>
        <w:widowControl/>
        <w:overflowPunct w:val="0"/>
        <w:snapToGrid w:val="0"/>
        <w:spacing w:after="120"/>
        <w:textAlignment w:val="baseline"/>
        <w:rPr>
          <w:rFonts w:eastAsia="宋体" w:cs="Times New Roman"/>
          <w:i/>
          <w:iCs/>
          <w:kern w:val="0"/>
          <w:sz w:val="22"/>
          <w:u w:val="single"/>
        </w:rPr>
      </w:pPr>
      <w:r w:rsidRPr="008A55DC">
        <w:rPr>
          <w:rFonts w:eastAsia="宋体" w:cs="Times New Roman"/>
          <w:i/>
          <w:iCs/>
          <w:kern w:val="0"/>
          <w:sz w:val="22"/>
          <w:u w:val="single"/>
        </w:rPr>
        <w:t>Control plane latency</w:t>
      </w:r>
    </w:p>
    <w:p w14:paraId="19D7E812" w14:textId="77777777" w:rsidR="008A55DC" w:rsidRPr="008A55DC" w:rsidRDefault="008A55DC" w:rsidP="008A55DC">
      <w:pPr>
        <w:widowControl/>
        <w:overflowPunct w:val="0"/>
        <w:snapToGrid w:val="0"/>
        <w:spacing w:after="120"/>
        <w:textAlignment w:val="baseline"/>
        <w:rPr>
          <w:rFonts w:eastAsia="等线" w:cs="Times New Roman"/>
        </w:rPr>
      </w:pPr>
      <w:r w:rsidRPr="008A55DC">
        <w:rPr>
          <w:rFonts w:eastAsia="等线" w:cs="Times New Roman"/>
          <w:lang w:eastAsia="ko-KR"/>
        </w:rPr>
        <w:t xml:space="preserve">Control plane </w:t>
      </w:r>
      <w:r w:rsidRPr="008A55DC">
        <w:rPr>
          <w:rFonts w:eastAsia="等线" w:cs="Times New Roman"/>
        </w:rPr>
        <w:t>latency refers to the transition time from a most “battery efficient” state (e.g</w:t>
      </w:r>
      <w:r w:rsidRPr="008A55DC">
        <w:rPr>
          <w:rFonts w:eastAsia="等线" w:cs="Times New Roman"/>
          <w:lang w:eastAsia="ko-KR"/>
        </w:rPr>
        <w:t>.,</w:t>
      </w:r>
      <w:r w:rsidRPr="008A55DC">
        <w:rPr>
          <w:rFonts w:eastAsia="等线" w:cs="Times New Roman"/>
        </w:rPr>
        <w:t xml:space="preserve"> Idle state) to the start of continuous data transfer (e.g., Active</w:t>
      </w:r>
      <w:r w:rsidRPr="008A55DC">
        <w:rPr>
          <w:rFonts w:eastAsia="等线" w:cs="Times New Roman"/>
          <w:lang w:eastAsia="ja-JP"/>
        </w:rPr>
        <w:t xml:space="preserve"> state</w:t>
      </w:r>
      <w:r w:rsidRPr="008A55DC">
        <w:rPr>
          <w:rFonts w:eastAsia="等线" w:cs="Times New Roman"/>
        </w:rPr>
        <w:t>).</w:t>
      </w:r>
    </w:p>
    <w:p w14:paraId="0AEEB5D0" w14:textId="77777777" w:rsidR="008A55DC" w:rsidRPr="008A55DC" w:rsidRDefault="008A55DC" w:rsidP="008A55DC">
      <w:pPr>
        <w:widowControl/>
        <w:overflowPunct w:val="0"/>
        <w:snapToGrid w:val="0"/>
        <w:spacing w:after="120"/>
        <w:textAlignment w:val="baseline"/>
        <w:rPr>
          <w:rFonts w:eastAsia="宋体" w:cs="Times New Roman"/>
          <w:kern w:val="0"/>
          <w:sz w:val="22"/>
        </w:rPr>
      </w:pPr>
      <w:r w:rsidRPr="008A55DC">
        <w:rPr>
          <w:rFonts w:eastAsia="等线" w:cs="Times New Roman"/>
        </w:rPr>
        <w:t>The control plane latency for Immersive communication shall be reduced from IMT-2020, the minimum requirement of which can be 5-10ms for IMT-2030.</w:t>
      </w:r>
    </w:p>
    <w:p w14:paraId="02C193AE" w14:textId="77777777" w:rsidR="008A55DC" w:rsidRPr="008A55DC" w:rsidRDefault="008A55DC" w:rsidP="008A55DC">
      <w:pPr>
        <w:widowControl/>
        <w:overflowPunct w:val="0"/>
        <w:snapToGrid w:val="0"/>
        <w:spacing w:after="120"/>
        <w:textAlignment w:val="baseline"/>
        <w:rPr>
          <w:rFonts w:eastAsia="宋体" w:cs="Times New Roman"/>
          <w:i/>
          <w:iCs/>
          <w:kern w:val="0"/>
          <w:sz w:val="22"/>
          <w:u w:val="single"/>
        </w:rPr>
      </w:pPr>
      <w:r w:rsidRPr="008A55DC">
        <w:rPr>
          <w:rFonts w:eastAsia="宋体" w:cs="Times New Roman"/>
          <w:i/>
          <w:iCs/>
          <w:kern w:val="0"/>
          <w:sz w:val="22"/>
          <w:u w:val="single"/>
        </w:rPr>
        <w:t>Connection density</w:t>
      </w:r>
    </w:p>
    <w:p w14:paraId="574B26A4" w14:textId="77777777" w:rsidR="008A55DC" w:rsidRPr="008A55DC" w:rsidRDefault="008A55DC" w:rsidP="008A55DC">
      <w:pPr>
        <w:widowControl/>
        <w:tabs>
          <w:tab w:val="left" w:pos="794"/>
          <w:tab w:val="left" w:pos="1191"/>
          <w:tab w:val="left" w:pos="1588"/>
          <w:tab w:val="left" w:pos="1985"/>
        </w:tabs>
        <w:overflowPunct w:val="0"/>
        <w:spacing w:before="120"/>
        <w:textAlignment w:val="baseline"/>
        <w:rPr>
          <w:rFonts w:eastAsia="Times New Roman" w:cs="Times New Roman"/>
          <w:kern w:val="0"/>
          <w:sz w:val="24"/>
          <w:szCs w:val="20"/>
          <w:lang w:eastAsia="en-US"/>
        </w:rPr>
      </w:pPr>
      <w:r w:rsidRPr="008A55DC">
        <w:rPr>
          <w:rFonts w:eastAsia="Times New Roman" w:cs="Times New Roman"/>
          <w:kern w:val="0"/>
          <w:sz w:val="24"/>
          <w:szCs w:val="20"/>
          <w:lang w:eastAsia="en-US"/>
        </w:rPr>
        <w:t xml:space="preserve">Connection density is the total number of devices </w:t>
      </w:r>
      <w:r w:rsidRPr="008A55DC">
        <w:rPr>
          <w:rFonts w:eastAsia="Times New Roman" w:cs="Times New Roman"/>
          <w:kern w:val="0"/>
          <w:sz w:val="24"/>
          <w:szCs w:val="24"/>
          <w:lang w:eastAsia="en-US"/>
        </w:rPr>
        <w:t xml:space="preserve">fulfilling a specific </w:t>
      </w:r>
      <w:r w:rsidRPr="008A55DC">
        <w:rPr>
          <w:rFonts w:eastAsia="Times New Roman" w:cs="Times New Roman"/>
          <w:kern w:val="0"/>
          <w:sz w:val="24"/>
          <w:szCs w:val="20"/>
          <w:lang w:eastAsia="ja-JP"/>
        </w:rPr>
        <w:t>quality of service</w:t>
      </w:r>
      <w:r w:rsidRPr="008A55DC">
        <w:rPr>
          <w:rFonts w:eastAsia="Times New Roman" w:cs="Times New Roman"/>
          <w:kern w:val="0"/>
          <w:sz w:val="24"/>
          <w:szCs w:val="21"/>
          <w:lang w:eastAsia="ja-JP"/>
        </w:rPr>
        <w:t xml:space="preserve"> (</w:t>
      </w:r>
      <w:r w:rsidRPr="008A55DC">
        <w:rPr>
          <w:rFonts w:eastAsia="Times New Roman" w:cs="Times New Roman"/>
          <w:kern w:val="0"/>
          <w:sz w:val="24"/>
          <w:szCs w:val="24"/>
          <w:lang w:eastAsia="en-US"/>
        </w:rPr>
        <w:t>QoS</w:t>
      </w:r>
      <w:r w:rsidRPr="008A55DC">
        <w:rPr>
          <w:rFonts w:eastAsia="Times New Roman" w:cs="Times New Roman"/>
          <w:kern w:val="0"/>
          <w:sz w:val="24"/>
          <w:szCs w:val="21"/>
          <w:lang w:eastAsia="ja-JP"/>
        </w:rPr>
        <w:t>)</w:t>
      </w:r>
      <w:r w:rsidRPr="008A55DC">
        <w:rPr>
          <w:rFonts w:eastAsia="Times New Roman" w:cs="Times New Roman"/>
          <w:kern w:val="0"/>
          <w:sz w:val="24"/>
          <w:szCs w:val="24"/>
          <w:lang w:eastAsia="en-US"/>
        </w:rPr>
        <w:t xml:space="preserve"> </w:t>
      </w:r>
      <w:r w:rsidRPr="008A55DC">
        <w:rPr>
          <w:rFonts w:eastAsia="Times New Roman" w:cs="Times New Roman"/>
          <w:kern w:val="0"/>
          <w:sz w:val="24"/>
          <w:szCs w:val="20"/>
          <w:lang w:eastAsia="en-US"/>
        </w:rPr>
        <w:t>per unit area (per km</w:t>
      </w:r>
      <w:r w:rsidRPr="008A55DC">
        <w:rPr>
          <w:rFonts w:eastAsia="Times New Roman" w:cs="Times New Roman"/>
          <w:kern w:val="0"/>
          <w:sz w:val="24"/>
          <w:szCs w:val="20"/>
          <w:vertAlign w:val="superscript"/>
          <w:lang w:eastAsia="en-US"/>
        </w:rPr>
        <w:t>2</w:t>
      </w:r>
      <w:r w:rsidRPr="008A55DC">
        <w:rPr>
          <w:rFonts w:eastAsia="Times New Roman" w:cs="Times New Roman"/>
          <w:kern w:val="0"/>
          <w:sz w:val="24"/>
          <w:szCs w:val="20"/>
          <w:lang w:eastAsia="en-US"/>
        </w:rPr>
        <w:t>).</w:t>
      </w:r>
    </w:p>
    <w:p w14:paraId="791656C4" w14:textId="77777777" w:rsidR="008A55DC" w:rsidRPr="008A55DC" w:rsidRDefault="008A55DC" w:rsidP="008A55DC">
      <w:pPr>
        <w:widowControl/>
        <w:overflowPunct w:val="0"/>
        <w:snapToGrid w:val="0"/>
        <w:spacing w:after="120"/>
        <w:textAlignment w:val="baseline"/>
        <w:rPr>
          <w:rFonts w:eastAsia="宋体" w:cs="Times New Roman"/>
          <w:kern w:val="0"/>
          <w:sz w:val="22"/>
        </w:rPr>
      </w:pPr>
      <w:r w:rsidRPr="008A55DC">
        <w:rPr>
          <w:rFonts w:eastAsia="宋体" w:cs="Times New Roman"/>
          <w:kern w:val="0"/>
          <w:sz w:val="22"/>
        </w:rPr>
        <w:t>The minimum requirement for connection density for IMT-2030 can be 10</w:t>
      </w:r>
      <w:r w:rsidRPr="008A55DC">
        <w:rPr>
          <w:rFonts w:eastAsia="宋体" w:cs="Times New Roman"/>
          <w:kern w:val="0"/>
          <w:sz w:val="22"/>
          <w:vertAlign w:val="superscript"/>
        </w:rPr>
        <w:t>6</w:t>
      </w:r>
      <w:r w:rsidRPr="008A55DC">
        <w:rPr>
          <w:rFonts w:eastAsia="宋体" w:cs="Times New Roman"/>
          <w:kern w:val="0"/>
          <w:sz w:val="22"/>
        </w:rPr>
        <w:t>-10</w:t>
      </w:r>
      <w:r w:rsidRPr="008A55DC">
        <w:rPr>
          <w:rFonts w:eastAsia="宋体" w:cs="Times New Roman"/>
          <w:kern w:val="0"/>
          <w:sz w:val="22"/>
          <w:vertAlign w:val="superscript"/>
        </w:rPr>
        <w:t>7</w:t>
      </w:r>
      <w:r w:rsidRPr="008A55DC">
        <w:rPr>
          <w:rFonts w:eastAsia="宋体" w:cs="Times New Roman"/>
          <w:kern w:val="0"/>
          <w:sz w:val="22"/>
        </w:rPr>
        <w:t xml:space="preserve"> devices/km</w:t>
      </w:r>
      <w:r w:rsidRPr="008A55DC">
        <w:rPr>
          <w:rFonts w:eastAsia="宋体" w:cs="Times New Roman"/>
          <w:kern w:val="0"/>
          <w:sz w:val="22"/>
          <w:vertAlign w:val="superscript"/>
        </w:rPr>
        <w:t>2</w:t>
      </w:r>
      <w:r w:rsidRPr="008A55DC">
        <w:rPr>
          <w:rFonts w:eastAsia="宋体" w:cs="Times New Roman"/>
          <w:kern w:val="0"/>
          <w:sz w:val="22"/>
        </w:rPr>
        <w:t>.</w:t>
      </w:r>
    </w:p>
    <w:p w14:paraId="690B9157" w14:textId="77777777" w:rsidR="008A55DC" w:rsidRPr="008A55DC" w:rsidRDefault="008A55DC" w:rsidP="008A55DC">
      <w:pPr>
        <w:widowControl/>
        <w:overflowPunct w:val="0"/>
        <w:snapToGrid w:val="0"/>
        <w:spacing w:after="120"/>
        <w:textAlignment w:val="baseline"/>
        <w:rPr>
          <w:rFonts w:eastAsia="宋体" w:cs="Times New Roman"/>
          <w:i/>
          <w:iCs/>
          <w:kern w:val="0"/>
          <w:sz w:val="22"/>
          <w:u w:val="single"/>
        </w:rPr>
      </w:pPr>
      <w:r w:rsidRPr="008A55DC">
        <w:rPr>
          <w:rFonts w:eastAsia="宋体" w:cs="Times New Roman"/>
          <w:i/>
          <w:iCs/>
          <w:kern w:val="0"/>
          <w:sz w:val="22"/>
          <w:u w:val="single"/>
        </w:rPr>
        <w:t>Reliability</w:t>
      </w:r>
    </w:p>
    <w:p w14:paraId="7BD3A56C" w14:textId="77777777" w:rsidR="008A55DC" w:rsidRPr="008A55DC" w:rsidRDefault="008A55DC" w:rsidP="008A55DC">
      <w:pPr>
        <w:widowControl/>
        <w:overflowPunct w:val="0"/>
        <w:snapToGrid w:val="0"/>
        <w:spacing w:after="120"/>
        <w:textAlignment w:val="baseline"/>
        <w:rPr>
          <w:rFonts w:eastAsia="等线" w:cs="Times New Roman"/>
          <w:szCs w:val="24"/>
        </w:rPr>
      </w:pPr>
      <w:r w:rsidRPr="008A55DC">
        <w:rPr>
          <w:rFonts w:eastAsia="等线" w:cs="Times New Roman"/>
          <w:szCs w:val="24"/>
        </w:rPr>
        <w:t>Reliability is the success probability of transmitting a layer 2/3 packet within a required maximum time. For IMT-2020, t</w:t>
      </w:r>
      <w:r w:rsidRPr="008A55DC">
        <w:rPr>
          <w:rFonts w:eastAsia="等线" w:cs="Times New Roman"/>
        </w:rPr>
        <w:t>he minimum requirement for the reliability is 1-10</w:t>
      </w:r>
      <w:r w:rsidRPr="008A55DC">
        <w:rPr>
          <w:rFonts w:eastAsia="等线" w:cs="Times New Roman"/>
          <w:vertAlign w:val="superscript"/>
        </w:rPr>
        <w:t>−5</w:t>
      </w:r>
      <w:r w:rsidRPr="008A55DC">
        <w:rPr>
          <w:rFonts w:eastAsia="等线" w:cs="Times New Roman"/>
        </w:rPr>
        <w:t xml:space="preserve"> success probability of transmitting a layer 2 PDU (protocol data unit) of 32 bytes within 1 ms.</w:t>
      </w:r>
    </w:p>
    <w:p w14:paraId="017E12E1" w14:textId="77777777" w:rsidR="008A55DC" w:rsidRPr="008A55DC" w:rsidRDefault="008A55DC" w:rsidP="008A55DC">
      <w:pPr>
        <w:widowControl/>
        <w:overflowPunct w:val="0"/>
        <w:snapToGrid w:val="0"/>
        <w:spacing w:after="120"/>
        <w:textAlignment w:val="baseline"/>
        <w:rPr>
          <w:rFonts w:eastAsia="宋体" w:cs="Times New Roman"/>
          <w:kern w:val="0"/>
          <w:sz w:val="22"/>
        </w:rPr>
      </w:pPr>
      <w:r w:rsidRPr="008A55DC">
        <w:rPr>
          <w:rFonts w:eastAsia="等线" w:cs="Times New Roman"/>
          <w:szCs w:val="24"/>
        </w:rPr>
        <w:t>For IMT-2030, similar requirement of success probability, i.e., 1-10</w:t>
      </w:r>
      <w:r w:rsidRPr="008A55DC">
        <w:rPr>
          <w:rFonts w:eastAsia="等线" w:cs="Times New Roman"/>
          <w:szCs w:val="24"/>
          <w:vertAlign w:val="superscript"/>
        </w:rPr>
        <w:t>-5</w:t>
      </w:r>
      <w:r w:rsidRPr="008A55DC">
        <w:rPr>
          <w:rFonts w:eastAsia="等线" w:cs="Times New Roman"/>
          <w:szCs w:val="24"/>
        </w:rPr>
        <w:t xml:space="preserve">, can be considered with larger PDU or smaller latency constraints. </w:t>
      </w:r>
    </w:p>
    <w:p w14:paraId="5CA6F1EA" w14:textId="77777777" w:rsidR="008A55DC" w:rsidRPr="008A55DC" w:rsidRDefault="008A55DC" w:rsidP="008A55DC">
      <w:pPr>
        <w:widowControl/>
        <w:overflowPunct w:val="0"/>
        <w:snapToGrid w:val="0"/>
        <w:spacing w:after="120"/>
        <w:textAlignment w:val="baseline"/>
        <w:rPr>
          <w:rFonts w:eastAsia="宋体" w:cs="Times New Roman"/>
          <w:i/>
          <w:iCs/>
          <w:kern w:val="0"/>
          <w:sz w:val="22"/>
          <w:u w:val="single"/>
        </w:rPr>
      </w:pPr>
      <w:r w:rsidRPr="008A55DC">
        <w:rPr>
          <w:rFonts w:eastAsia="宋体" w:cs="Times New Roman"/>
          <w:i/>
          <w:iCs/>
          <w:kern w:val="0"/>
          <w:sz w:val="22"/>
          <w:u w:val="single"/>
        </w:rPr>
        <w:t>Mobility</w:t>
      </w:r>
    </w:p>
    <w:p w14:paraId="0B9B9659" w14:textId="77777777" w:rsidR="008A55DC" w:rsidRPr="008A55DC" w:rsidRDefault="008A55DC" w:rsidP="008A55DC">
      <w:pPr>
        <w:widowControl/>
        <w:overflowPunct w:val="0"/>
        <w:snapToGrid w:val="0"/>
        <w:spacing w:after="120"/>
        <w:textAlignment w:val="baseline"/>
        <w:rPr>
          <w:rFonts w:eastAsia="等线" w:cs="Times New Roman"/>
          <w:lang w:eastAsia="ko-KR"/>
        </w:rPr>
      </w:pPr>
      <w:r w:rsidRPr="008A55DC">
        <w:rPr>
          <w:rFonts w:eastAsia="等线" w:cs="Times New Roman"/>
          <w:lang w:eastAsia="ko-KR"/>
        </w:rPr>
        <w:t>Mobility is the maximum mobile station speed at which a defined QoS can be achieved (in km/h).</w:t>
      </w:r>
    </w:p>
    <w:p w14:paraId="6AE38854" w14:textId="77777777" w:rsidR="008A55DC" w:rsidRPr="008A55DC" w:rsidRDefault="008A55DC" w:rsidP="008A55DC">
      <w:pPr>
        <w:widowControl/>
        <w:overflowPunct w:val="0"/>
        <w:snapToGrid w:val="0"/>
        <w:spacing w:after="120"/>
        <w:textAlignment w:val="baseline"/>
        <w:rPr>
          <w:rFonts w:eastAsia="等线" w:cs="Times New Roman"/>
          <w:lang w:eastAsia="ko-KR"/>
        </w:rPr>
      </w:pPr>
      <w:r w:rsidRPr="008A55DC">
        <w:rPr>
          <w:rFonts w:eastAsia="等线" w:cs="Times New Roman"/>
          <w:lang w:eastAsia="ko-KR"/>
        </w:rPr>
        <w:t xml:space="preserve">For IMT-2030, mobile station with speed of up to 1000 km/h can be supported. </w:t>
      </w:r>
    </w:p>
    <w:p w14:paraId="35F200F7" w14:textId="77777777" w:rsidR="008A55DC" w:rsidRPr="008A55DC" w:rsidRDefault="008A55DC" w:rsidP="008A55DC">
      <w:pPr>
        <w:widowControl/>
        <w:overflowPunct w:val="0"/>
        <w:snapToGrid w:val="0"/>
        <w:spacing w:after="120"/>
        <w:textAlignment w:val="baseline"/>
        <w:rPr>
          <w:rFonts w:eastAsia="宋体" w:cs="Times New Roman"/>
          <w:i/>
          <w:iCs/>
          <w:kern w:val="0"/>
          <w:sz w:val="22"/>
          <w:u w:val="single"/>
        </w:rPr>
      </w:pPr>
      <w:r w:rsidRPr="008A55DC">
        <w:rPr>
          <w:rFonts w:eastAsia="宋体" w:cs="Times New Roman"/>
          <w:i/>
          <w:iCs/>
          <w:kern w:val="0"/>
          <w:sz w:val="22"/>
          <w:u w:val="single"/>
        </w:rPr>
        <w:t>Mobility interruption time</w:t>
      </w:r>
    </w:p>
    <w:p w14:paraId="201BE6B7" w14:textId="77777777" w:rsidR="008A55DC" w:rsidRPr="008A55DC" w:rsidRDefault="008A55DC" w:rsidP="008A55DC">
      <w:pPr>
        <w:widowControl/>
        <w:overflowPunct w:val="0"/>
        <w:snapToGrid w:val="0"/>
        <w:spacing w:after="120"/>
        <w:textAlignment w:val="baseline"/>
        <w:rPr>
          <w:rFonts w:eastAsia="等线" w:cs="Times New Roman"/>
          <w:lang w:eastAsia="ko-KR"/>
        </w:rPr>
      </w:pPr>
      <w:r w:rsidRPr="008A55DC">
        <w:rPr>
          <w:rFonts w:eastAsia="等线" w:cs="Times New Roman"/>
          <w:lang w:eastAsia="ko-KR"/>
        </w:rPr>
        <w:t>Mobility interruption time is the shortest time duration supported by the system during which a user terminal cannot exchange user plane packets with any base station during transitions.</w:t>
      </w:r>
    </w:p>
    <w:p w14:paraId="696EABEE" w14:textId="77777777" w:rsidR="008A55DC" w:rsidRPr="008A55DC" w:rsidRDefault="008A55DC" w:rsidP="008A55DC">
      <w:pPr>
        <w:widowControl/>
        <w:overflowPunct w:val="0"/>
        <w:snapToGrid w:val="0"/>
        <w:spacing w:after="120"/>
        <w:textAlignment w:val="baseline"/>
        <w:rPr>
          <w:rFonts w:eastAsia="等线" w:cs="Times New Roman"/>
          <w:lang w:eastAsia="ko-KR"/>
        </w:rPr>
      </w:pPr>
      <w:r w:rsidRPr="008A55DC">
        <w:rPr>
          <w:rFonts w:eastAsia="等线" w:cs="Times New Roman"/>
          <w:lang w:eastAsia="ko-KR"/>
        </w:rPr>
        <w:lastRenderedPageBreak/>
        <w:t>For IMT-2030, the minimum requirement for mobility interruption time shall be 0 ms.</w:t>
      </w:r>
    </w:p>
    <w:p w14:paraId="55C6C52B" w14:textId="77777777" w:rsidR="008A55DC" w:rsidRPr="008A55DC" w:rsidRDefault="008A55DC" w:rsidP="008A55DC">
      <w:pPr>
        <w:widowControl/>
        <w:overflowPunct w:val="0"/>
        <w:snapToGrid w:val="0"/>
        <w:spacing w:after="120"/>
        <w:textAlignment w:val="baseline"/>
        <w:rPr>
          <w:rFonts w:eastAsia="宋体" w:cs="Times New Roman"/>
          <w:kern w:val="0"/>
          <w:sz w:val="22"/>
        </w:rPr>
      </w:pPr>
      <w:r w:rsidRPr="008A55DC">
        <w:rPr>
          <w:rFonts w:eastAsia="宋体" w:cs="Times New Roman"/>
          <w:kern w:val="0"/>
          <w:sz w:val="22"/>
        </w:rPr>
        <w:t>In summary, the proposed TPR values are summarized as below:</w:t>
      </w:r>
    </w:p>
    <w:p w14:paraId="4586D830" w14:textId="37341406" w:rsidR="008A55DC" w:rsidRPr="008A55DC" w:rsidRDefault="008A55DC" w:rsidP="008A55DC">
      <w:pPr>
        <w:widowControl/>
        <w:overflowPunct w:val="0"/>
        <w:snapToGrid w:val="0"/>
        <w:spacing w:after="120"/>
        <w:jc w:val="center"/>
        <w:textAlignment w:val="baseline"/>
        <w:rPr>
          <w:rFonts w:eastAsia="宋体" w:cs="Times New Roman"/>
          <w:b/>
          <w:bCs/>
          <w:kern w:val="0"/>
          <w:sz w:val="22"/>
        </w:rPr>
      </w:pPr>
      <w:r w:rsidRPr="008650E6">
        <w:rPr>
          <w:rFonts w:eastAsia="宋体" w:cs="Times New Roman"/>
          <w:b/>
          <w:bCs/>
          <w:kern w:val="0"/>
          <w:sz w:val="22"/>
        </w:rPr>
        <w:t xml:space="preserve">Table </w:t>
      </w:r>
      <w:r w:rsidR="004C3744" w:rsidRPr="008650E6">
        <w:rPr>
          <w:rFonts w:eastAsia="宋体" w:cs="Times New Roman"/>
          <w:b/>
          <w:bCs/>
          <w:kern w:val="0"/>
          <w:sz w:val="22"/>
        </w:rPr>
        <w:t>1</w:t>
      </w:r>
      <w:r w:rsidRPr="008650E6">
        <w:rPr>
          <w:rFonts w:eastAsia="宋体" w:cs="Times New Roman"/>
          <w:b/>
          <w:bCs/>
          <w:kern w:val="0"/>
          <w:sz w:val="22"/>
        </w:rPr>
        <w:t>: Summary of remaining TPR values for IMT-2030</w:t>
      </w:r>
    </w:p>
    <w:tbl>
      <w:tblPr>
        <w:tblStyle w:val="TableGrid5"/>
        <w:tblW w:w="9060" w:type="dxa"/>
        <w:tblLayout w:type="fixed"/>
        <w:tblLook w:val="04A0" w:firstRow="1" w:lastRow="0" w:firstColumn="1" w:lastColumn="0" w:noHBand="0" w:noVBand="1"/>
      </w:tblPr>
      <w:tblGrid>
        <w:gridCol w:w="2405"/>
        <w:gridCol w:w="2992"/>
        <w:gridCol w:w="3663"/>
      </w:tblGrid>
      <w:tr w:rsidR="008A55DC" w:rsidRPr="008A55DC" w14:paraId="0611D101" w14:textId="77777777" w:rsidTr="000D570B">
        <w:tc>
          <w:tcPr>
            <w:tcW w:w="2405" w:type="dxa"/>
          </w:tcPr>
          <w:p w14:paraId="612093E9"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TPR items</w:t>
            </w:r>
          </w:p>
        </w:tc>
        <w:tc>
          <w:tcPr>
            <w:tcW w:w="2992" w:type="dxa"/>
          </w:tcPr>
          <w:p w14:paraId="39D72FC1"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IMT-2020</w:t>
            </w:r>
          </w:p>
        </w:tc>
        <w:tc>
          <w:tcPr>
            <w:tcW w:w="3663" w:type="dxa"/>
          </w:tcPr>
          <w:p w14:paraId="0F4FDE5A"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IMT-2030</w:t>
            </w:r>
          </w:p>
        </w:tc>
      </w:tr>
      <w:tr w:rsidR="008A55DC" w:rsidRPr="008A55DC" w14:paraId="7435D028" w14:textId="77777777" w:rsidTr="000D570B">
        <w:tc>
          <w:tcPr>
            <w:tcW w:w="2405" w:type="dxa"/>
          </w:tcPr>
          <w:p w14:paraId="748BD094"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Peak data rate (Gbit/s)</w:t>
            </w:r>
          </w:p>
        </w:tc>
        <w:tc>
          <w:tcPr>
            <w:tcW w:w="2992" w:type="dxa"/>
          </w:tcPr>
          <w:p w14:paraId="32CDA6F7"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DL: 20; UL: 10</w:t>
            </w:r>
          </w:p>
        </w:tc>
        <w:tc>
          <w:tcPr>
            <w:tcW w:w="3663" w:type="dxa"/>
          </w:tcPr>
          <w:p w14:paraId="168B2C79"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Not to define a requirement, e.g. Leave the value for peak data rate for the technology proponent to provide</w:t>
            </w:r>
          </w:p>
        </w:tc>
      </w:tr>
      <w:tr w:rsidR="008A55DC" w:rsidRPr="008A55DC" w14:paraId="72800FEF" w14:textId="77777777" w:rsidTr="000D570B">
        <w:tc>
          <w:tcPr>
            <w:tcW w:w="2405" w:type="dxa"/>
          </w:tcPr>
          <w:p w14:paraId="4F7F8332"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Peak spectral efficiency (bit/s/Hz)</w:t>
            </w:r>
          </w:p>
        </w:tc>
        <w:tc>
          <w:tcPr>
            <w:tcW w:w="2992" w:type="dxa"/>
          </w:tcPr>
          <w:p w14:paraId="69D8E7F5"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DL: 30; UL: 15</w:t>
            </w:r>
          </w:p>
        </w:tc>
        <w:tc>
          <w:tcPr>
            <w:tcW w:w="3663" w:type="dxa"/>
          </w:tcPr>
          <w:p w14:paraId="41479731"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1.5 times of IMT-2020</w:t>
            </w:r>
          </w:p>
        </w:tc>
      </w:tr>
      <w:tr w:rsidR="008A55DC" w:rsidRPr="008A55DC" w14:paraId="66A6749B" w14:textId="77777777" w:rsidTr="000D570B">
        <w:tc>
          <w:tcPr>
            <w:tcW w:w="2405" w:type="dxa"/>
          </w:tcPr>
          <w:p w14:paraId="35F03B90"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User experienced data rate (Mbit/s)</w:t>
            </w:r>
          </w:p>
        </w:tc>
        <w:tc>
          <w:tcPr>
            <w:tcW w:w="2992" w:type="dxa"/>
          </w:tcPr>
          <w:p w14:paraId="5C29C0FA"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Dense Urban: DL: 100; UL: 50</w:t>
            </w:r>
          </w:p>
        </w:tc>
        <w:tc>
          <w:tcPr>
            <w:tcW w:w="3663" w:type="dxa"/>
          </w:tcPr>
          <w:p w14:paraId="48DD2377"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TBD</w:t>
            </w:r>
          </w:p>
        </w:tc>
      </w:tr>
      <w:tr w:rsidR="008A55DC" w:rsidRPr="008A55DC" w14:paraId="6BF725F6" w14:textId="77777777" w:rsidTr="000D570B">
        <w:tc>
          <w:tcPr>
            <w:tcW w:w="2405" w:type="dxa"/>
          </w:tcPr>
          <w:p w14:paraId="1AD43920"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5th percentile user spectral efficiency (bit/s/Hz)</w:t>
            </w:r>
          </w:p>
        </w:tc>
        <w:tc>
          <w:tcPr>
            <w:tcW w:w="2992" w:type="dxa"/>
          </w:tcPr>
          <w:p w14:paraId="5AA039CB"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InH: DL: 0.3; UL: 0.21</w:t>
            </w:r>
          </w:p>
          <w:p w14:paraId="4FD6114A"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Dense Urban: DL: 0.225; UL: 0.15</w:t>
            </w:r>
          </w:p>
          <w:p w14:paraId="626216FA"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Rural: DL: 0.12; UL: 0.045</w:t>
            </w:r>
          </w:p>
        </w:tc>
        <w:tc>
          <w:tcPr>
            <w:tcW w:w="3663" w:type="dxa"/>
          </w:tcPr>
          <w:p w14:paraId="68185F84" w14:textId="63F1001F" w:rsidR="008A55DC" w:rsidRPr="008A55DC" w:rsidRDefault="004C3744" w:rsidP="008A55DC">
            <w:pPr>
              <w:widowControl/>
              <w:overflowPunct w:val="0"/>
              <w:snapToGrid w:val="0"/>
              <w:textAlignment w:val="baseline"/>
              <w:rPr>
                <w:rFonts w:eastAsia="宋体" w:cs="Times New Roman"/>
                <w:kern w:val="0"/>
                <w:sz w:val="22"/>
              </w:rPr>
            </w:pPr>
            <w:r>
              <w:rPr>
                <w:rFonts w:eastAsia="宋体" w:cs="Times New Roman"/>
                <w:kern w:val="0"/>
                <w:sz w:val="22"/>
              </w:rPr>
              <w:t>2</w:t>
            </w:r>
            <w:r w:rsidR="008A55DC" w:rsidRPr="008A55DC">
              <w:rPr>
                <w:rFonts w:eastAsia="宋体" w:cs="Times New Roman"/>
                <w:kern w:val="0"/>
                <w:sz w:val="22"/>
              </w:rPr>
              <w:t xml:space="preserve"> times of IMT-2020</w:t>
            </w:r>
          </w:p>
          <w:p w14:paraId="0A153DF9" w14:textId="77777777" w:rsidR="008A55DC" w:rsidRPr="008A55DC" w:rsidRDefault="008A55DC" w:rsidP="008A55DC">
            <w:pPr>
              <w:widowControl/>
              <w:overflowPunct w:val="0"/>
              <w:snapToGrid w:val="0"/>
              <w:textAlignment w:val="baseline"/>
              <w:rPr>
                <w:rFonts w:eastAsia="宋体" w:cs="Times New Roman"/>
                <w:kern w:val="0"/>
                <w:sz w:val="22"/>
              </w:rPr>
            </w:pPr>
          </w:p>
        </w:tc>
      </w:tr>
      <w:tr w:rsidR="008A55DC" w:rsidRPr="008A55DC" w14:paraId="27BAA497" w14:textId="77777777" w:rsidTr="000D570B">
        <w:tc>
          <w:tcPr>
            <w:tcW w:w="2405" w:type="dxa"/>
          </w:tcPr>
          <w:p w14:paraId="03784A87"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Average spectral efficiency (bit/s/Hz/TRxP)</w:t>
            </w:r>
          </w:p>
        </w:tc>
        <w:tc>
          <w:tcPr>
            <w:tcW w:w="2992" w:type="dxa"/>
          </w:tcPr>
          <w:p w14:paraId="38CFCFC5"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InH: DL: 9; UL: 6.75</w:t>
            </w:r>
          </w:p>
          <w:p w14:paraId="17629149"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Dense Urban: DL: 7.8; UL: 5.4</w:t>
            </w:r>
          </w:p>
          <w:p w14:paraId="3B6C5365"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Rural: DL: 3.3; UL: 1.6</w:t>
            </w:r>
          </w:p>
        </w:tc>
        <w:tc>
          <w:tcPr>
            <w:tcW w:w="3663" w:type="dxa"/>
          </w:tcPr>
          <w:p w14:paraId="45C8142C" w14:textId="2F9E8C37" w:rsidR="008A55DC" w:rsidRPr="008A55DC" w:rsidRDefault="004C3744" w:rsidP="008A55DC">
            <w:pPr>
              <w:widowControl/>
              <w:overflowPunct w:val="0"/>
              <w:snapToGrid w:val="0"/>
              <w:textAlignment w:val="baseline"/>
              <w:rPr>
                <w:rFonts w:eastAsia="宋体" w:cs="Times New Roman"/>
                <w:kern w:val="0"/>
                <w:sz w:val="22"/>
              </w:rPr>
            </w:pPr>
            <w:r>
              <w:rPr>
                <w:rFonts w:eastAsia="宋体" w:cs="Times New Roman"/>
                <w:kern w:val="0"/>
                <w:sz w:val="22"/>
              </w:rPr>
              <w:t>2</w:t>
            </w:r>
            <w:r w:rsidR="008A55DC" w:rsidRPr="008A55DC">
              <w:rPr>
                <w:rFonts w:eastAsia="宋体" w:cs="Times New Roman"/>
                <w:kern w:val="0"/>
                <w:sz w:val="22"/>
              </w:rPr>
              <w:t xml:space="preserve"> times of IMT-2020</w:t>
            </w:r>
          </w:p>
        </w:tc>
      </w:tr>
      <w:tr w:rsidR="008A55DC" w:rsidRPr="008A55DC" w14:paraId="26492618" w14:textId="77777777" w:rsidTr="000D570B">
        <w:tc>
          <w:tcPr>
            <w:tcW w:w="2405" w:type="dxa"/>
          </w:tcPr>
          <w:p w14:paraId="3E490F12"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Area traffic capacity (bit/s/m</w:t>
            </w:r>
            <w:r w:rsidRPr="008A55DC">
              <w:rPr>
                <w:rFonts w:eastAsia="宋体" w:cs="Times New Roman"/>
                <w:kern w:val="0"/>
                <w:sz w:val="22"/>
                <w:vertAlign w:val="superscript"/>
              </w:rPr>
              <w:t>2</w:t>
            </w:r>
            <w:r w:rsidRPr="008A55DC">
              <w:rPr>
                <w:rFonts w:eastAsia="宋体" w:cs="Times New Roman"/>
                <w:kern w:val="0"/>
                <w:sz w:val="22"/>
              </w:rPr>
              <w:t>)</w:t>
            </w:r>
          </w:p>
        </w:tc>
        <w:tc>
          <w:tcPr>
            <w:tcW w:w="2992" w:type="dxa"/>
          </w:tcPr>
          <w:p w14:paraId="13D3F3B1"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InH: 10 M</w:t>
            </w:r>
          </w:p>
        </w:tc>
        <w:tc>
          <w:tcPr>
            <w:tcW w:w="3663" w:type="dxa"/>
          </w:tcPr>
          <w:p w14:paraId="45389216" w14:textId="7075E37C"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4 times of IMT-2020</w:t>
            </w:r>
          </w:p>
        </w:tc>
      </w:tr>
      <w:tr w:rsidR="008A55DC" w:rsidRPr="008A55DC" w14:paraId="53C5B09F" w14:textId="77777777" w:rsidTr="000D570B">
        <w:tc>
          <w:tcPr>
            <w:tcW w:w="2405" w:type="dxa"/>
          </w:tcPr>
          <w:p w14:paraId="5F4720DD"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User plane latency (ms)</w:t>
            </w:r>
          </w:p>
        </w:tc>
        <w:tc>
          <w:tcPr>
            <w:tcW w:w="2992" w:type="dxa"/>
          </w:tcPr>
          <w:p w14:paraId="46C49653"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4 for eMBB, 1 for URLLC</w:t>
            </w:r>
          </w:p>
        </w:tc>
        <w:tc>
          <w:tcPr>
            <w:tcW w:w="3663" w:type="dxa"/>
          </w:tcPr>
          <w:p w14:paraId="7EC7D866"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1 for IC, 0.5 for HRLLC</w:t>
            </w:r>
          </w:p>
        </w:tc>
      </w:tr>
      <w:tr w:rsidR="008A55DC" w:rsidRPr="008A55DC" w14:paraId="529A2FF1" w14:textId="77777777" w:rsidTr="000D570B">
        <w:tc>
          <w:tcPr>
            <w:tcW w:w="2405" w:type="dxa"/>
          </w:tcPr>
          <w:p w14:paraId="6215AF6F"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Control plane latency (ms)</w:t>
            </w:r>
          </w:p>
        </w:tc>
        <w:tc>
          <w:tcPr>
            <w:tcW w:w="2992" w:type="dxa"/>
          </w:tcPr>
          <w:p w14:paraId="74F80FD6"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20</w:t>
            </w:r>
          </w:p>
        </w:tc>
        <w:tc>
          <w:tcPr>
            <w:tcW w:w="3663" w:type="dxa"/>
          </w:tcPr>
          <w:p w14:paraId="6B846EC3"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5-10</w:t>
            </w:r>
          </w:p>
        </w:tc>
      </w:tr>
      <w:tr w:rsidR="008A55DC" w:rsidRPr="008A55DC" w14:paraId="5AD89AAE" w14:textId="77777777" w:rsidTr="000D570B">
        <w:tc>
          <w:tcPr>
            <w:tcW w:w="2405" w:type="dxa"/>
          </w:tcPr>
          <w:p w14:paraId="002E0932"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Connection density (devices per km</w:t>
            </w:r>
            <w:r w:rsidRPr="008A55DC">
              <w:rPr>
                <w:rFonts w:eastAsia="宋体" w:cs="Times New Roman"/>
                <w:kern w:val="0"/>
                <w:sz w:val="22"/>
                <w:vertAlign w:val="superscript"/>
              </w:rPr>
              <w:t>2</w:t>
            </w:r>
            <w:r w:rsidRPr="008A55DC">
              <w:rPr>
                <w:rFonts w:eastAsia="宋体" w:cs="Times New Roman"/>
                <w:kern w:val="0"/>
                <w:sz w:val="22"/>
              </w:rPr>
              <w:t>)</w:t>
            </w:r>
          </w:p>
        </w:tc>
        <w:tc>
          <w:tcPr>
            <w:tcW w:w="2992" w:type="dxa"/>
          </w:tcPr>
          <w:p w14:paraId="01237213"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10</w:t>
            </w:r>
            <w:r w:rsidRPr="008A55DC">
              <w:rPr>
                <w:rFonts w:eastAsia="宋体" w:cs="Times New Roman"/>
                <w:kern w:val="0"/>
                <w:sz w:val="22"/>
                <w:vertAlign w:val="superscript"/>
              </w:rPr>
              <w:t>6</w:t>
            </w:r>
          </w:p>
        </w:tc>
        <w:tc>
          <w:tcPr>
            <w:tcW w:w="3663" w:type="dxa"/>
          </w:tcPr>
          <w:p w14:paraId="47DBEB24"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10</w:t>
            </w:r>
            <w:r w:rsidRPr="008A55DC">
              <w:rPr>
                <w:rFonts w:eastAsia="宋体" w:cs="Times New Roman"/>
                <w:kern w:val="0"/>
                <w:sz w:val="22"/>
                <w:vertAlign w:val="superscript"/>
              </w:rPr>
              <w:t>6</w:t>
            </w:r>
            <w:r w:rsidRPr="008A55DC">
              <w:rPr>
                <w:rFonts w:eastAsia="宋体" w:cs="Times New Roman"/>
                <w:kern w:val="0"/>
                <w:sz w:val="22"/>
              </w:rPr>
              <w:t>-10</w:t>
            </w:r>
            <w:r w:rsidRPr="008A55DC">
              <w:rPr>
                <w:rFonts w:eastAsia="宋体" w:cs="Times New Roman"/>
                <w:kern w:val="0"/>
                <w:sz w:val="22"/>
                <w:vertAlign w:val="superscript"/>
              </w:rPr>
              <w:t>7</w:t>
            </w:r>
          </w:p>
        </w:tc>
      </w:tr>
      <w:tr w:rsidR="008A55DC" w:rsidRPr="008A55DC" w14:paraId="5161C56B" w14:textId="77777777" w:rsidTr="000D570B">
        <w:tc>
          <w:tcPr>
            <w:tcW w:w="2405" w:type="dxa"/>
          </w:tcPr>
          <w:p w14:paraId="42B2F920"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Reliability</w:t>
            </w:r>
          </w:p>
        </w:tc>
        <w:tc>
          <w:tcPr>
            <w:tcW w:w="2992" w:type="dxa"/>
          </w:tcPr>
          <w:p w14:paraId="670C1A63"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等线" w:cs="Times New Roman"/>
                <w:kern w:val="0"/>
                <w:szCs w:val="24"/>
              </w:rPr>
              <w:t>1-10</w:t>
            </w:r>
            <w:r w:rsidRPr="008A55DC">
              <w:rPr>
                <w:rFonts w:eastAsia="等线" w:cs="Times New Roman"/>
                <w:kern w:val="0"/>
                <w:szCs w:val="24"/>
                <w:vertAlign w:val="superscript"/>
              </w:rPr>
              <w:t>-5</w:t>
            </w:r>
          </w:p>
        </w:tc>
        <w:tc>
          <w:tcPr>
            <w:tcW w:w="3663" w:type="dxa"/>
          </w:tcPr>
          <w:p w14:paraId="565D3908"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等线" w:cs="Times New Roman"/>
                <w:kern w:val="0"/>
                <w:szCs w:val="24"/>
              </w:rPr>
              <w:t>1-10</w:t>
            </w:r>
            <w:r w:rsidRPr="008A55DC">
              <w:rPr>
                <w:rFonts w:eastAsia="等线" w:cs="Times New Roman"/>
                <w:kern w:val="0"/>
                <w:szCs w:val="24"/>
                <w:vertAlign w:val="superscript"/>
              </w:rPr>
              <w:t>-5</w:t>
            </w:r>
          </w:p>
        </w:tc>
      </w:tr>
      <w:tr w:rsidR="008A55DC" w:rsidRPr="008A55DC" w14:paraId="2A408DB7" w14:textId="77777777" w:rsidTr="000D570B">
        <w:tc>
          <w:tcPr>
            <w:tcW w:w="2405" w:type="dxa"/>
          </w:tcPr>
          <w:p w14:paraId="2EDF67B9"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Mobility (km/h)</w:t>
            </w:r>
          </w:p>
        </w:tc>
        <w:tc>
          <w:tcPr>
            <w:tcW w:w="2992" w:type="dxa"/>
          </w:tcPr>
          <w:p w14:paraId="4B9AF37B" w14:textId="77777777" w:rsidR="008A55DC" w:rsidRPr="008A55DC" w:rsidRDefault="008A55DC" w:rsidP="008A55DC">
            <w:pPr>
              <w:widowControl/>
              <w:overflowPunct w:val="0"/>
              <w:snapToGrid w:val="0"/>
              <w:textAlignment w:val="baseline"/>
              <w:rPr>
                <w:rFonts w:eastAsia="等线" w:cs="Times New Roman"/>
                <w:kern w:val="0"/>
                <w:szCs w:val="24"/>
              </w:rPr>
            </w:pPr>
            <w:r w:rsidRPr="008A55DC">
              <w:rPr>
                <w:rFonts w:eastAsia="等线" w:cs="Times New Roman"/>
                <w:kern w:val="0"/>
                <w:szCs w:val="24"/>
              </w:rPr>
              <w:t>500</w:t>
            </w:r>
          </w:p>
        </w:tc>
        <w:tc>
          <w:tcPr>
            <w:tcW w:w="3663" w:type="dxa"/>
          </w:tcPr>
          <w:p w14:paraId="127B9645" w14:textId="77777777" w:rsidR="008A55DC" w:rsidRPr="008A55DC" w:rsidRDefault="008A55DC" w:rsidP="008A55DC">
            <w:pPr>
              <w:widowControl/>
              <w:overflowPunct w:val="0"/>
              <w:snapToGrid w:val="0"/>
              <w:textAlignment w:val="baseline"/>
              <w:rPr>
                <w:rFonts w:eastAsia="等线" w:cs="Times New Roman"/>
                <w:kern w:val="0"/>
                <w:szCs w:val="24"/>
              </w:rPr>
            </w:pPr>
            <w:r w:rsidRPr="008A55DC">
              <w:rPr>
                <w:rFonts w:eastAsia="等线" w:cs="Times New Roman"/>
                <w:kern w:val="0"/>
                <w:szCs w:val="24"/>
              </w:rPr>
              <w:t>1000</w:t>
            </w:r>
          </w:p>
        </w:tc>
      </w:tr>
      <w:tr w:rsidR="008A55DC" w:rsidRPr="008A55DC" w14:paraId="3E2DC1B7" w14:textId="77777777" w:rsidTr="000D570B">
        <w:tc>
          <w:tcPr>
            <w:tcW w:w="2405" w:type="dxa"/>
          </w:tcPr>
          <w:p w14:paraId="09896540" w14:textId="77777777" w:rsidR="008A55DC" w:rsidRPr="008A55DC" w:rsidRDefault="008A55DC" w:rsidP="008A55DC">
            <w:pPr>
              <w:widowControl/>
              <w:overflowPunct w:val="0"/>
              <w:snapToGrid w:val="0"/>
              <w:textAlignment w:val="baseline"/>
              <w:rPr>
                <w:rFonts w:eastAsia="宋体" w:cs="Times New Roman"/>
                <w:kern w:val="0"/>
                <w:sz w:val="22"/>
              </w:rPr>
            </w:pPr>
            <w:r w:rsidRPr="008A55DC">
              <w:rPr>
                <w:rFonts w:eastAsia="宋体" w:cs="Times New Roman"/>
                <w:kern w:val="0"/>
                <w:sz w:val="22"/>
              </w:rPr>
              <w:t>Mobility interruption time (ms)</w:t>
            </w:r>
          </w:p>
        </w:tc>
        <w:tc>
          <w:tcPr>
            <w:tcW w:w="2992" w:type="dxa"/>
          </w:tcPr>
          <w:p w14:paraId="76FDEB77" w14:textId="77777777" w:rsidR="008A55DC" w:rsidRPr="008A55DC" w:rsidRDefault="008A55DC" w:rsidP="008A55DC">
            <w:pPr>
              <w:widowControl/>
              <w:overflowPunct w:val="0"/>
              <w:snapToGrid w:val="0"/>
              <w:textAlignment w:val="baseline"/>
              <w:rPr>
                <w:rFonts w:eastAsia="等线" w:cs="Times New Roman"/>
                <w:kern w:val="0"/>
                <w:szCs w:val="24"/>
              </w:rPr>
            </w:pPr>
            <w:r w:rsidRPr="008A55DC">
              <w:rPr>
                <w:rFonts w:eastAsia="等线" w:cs="Times New Roman"/>
                <w:kern w:val="0"/>
                <w:szCs w:val="24"/>
              </w:rPr>
              <w:t>0</w:t>
            </w:r>
          </w:p>
        </w:tc>
        <w:tc>
          <w:tcPr>
            <w:tcW w:w="3663" w:type="dxa"/>
          </w:tcPr>
          <w:p w14:paraId="063F1C4F" w14:textId="77777777" w:rsidR="008A55DC" w:rsidRPr="008A55DC" w:rsidRDefault="008A55DC" w:rsidP="008A55DC">
            <w:pPr>
              <w:widowControl/>
              <w:overflowPunct w:val="0"/>
              <w:snapToGrid w:val="0"/>
              <w:textAlignment w:val="baseline"/>
              <w:rPr>
                <w:rFonts w:eastAsia="等线" w:cs="Times New Roman"/>
                <w:kern w:val="0"/>
                <w:szCs w:val="24"/>
              </w:rPr>
            </w:pPr>
            <w:r w:rsidRPr="008A55DC">
              <w:rPr>
                <w:rFonts w:eastAsia="等线" w:cs="Times New Roman"/>
                <w:kern w:val="0"/>
                <w:szCs w:val="24"/>
              </w:rPr>
              <w:t>0</w:t>
            </w:r>
          </w:p>
        </w:tc>
      </w:tr>
    </w:tbl>
    <w:p w14:paraId="7C6D5A1A" w14:textId="77777777" w:rsidR="008A55DC" w:rsidRPr="008A55DC" w:rsidRDefault="008A55DC" w:rsidP="008A55DC">
      <w:pPr>
        <w:spacing w:after="120"/>
        <w:rPr>
          <w:rFonts w:eastAsia="等线" w:cs="Times New Roman"/>
        </w:rPr>
      </w:pPr>
    </w:p>
    <w:p w14:paraId="0A26825F" w14:textId="3A00FC36" w:rsidR="008A55DC" w:rsidRPr="008A55DC" w:rsidRDefault="008A55DC" w:rsidP="008A55DC">
      <w:pPr>
        <w:widowControl/>
        <w:overflowPunct w:val="0"/>
        <w:snapToGrid w:val="0"/>
        <w:spacing w:after="120"/>
        <w:textAlignment w:val="baseline"/>
        <w:rPr>
          <w:rFonts w:eastAsia="宋体" w:cs="Times New Roman"/>
          <w:b/>
          <w:bCs/>
          <w:sz w:val="22"/>
        </w:rPr>
      </w:pPr>
      <w:r w:rsidRPr="008A55DC">
        <w:rPr>
          <w:rFonts w:eastAsia="宋体" w:cs="Times New Roman"/>
          <w:b/>
          <w:bCs/>
          <w:sz w:val="22"/>
        </w:rPr>
        <w:t xml:space="preserve">Proposal </w:t>
      </w:r>
      <w:r w:rsidR="005B48FC">
        <w:rPr>
          <w:rFonts w:eastAsia="宋体" w:cs="Times New Roman"/>
          <w:b/>
          <w:bCs/>
          <w:sz w:val="22"/>
        </w:rPr>
        <w:t>5</w:t>
      </w:r>
      <w:r w:rsidRPr="008A55DC">
        <w:rPr>
          <w:rFonts w:eastAsia="宋体" w:cs="Times New Roman"/>
          <w:b/>
          <w:bCs/>
          <w:sz w:val="22"/>
        </w:rPr>
        <w:t>: Consider values in Table 1 as the candidate values for remaining minimum TPRs of IMT-2030</w:t>
      </w:r>
    </w:p>
    <w:p w14:paraId="026431C9" w14:textId="77777777" w:rsidR="008A55DC" w:rsidRPr="008A55DC" w:rsidRDefault="008A55DC" w:rsidP="009E39E6">
      <w:pPr>
        <w:pStyle w:val="1"/>
        <w:numPr>
          <w:ilvl w:val="0"/>
          <w:numId w:val="4"/>
        </w:numPr>
        <w:adjustRightInd w:val="0"/>
        <w:snapToGrid w:val="0"/>
        <w:spacing w:before="0" w:after="120" w:line="240" w:lineRule="auto"/>
        <w:ind w:left="0" w:firstLine="0"/>
        <w:rPr>
          <w:rFonts w:ascii="Arial" w:eastAsia="宋体" w:hAnsi="Arial" w:cs="Arial"/>
          <w:sz w:val="28"/>
          <w:szCs w:val="28"/>
        </w:rPr>
      </w:pPr>
      <w:r w:rsidRPr="008A55DC">
        <w:rPr>
          <w:rFonts w:ascii="Arial" w:eastAsia="宋体" w:hAnsi="Arial" w:cs="Arial"/>
          <w:sz w:val="28"/>
          <w:szCs w:val="28"/>
        </w:rPr>
        <w:t xml:space="preserve">Definitions and values of Sensing-related TPR </w:t>
      </w:r>
    </w:p>
    <w:p w14:paraId="58D69322" w14:textId="77777777" w:rsidR="008A55DC" w:rsidRPr="008A55DC" w:rsidRDefault="008A55DC" w:rsidP="008A55DC">
      <w:pPr>
        <w:widowControl/>
        <w:overflowPunct w:val="0"/>
        <w:snapToGrid w:val="0"/>
        <w:spacing w:after="120"/>
        <w:textAlignment w:val="baseline"/>
        <w:rPr>
          <w:rFonts w:eastAsia="宋体" w:cs="Times New Roman"/>
          <w:kern w:val="0"/>
          <w:sz w:val="22"/>
        </w:rPr>
      </w:pPr>
      <w:r w:rsidRPr="008A55DC">
        <w:rPr>
          <w:rFonts w:eastAsia="宋体" w:cs="Times New Roman"/>
          <w:kern w:val="0"/>
          <w:sz w:val="22"/>
        </w:rPr>
        <w:t xml:space="preserve">For integrated Sensing and Communications (ISAC) scenario, quantitative TPR items for sensing-related capabilities needs to be defined. </w:t>
      </w:r>
    </w:p>
    <w:p w14:paraId="3AD75226" w14:textId="77777777" w:rsidR="008A55DC" w:rsidRPr="008A55DC" w:rsidRDefault="008A55DC" w:rsidP="008A55DC">
      <w:pPr>
        <w:widowControl/>
        <w:overflowPunct w:val="0"/>
        <w:snapToGrid w:val="0"/>
        <w:spacing w:after="120"/>
        <w:textAlignment w:val="baseline"/>
        <w:rPr>
          <w:rFonts w:eastAsia="宋体" w:cs="Times New Roman"/>
          <w:kern w:val="0"/>
          <w:sz w:val="22"/>
        </w:rPr>
      </w:pPr>
      <w:r w:rsidRPr="008A55DC">
        <w:rPr>
          <w:rFonts w:eastAsia="宋体" w:cs="Times New Roman"/>
          <w:kern w:val="0"/>
          <w:sz w:val="22"/>
        </w:rPr>
        <w:t>The following TPR items can be considered:</w:t>
      </w:r>
    </w:p>
    <w:p w14:paraId="717761A1" w14:textId="77777777" w:rsidR="008A55DC" w:rsidRPr="008A55DC" w:rsidRDefault="008A55DC" w:rsidP="0032575B">
      <w:pPr>
        <w:widowControl/>
        <w:numPr>
          <w:ilvl w:val="0"/>
          <w:numId w:val="8"/>
        </w:numPr>
        <w:suppressAutoHyphens/>
        <w:overflowPunct w:val="0"/>
        <w:snapToGrid w:val="0"/>
        <w:spacing w:after="120"/>
        <w:ind w:left="840"/>
        <w:textAlignment w:val="baseline"/>
        <w:rPr>
          <w:rFonts w:eastAsia="宋体" w:cs="Times New Roman"/>
          <w:kern w:val="0"/>
          <w:sz w:val="22"/>
        </w:rPr>
      </w:pPr>
      <w:r w:rsidRPr="008A55DC">
        <w:rPr>
          <w:rFonts w:eastAsia="宋体" w:cs="Times New Roman"/>
          <w:kern w:val="0"/>
          <w:sz w:val="22"/>
        </w:rPr>
        <w:t>Missed detection probability and False alarm probability</w:t>
      </w:r>
    </w:p>
    <w:p w14:paraId="0BE957ED" w14:textId="77777777" w:rsidR="008A55DC" w:rsidRPr="008A55DC" w:rsidRDefault="008A55DC" w:rsidP="008A55DC">
      <w:pPr>
        <w:widowControl/>
        <w:overflowPunct w:val="0"/>
        <w:snapToGrid w:val="0"/>
        <w:spacing w:after="120"/>
        <w:ind w:left="840"/>
        <w:textAlignment w:val="baseline"/>
        <w:rPr>
          <w:rFonts w:eastAsia="宋体" w:cs="Times New Roman"/>
          <w:kern w:val="0"/>
          <w:sz w:val="22"/>
        </w:rPr>
      </w:pPr>
      <w:r w:rsidRPr="008A55DC">
        <w:rPr>
          <w:rFonts w:eastAsia="宋体" w:cs="Times New Roman"/>
          <w:kern w:val="0"/>
          <w:sz w:val="22"/>
        </w:rPr>
        <w:t xml:space="preserve">Missed detection probability is defined as the probability of not detecting the presence of a target object when the target object is present, and False alarm probability is defined as the probability of falsely detecting the presence of a target object when the target object is not present. </w:t>
      </w:r>
    </w:p>
    <w:p w14:paraId="11DECB15" w14:textId="77777777" w:rsidR="008A55DC" w:rsidRPr="008A55DC" w:rsidRDefault="008A55DC" w:rsidP="0032575B">
      <w:pPr>
        <w:widowControl/>
        <w:numPr>
          <w:ilvl w:val="0"/>
          <w:numId w:val="8"/>
        </w:numPr>
        <w:suppressAutoHyphens/>
        <w:overflowPunct w:val="0"/>
        <w:snapToGrid w:val="0"/>
        <w:spacing w:after="120"/>
        <w:ind w:left="840"/>
        <w:textAlignment w:val="baseline"/>
        <w:rPr>
          <w:rFonts w:eastAsia="宋体" w:cs="Times New Roman"/>
          <w:kern w:val="0"/>
          <w:sz w:val="22"/>
        </w:rPr>
      </w:pPr>
      <w:r w:rsidRPr="008A55DC">
        <w:rPr>
          <w:rFonts w:eastAsia="宋体" w:cs="Times New Roman"/>
          <w:kern w:val="0"/>
          <w:sz w:val="22"/>
        </w:rPr>
        <w:lastRenderedPageBreak/>
        <w:t xml:space="preserve">Sensing accuracy </w:t>
      </w:r>
    </w:p>
    <w:p w14:paraId="2B21B002" w14:textId="77777777" w:rsidR="008A55DC" w:rsidRPr="008A55DC" w:rsidRDefault="008A55DC" w:rsidP="008A55DC">
      <w:pPr>
        <w:widowControl/>
        <w:overflowPunct w:val="0"/>
        <w:snapToGrid w:val="0"/>
        <w:spacing w:after="120"/>
        <w:ind w:left="840"/>
        <w:textAlignment w:val="baseline"/>
        <w:rPr>
          <w:rFonts w:eastAsia="宋体" w:cs="Times New Roman"/>
          <w:kern w:val="0"/>
          <w:sz w:val="22"/>
        </w:rPr>
      </w:pPr>
      <w:r w:rsidRPr="008A55DC">
        <w:rPr>
          <w:rFonts w:eastAsia="宋体" w:cs="Times New Roman"/>
          <w:kern w:val="0"/>
          <w:sz w:val="22"/>
        </w:rPr>
        <w:t>The sensing accuracy can be defined as accuracy on position (m) and/or accuracy on velocity (m/s). The accuracy on position is defined as the difference of the sensed position of the target object to its true position value; and the accuracy on velocity is defined as the difference of the sensed velocity of the target object to its true velocity value. Sensing accuracy on position can be further derived into a horizontal accuracy and a vertical accuracy.</w:t>
      </w:r>
    </w:p>
    <w:p w14:paraId="466A0C3A" w14:textId="77777777" w:rsidR="008A55DC" w:rsidRPr="008A55DC" w:rsidRDefault="008A55DC" w:rsidP="0032575B">
      <w:pPr>
        <w:widowControl/>
        <w:numPr>
          <w:ilvl w:val="0"/>
          <w:numId w:val="8"/>
        </w:numPr>
        <w:suppressAutoHyphens/>
        <w:overflowPunct w:val="0"/>
        <w:snapToGrid w:val="0"/>
        <w:spacing w:after="120"/>
        <w:ind w:left="840"/>
        <w:textAlignment w:val="baseline"/>
        <w:rPr>
          <w:rFonts w:eastAsia="宋体" w:cs="Times New Roman"/>
          <w:kern w:val="0"/>
          <w:sz w:val="22"/>
        </w:rPr>
      </w:pPr>
      <w:r w:rsidRPr="008A55DC">
        <w:rPr>
          <w:rFonts w:eastAsia="宋体" w:cs="Times New Roman"/>
          <w:kern w:val="0"/>
          <w:sz w:val="22"/>
        </w:rPr>
        <w:t xml:space="preserve">Sensing resolution </w:t>
      </w:r>
    </w:p>
    <w:p w14:paraId="6D63DC31" w14:textId="77777777" w:rsidR="008A55DC" w:rsidRPr="008A55DC" w:rsidRDefault="008A55DC" w:rsidP="008A55DC">
      <w:pPr>
        <w:widowControl/>
        <w:overflowPunct w:val="0"/>
        <w:snapToGrid w:val="0"/>
        <w:spacing w:after="120"/>
        <w:ind w:left="840"/>
        <w:textAlignment w:val="baseline"/>
        <w:rPr>
          <w:rFonts w:eastAsia="宋体" w:cs="Times New Roman"/>
          <w:kern w:val="0"/>
          <w:sz w:val="22"/>
        </w:rPr>
      </w:pPr>
      <w:r w:rsidRPr="008A55DC">
        <w:rPr>
          <w:rFonts w:eastAsia="宋体" w:cs="Times New Roman"/>
          <w:kern w:val="0"/>
          <w:sz w:val="22"/>
        </w:rPr>
        <w:t>Sensing resolution can be defined as the minimum difference in the measured magnitude of target objects to be allowed to detect objects in different magnitude, e.g., range resolution (m), velocity resolution (m/s).</w:t>
      </w:r>
    </w:p>
    <w:p w14:paraId="2B033CD0" w14:textId="1327615C" w:rsidR="008A55DC" w:rsidRPr="008A55DC" w:rsidRDefault="008A55DC" w:rsidP="008A55DC">
      <w:pPr>
        <w:widowControl/>
        <w:overflowPunct w:val="0"/>
        <w:snapToGrid w:val="0"/>
        <w:spacing w:after="120"/>
        <w:textAlignment w:val="baseline"/>
        <w:rPr>
          <w:rFonts w:eastAsia="宋体" w:cs="Times New Roman"/>
          <w:b/>
          <w:bCs/>
          <w:sz w:val="22"/>
        </w:rPr>
      </w:pPr>
      <w:r w:rsidRPr="008A55DC">
        <w:rPr>
          <w:rFonts w:eastAsia="宋体" w:cs="Times New Roman"/>
          <w:b/>
          <w:bCs/>
          <w:sz w:val="22"/>
        </w:rPr>
        <w:t xml:space="preserve">Proposal </w:t>
      </w:r>
      <w:r w:rsidR="005B48FC" w:rsidRPr="005B48FC">
        <w:rPr>
          <w:rFonts w:eastAsia="宋体" w:cs="Times New Roman"/>
          <w:b/>
          <w:bCs/>
          <w:sz w:val="22"/>
        </w:rPr>
        <w:t>6</w:t>
      </w:r>
      <w:r w:rsidRPr="008A55DC">
        <w:rPr>
          <w:rFonts w:eastAsia="宋体" w:cs="Times New Roman"/>
          <w:b/>
          <w:bCs/>
          <w:sz w:val="22"/>
        </w:rPr>
        <w:t xml:space="preserve">: </w:t>
      </w:r>
      <w:bookmarkStart w:id="1" w:name="_Hlk191480581"/>
      <w:r w:rsidRPr="008A55DC">
        <w:rPr>
          <w:rFonts w:eastAsia="宋体" w:cs="Times New Roman"/>
          <w:b/>
          <w:bCs/>
          <w:sz w:val="22"/>
        </w:rPr>
        <w:t>Quantitative TPR items</w:t>
      </w:r>
      <w:bookmarkEnd w:id="1"/>
      <w:r w:rsidRPr="008A55DC">
        <w:rPr>
          <w:rFonts w:eastAsia="宋体" w:cs="Times New Roman"/>
          <w:b/>
          <w:bCs/>
          <w:sz w:val="22"/>
        </w:rPr>
        <w:t xml:space="preserve"> for sensing related capabilities should be defined, including</w:t>
      </w:r>
      <w:r w:rsidRPr="008A55DC">
        <w:rPr>
          <w:rFonts w:eastAsia="等线" w:cs="Times New Roman"/>
        </w:rPr>
        <w:t xml:space="preserve"> </w:t>
      </w:r>
      <w:r w:rsidRPr="008A55DC">
        <w:rPr>
          <w:rFonts w:eastAsia="宋体" w:cs="Times New Roman"/>
          <w:b/>
          <w:bCs/>
          <w:sz w:val="22"/>
        </w:rPr>
        <w:t>Missed detection probability and False alarm probability, Sensing accuracy, and Sensing resolution.</w:t>
      </w:r>
    </w:p>
    <w:p w14:paraId="3640B887" w14:textId="77777777" w:rsidR="008A55DC" w:rsidRPr="008A55DC" w:rsidRDefault="008A55DC" w:rsidP="008A55DC">
      <w:pPr>
        <w:widowControl/>
        <w:overflowPunct w:val="0"/>
        <w:snapToGrid w:val="0"/>
        <w:spacing w:after="120"/>
        <w:textAlignment w:val="baseline"/>
        <w:rPr>
          <w:rFonts w:eastAsia="宋体" w:cs="Times New Roman"/>
          <w:kern w:val="0"/>
          <w:sz w:val="22"/>
        </w:rPr>
      </w:pPr>
      <w:r w:rsidRPr="008A55DC">
        <w:rPr>
          <w:rFonts w:eastAsia="宋体" w:cs="Times New Roman"/>
          <w:kern w:val="0"/>
          <w:sz w:val="22"/>
        </w:rPr>
        <w:t xml:space="preserve">The TS 22.137 </w:t>
      </w:r>
      <w:r w:rsidRPr="008650E6">
        <w:rPr>
          <w:rFonts w:eastAsia="宋体" w:cs="Times New Roman"/>
          <w:kern w:val="0"/>
          <w:sz w:val="22"/>
        </w:rPr>
        <w:t>[5]</w:t>
      </w:r>
      <w:r w:rsidRPr="008A55DC">
        <w:rPr>
          <w:rFonts w:eastAsia="宋体" w:cs="Times New Roman"/>
          <w:kern w:val="0"/>
          <w:sz w:val="22"/>
        </w:rPr>
        <w:t xml:space="preserve"> can be referred for the value ranges of the interested TPR items. Note: Exact value for a TPR item is further dependent on the use case.</w:t>
      </w:r>
    </w:p>
    <w:p w14:paraId="6BF3D906" w14:textId="77777777" w:rsidR="008A55DC" w:rsidRPr="008A55DC" w:rsidRDefault="008A55DC" w:rsidP="008A55DC">
      <w:pPr>
        <w:widowControl/>
        <w:overflowPunct w:val="0"/>
        <w:snapToGrid w:val="0"/>
        <w:spacing w:after="120"/>
        <w:textAlignment w:val="baseline"/>
        <w:rPr>
          <w:rFonts w:eastAsia="宋体" w:cs="Times New Roman"/>
          <w:kern w:val="0"/>
          <w:sz w:val="22"/>
        </w:rPr>
      </w:pPr>
      <w:r w:rsidRPr="008A55DC">
        <w:rPr>
          <w:rFonts w:eastAsia="宋体" w:cs="Times New Roman"/>
          <w:kern w:val="0"/>
          <w:sz w:val="22"/>
        </w:rPr>
        <w:t xml:space="preserve">The </w:t>
      </w:r>
      <w:r w:rsidRPr="008A55DC">
        <w:rPr>
          <w:rFonts w:eastAsia="等线" w:cs="Times New Roman"/>
          <w:lang w:eastAsia="ko-KR"/>
        </w:rPr>
        <w:t xml:space="preserve">minimum requirement for </w:t>
      </w:r>
      <w:r w:rsidRPr="008A55DC">
        <w:rPr>
          <w:rFonts w:eastAsia="宋体" w:cs="Times New Roman"/>
          <w:kern w:val="0"/>
          <w:sz w:val="22"/>
        </w:rPr>
        <w:t xml:space="preserve">missed detection probability and false alarm probability can be: </w:t>
      </w:r>
    </w:p>
    <w:p w14:paraId="04D9AE0C" w14:textId="77777777" w:rsidR="008A55DC" w:rsidRPr="008A55DC" w:rsidRDefault="008A55DC" w:rsidP="0032575B">
      <w:pPr>
        <w:widowControl/>
        <w:numPr>
          <w:ilvl w:val="0"/>
          <w:numId w:val="11"/>
        </w:numPr>
        <w:suppressAutoHyphens/>
        <w:overflowPunct w:val="0"/>
        <w:snapToGrid w:val="0"/>
        <w:spacing w:after="120"/>
        <w:textAlignment w:val="baseline"/>
        <w:rPr>
          <w:rFonts w:eastAsia="宋体" w:cs="Times New Roman"/>
          <w:kern w:val="0"/>
          <w:sz w:val="22"/>
        </w:rPr>
      </w:pPr>
      <w:r w:rsidRPr="008A55DC">
        <w:rPr>
          <w:rFonts w:eastAsia="宋体" w:cs="Times New Roman"/>
          <w:kern w:val="0"/>
          <w:sz w:val="22"/>
        </w:rPr>
        <w:t>Missed detection probability is 1-5%</w:t>
      </w:r>
    </w:p>
    <w:p w14:paraId="2DF6C75F" w14:textId="77777777" w:rsidR="008A55DC" w:rsidRPr="008A55DC" w:rsidRDefault="008A55DC" w:rsidP="0032575B">
      <w:pPr>
        <w:widowControl/>
        <w:numPr>
          <w:ilvl w:val="0"/>
          <w:numId w:val="11"/>
        </w:numPr>
        <w:suppressAutoHyphens/>
        <w:overflowPunct w:val="0"/>
        <w:snapToGrid w:val="0"/>
        <w:spacing w:after="120"/>
        <w:textAlignment w:val="baseline"/>
        <w:rPr>
          <w:rFonts w:eastAsia="宋体" w:cs="Times New Roman"/>
          <w:kern w:val="0"/>
          <w:sz w:val="22"/>
        </w:rPr>
      </w:pPr>
      <w:r w:rsidRPr="008A55DC">
        <w:rPr>
          <w:rFonts w:eastAsia="宋体" w:cs="Times New Roman"/>
          <w:kern w:val="0"/>
          <w:sz w:val="22"/>
        </w:rPr>
        <w:t>False alarm probability is 1-5%</w:t>
      </w:r>
    </w:p>
    <w:p w14:paraId="6F4B4626" w14:textId="77777777" w:rsidR="008A55DC" w:rsidRPr="008A55DC" w:rsidRDefault="008A55DC" w:rsidP="008A55DC">
      <w:pPr>
        <w:widowControl/>
        <w:overflowPunct w:val="0"/>
        <w:snapToGrid w:val="0"/>
        <w:spacing w:after="120"/>
        <w:textAlignment w:val="baseline"/>
        <w:rPr>
          <w:rFonts w:eastAsia="宋体" w:cs="Times New Roman"/>
          <w:kern w:val="0"/>
          <w:sz w:val="22"/>
        </w:rPr>
      </w:pPr>
      <w:r w:rsidRPr="008A55DC">
        <w:rPr>
          <w:rFonts w:eastAsia="宋体" w:cs="Times New Roman"/>
          <w:kern w:val="0"/>
          <w:sz w:val="22"/>
        </w:rPr>
        <w:t xml:space="preserve">The </w:t>
      </w:r>
      <w:r w:rsidRPr="008A55DC">
        <w:rPr>
          <w:rFonts w:eastAsia="等线" w:cs="Times New Roman"/>
          <w:lang w:eastAsia="ko-KR"/>
        </w:rPr>
        <w:t xml:space="preserve">minimum requirement for </w:t>
      </w:r>
      <w:r w:rsidRPr="008A55DC">
        <w:rPr>
          <w:rFonts w:eastAsia="宋体" w:cs="Times New Roman"/>
          <w:kern w:val="0"/>
          <w:sz w:val="22"/>
        </w:rPr>
        <w:t xml:space="preserve">sensing accuracy can be: </w:t>
      </w:r>
    </w:p>
    <w:p w14:paraId="35CF1A50" w14:textId="77777777" w:rsidR="008A55DC" w:rsidRPr="008A55DC" w:rsidRDefault="008A55DC" w:rsidP="0032575B">
      <w:pPr>
        <w:widowControl/>
        <w:numPr>
          <w:ilvl w:val="0"/>
          <w:numId w:val="11"/>
        </w:numPr>
        <w:suppressAutoHyphens/>
        <w:overflowPunct w:val="0"/>
        <w:snapToGrid w:val="0"/>
        <w:spacing w:after="120"/>
        <w:textAlignment w:val="baseline"/>
        <w:rPr>
          <w:rFonts w:eastAsia="宋体" w:cs="Times New Roman"/>
          <w:kern w:val="0"/>
          <w:sz w:val="22"/>
        </w:rPr>
      </w:pPr>
      <w:r w:rsidRPr="008A55DC">
        <w:rPr>
          <w:rFonts w:eastAsia="宋体" w:cs="Times New Roman"/>
          <w:kern w:val="0"/>
          <w:sz w:val="22"/>
        </w:rPr>
        <w:t>Range accuracy: 0.5-1m for horizontal and 0.5-1m for vertical, with confidential level 95%</w:t>
      </w:r>
    </w:p>
    <w:p w14:paraId="6531484D" w14:textId="77777777" w:rsidR="008A55DC" w:rsidRPr="008A55DC" w:rsidRDefault="008A55DC" w:rsidP="0032575B">
      <w:pPr>
        <w:widowControl/>
        <w:numPr>
          <w:ilvl w:val="0"/>
          <w:numId w:val="11"/>
        </w:numPr>
        <w:suppressAutoHyphens/>
        <w:overflowPunct w:val="0"/>
        <w:snapToGrid w:val="0"/>
        <w:spacing w:after="120"/>
        <w:textAlignment w:val="baseline"/>
        <w:rPr>
          <w:rFonts w:eastAsia="宋体" w:cs="Times New Roman"/>
          <w:kern w:val="0"/>
          <w:sz w:val="22"/>
        </w:rPr>
      </w:pPr>
      <w:r w:rsidRPr="008A55DC">
        <w:rPr>
          <w:rFonts w:eastAsia="宋体" w:cs="Times New Roman"/>
          <w:kern w:val="0"/>
          <w:sz w:val="22"/>
        </w:rPr>
        <w:t>Velocity accuracy: 1-1.5m/s for horizontal and 1-1.5m/s for vertical, with confidential level 95%</w:t>
      </w:r>
    </w:p>
    <w:p w14:paraId="2EAF98A0" w14:textId="77777777" w:rsidR="008A55DC" w:rsidRPr="008A55DC" w:rsidRDefault="008A55DC" w:rsidP="008A55DC">
      <w:pPr>
        <w:widowControl/>
        <w:overflowPunct w:val="0"/>
        <w:snapToGrid w:val="0"/>
        <w:spacing w:after="120"/>
        <w:textAlignment w:val="baseline"/>
        <w:rPr>
          <w:rFonts w:eastAsia="宋体" w:cs="Times New Roman"/>
          <w:kern w:val="0"/>
          <w:sz w:val="22"/>
        </w:rPr>
      </w:pPr>
      <w:r w:rsidRPr="008A55DC">
        <w:rPr>
          <w:rFonts w:eastAsia="宋体" w:cs="Times New Roman"/>
          <w:kern w:val="0"/>
          <w:sz w:val="22"/>
        </w:rPr>
        <w:t xml:space="preserve">The </w:t>
      </w:r>
      <w:r w:rsidRPr="008A55DC">
        <w:rPr>
          <w:rFonts w:eastAsia="等线" w:cs="Times New Roman"/>
          <w:lang w:eastAsia="ko-KR"/>
        </w:rPr>
        <w:t xml:space="preserve">minimum requirement for </w:t>
      </w:r>
      <w:r w:rsidRPr="008A55DC">
        <w:rPr>
          <w:rFonts w:eastAsia="宋体" w:cs="Times New Roman"/>
          <w:kern w:val="0"/>
          <w:sz w:val="22"/>
        </w:rPr>
        <w:t xml:space="preserve">sensing resolution can be: </w:t>
      </w:r>
    </w:p>
    <w:p w14:paraId="217F061F" w14:textId="77777777" w:rsidR="008A55DC" w:rsidRPr="008A55DC" w:rsidRDefault="008A55DC" w:rsidP="0032575B">
      <w:pPr>
        <w:widowControl/>
        <w:numPr>
          <w:ilvl w:val="0"/>
          <w:numId w:val="11"/>
        </w:numPr>
        <w:suppressAutoHyphens/>
        <w:overflowPunct w:val="0"/>
        <w:snapToGrid w:val="0"/>
        <w:spacing w:after="120"/>
        <w:textAlignment w:val="baseline"/>
        <w:rPr>
          <w:rFonts w:eastAsia="宋体" w:cs="Times New Roman"/>
          <w:kern w:val="0"/>
          <w:sz w:val="22"/>
        </w:rPr>
      </w:pPr>
      <w:r w:rsidRPr="008A55DC">
        <w:rPr>
          <w:rFonts w:eastAsia="宋体" w:cs="Times New Roman"/>
          <w:kern w:val="0"/>
          <w:sz w:val="22"/>
        </w:rPr>
        <w:t xml:space="preserve">Range resolution: 0.5-1m </w:t>
      </w:r>
    </w:p>
    <w:p w14:paraId="211A9E7E" w14:textId="77777777" w:rsidR="008A55DC" w:rsidRPr="008A55DC" w:rsidRDefault="008A55DC" w:rsidP="0032575B">
      <w:pPr>
        <w:widowControl/>
        <w:numPr>
          <w:ilvl w:val="0"/>
          <w:numId w:val="11"/>
        </w:numPr>
        <w:suppressAutoHyphens/>
        <w:overflowPunct w:val="0"/>
        <w:snapToGrid w:val="0"/>
        <w:spacing w:after="120"/>
        <w:textAlignment w:val="baseline"/>
        <w:rPr>
          <w:rFonts w:eastAsia="宋体" w:cs="Times New Roman"/>
          <w:kern w:val="0"/>
          <w:sz w:val="22"/>
        </w:rPr>
      </w:pPr>
      <w:r w:rsidRPr="008A55DC">
        <w:rPr>
          <w:rFonts w:eastAsia="宋体" w:cs="Times New Roman"/>
          <w:kern w:val="0"/>
          <w:sz w:val="22"/>
        </w:rPr>
        <w:t>Velocity resolution: 0.5-1m/s</w:t>
      </w:r>
    </w:p>
    <w:p w14:paraId="153F0957" w14:textId="77777777" w:rsidR="008A55DC" w:rsidRPr="008A55DC" w:rsidRDefault="008A55DC" w:rsidP="008A55DC">
      <w:pPr>
        <w:rPr>
          <w:rFonts w:eastAsia="等线" w:cs="Times New Roman"/>
        </w:rPr>
      </w:pPr>
    </w:p>
    <w:p w14:paraId="2E55FF9C" w14:textId="77777777" w:rsidR="008A55DC" w:rsidRPr="008A55DC" w:rsidRDefault="008A55DC" w:rsidP="009E39E6">
      <w:pPr>
        <w:pStyle w:val="1"/>
        <w:numPr>
          <w:ilvl w:val="0"/>
          <w:numId w:val="4"/>
        </w:numPr>
        <w:adjustRightInd w:val="0"/>
        <w:snapToGrid w:val="0"/>
        <w:spacing w:before="0" w:after="120" w:line="240" w:lineRule="auto"/>
        <w:ind w:left="0" w:firstLine="0"/>
        <w:rPr>
          <w:rFonts w:ascii="Arial" w:eastAsia="宋体" w:hAnsi="Arial" w:cs="Arial"/>
          <w:sz w:val="28"/>
          <w:szCs w:val="28"/>
        </w:rPr>
      </w:pPr>
      <w:r w:rsidRPr="008A55DC">
        <w:rPr>
          <w:rFonts w:ascii="Arial" w:eastAsia="宋体" w:hAnsi="Arial" w:cs="Arial"/>
          <w:sz w:val="28"/>
          <w:szCs w:val="28"/>
        </w:rPr>
        <w:t>Other 6G capabilities</w:t>
      </w:r>
    </w:p>
    <w:p w14:paraId="343BD592" w14:textId="77777777" w:rsidR="008A55DC" w:rsidRPr="008A55DC" w:rsidRDefault="008A55DC" w:rsidP="008A55DC">
      <w:pPr>
        <w:spacing w:after="120"/>
        <w:rPr>
          <w:rFonts w:eastAsia="等线" w:cs="Times New Roman"/>
          <w:i/>
          <w:iCs/>
          <w:u w:val="single"/>
        </w:rPr>
      </w:pPr>
      <w:r w:rsidRPr="008A55DC">
        <w:rPr>
          <w:rFonts w:eastAsia="等线" w:cs="Times New Roman"/>
          <w:i/>
          <w:iCs/>
          <w:u w:val="single"/>
        </w:rPr>
        <w:t>Coverage</w:t>
      </w:r>
    </w:p>
    <w:p w14:paraId="767D09F8" w14:textId="77777777" w:rsidR="008A55DC" w:rsidRPr="008A55DC" w:rsidRDefault="008A55DC" w:rsidP="008A55DC">
      <w:pPr>
        <w:spacing w:after="120"/>
        <w:rPr>
          <w:rFonts w:eastAsia="等线" w:cs="Times New Roman"/>
        </w:rPr>
      </w:pPr>
      <w:r w:rsidRPr="008A55DC">
        <w:rPr>
          <w:rFonts w:eastAsia="等线" w:cs="Times New Roman"/>
        </w:rPr>
        <w:t xml:space="preserve">In the conference call after RAN#107, the following three options are discussed </w:t>
      </w:r>
      <w:r w:rsidRPr="008650E6">
        <w:rPr>
          <w:rFonts w:eastAsia="等线" w:cs="Times New Roman"/>
        </w:rPr>
        <w:t>[2]:</w:t>
      </w:r>
    </w:p>
    <w:p w14:paraId="35F45752" w14:textId="77777777" w:rsidR="008A55DC" w:rsidRPr="008A55DC" w:rsidRDefault="008A55DC" w:rsidP="0032575B">
      <w:pPr>
        <w:widowControl/>
        <w:numPr>
          <w:ilvl w:val="0"/>
          <w:numId w:val="11"/>
        </w:numPr>
        <w:suppressAutoHyphens/>
        <w:overflowPunct w:val="0"/>
        <w:snapToGrid w:val="0"/>
        <w:spacing w:after="120"/>
        <w:textAlignment w:val="baseline"/>
        <w:rPr>
          <w:rFonts w:eastAsia="宋体" w:cs="Times New Roman"/>
          <w:kern w:val="0"/>
          <w:sz w:val="22"/>
        </w:rPr>
      </w:pPr>
      <w:r w:rsidRPr="008A55DC">
        <w:rPr>
          <w:rFonts w:eastAsia="宋体" w:cs="Times New Roman"/>
          <w:kern w:val="0"/>
          <w:sz w:val="22"/>
        </w:rPr>
        <w:t>Option 1: define coverage as a quantitative TPR</w:t>
      </w:r>
    </w:p>
    <w:p w14:paraId="79C6B1BD" w14:textId="77777777" w:rsidR="008A55DC" w:rsidRPr="008A55DC" w:rsidRDefault="008A55DC" w:rsidP="0032575B">
      <w:pPr>
        <w:widowControl/>
        <w:numPr>
          <w:ilvl w:val="0"/>
          <w:numId w:val="11"/>
        </w:numPr>
        <w:suppressAutoHyphens/>
        <w:overflowPunct w:val="0"/>
        <w:snapToGrid w:val="0"/>
        <w:spacing w:after="120"/>
        <w:textAlignment w:val="baseline"/>
        <w:rPr>
          <w:rFonts w:eastAsia="宋体" w:cs="Times New Roman"/>
          <w:kern w:val="0"/>
          <w:sz w:val="22"/>
        </w:rPr>
      </w:pPr>
      <w:r w:rsidRPr="008A55DC">
        <w:rPr>
          <w:rFonts w:eastAsia="宋体" w:cs="Times New Roman"/>
          <w:kern w:val="0"/>
          <w:sz w:val="22"/>
        </w:rPr>
        <w:t>Option 2: do not define coverage as a TPR, use link budget evaluation approach (same as IMT-2020)</w:t>
      </w:r>
    </w:p>
    <w:p w14:paraId="569D8E67" w14:textId="77777777" w:rsidR="008A55DC" w:rsidRPr="008A55DC" w:rsidRDefault="008A55DC" w:rsidP="0032575B">
      <w:pPr>
        <w:widowControl/>
        <w:numPr>
          <w:ilvl w:val="0"/>
          <w:numId w:val="11"/>
        </w:numPr>
        <w:suppressAutoHyphens/>
        <w:overflowPunct w:val="0"/>
        <w:snapToGrid w:val="0"/>
        <w:spacing w:after="120"/>
        <w:textAlignment w:val="baseline"/>
        <w:rPr>
          <w:rFonts w:eastAsia="宋体" w:cs="Times New Roman"/>
          <w:kern w:val="0"/>
          <w:sz w:val="22"/>
        </w:rPr>
      </w:pPr>
      <w:r w:rsidRPr="008A55DC">
        <w:rPr>
          <w:rFonts w:eastAsia="宋体" w:cs="Times New Roman"/>
          <w:kern w:val="0"/>
          <w:sz w:val="22"/>
        </w:rPr>
        <w:t>Option 3: define extra connectivity as a qualitative TPR, which was revised from a part of coverage</w:t>
      </w:r>
    </w:p>
    <w:p w14:paraId="756CF13D" w14:textId="77777777" w:rsidR="008A55DC" w:rsidRPr="008A55DC" w:rsidRDefault="008A55DC" w:rsidP="008A55DC">
      <w:pPr>
        <w:spacing w:after="120"/>
        <w:rPr>
          <w:rFonts w:eastAsia="等线" w:cs="Times New Roman"/>
        </w:rPr>
      </w:pPr>
      <w:r w:rsidRPr="008A55DC">
        <w:rPr>
          <w:rFonts w:eastAsia="等线" w:cs="Times New Roman"/>
        </w:rPr>
        <w:t>Link budget evaluation approach has been widely used to evaluate the coverage performance in both IMT-2020 and 3GPP, therefore, the same method can also be used for IMT-2030.</w:t>
      </w:r>
    </w:p>
    <w:p w14:paraId="6F6F999C" w14:textId="03BF3F4F" w:rsidR="008A55DC" w:rsidRPr="008A55DC" w:rsidRDefault="008A55DC" w:rsidP="008A55DC">
      <w:pPr>
        <w:rPr>
          <w:rFonts w:eastAsia="宋体" w:cs="Times New Roman"/>
          <w:b/>
          <w:bCs/>
          <w:sz w:val="22"/>
        </w:rPr>
      </w:pPr>
      <w:bookmarkStart w:id="2" w:name="OLE_LINK4"/>
      <w:r w:rsidRPr="008A55DC">
        <w:rPr>
          <w:rFonts w:eastAsia="宋体" w:cs="Times New Roman"/>
          <w:b/>
          <w:bCs/>
          <w:sz w:val="22"/>
        </w:rPr>
        <w:t xml:space="preserve">Proposal </w:t>
      </w:r>
      <w:r w:rsidR="005B48FC">
        <w:rPr>
          <w:rFonts w:eastAsia="宋体" w:cs="Times New Roman"/>
          <w:b/>
          <w:bCs/>
          <w:sz w:val="22"/>
        </w:rPr>
        <w:t>7</w:t>
      </w:r>
      <w:r w:rsidRPr="008A55DC">
        <w:rPr>
          <w:rFonts w:eastAsia="宋体" w:cs="Times New Roman"/>
          <w:b/>
          <w:bCs/>
          <w:sz w:val="22"/>
        </w:rPr>
        <w:t>:</w:t>
      </w:r>
      <w:r w:rsidRPr="008A55DC">
        <w:rPr>
          <w:rFonts w:eastAsia="等线" w:cs="Times New Roman"/>
        </w:rPr>
        <w:t xml:space="preserve"> </w:t>
      </w:r>
      <w:r w:rsidRPr="008A55DC">
        <w:rPr>
          <w:rFonts w:eastAsia="宋体" w:cs="Times New Roman"/>
          <w:b/>
          <w:bCs/>
          <w:sz w:val="22"/>
        </w:rPr>
        <w:t>Do not define coverage as a TPR, and use link budget evaluation approach</w:t>
      </w:r>
      <w:bookmarkEnd w:id="2"/>
    </w:p>
    <w:p w14:paraId="2764D79B" w14:textId="77777777" w:rsidR="008A55DC" w:rsidRPr="008A55DC" w:rsidRDefault="008A55DC" w:rsidP="008A55DC">
      <w:pPr>
        <w:rPr>
          <w:rFonts w:eastAsia="宋体" w:cs="Times New Roman"/>
          <w:b/>
          <w:bCs/>
          <w:sz w:val="22"/>
        </w:rPr>
      </w:pPr>
    </w:p>
    <w:p w14:paraId="62B0185E" w14:textId="77777777" w:rsidR="008A55DC" w:rsidRPr="008A55DC" w:rsidRDefault="008A55DC" w:rsidP="008A55DC">
      <w:pPr>
        <w:spacing w:after="120"/>
        <w:rPr>
          <w:rFonts w:eastAsia="宋体" w:cs="Times New Roman"/>
          <w:i/>
          <w:iCs/>
          <w:sz w:val="22"/>
          <w:u w:val="single"/>
        </w:rPr>
      </w:pPr>
      <w:r w:rsidRPr="008A55DC">
        <w:rPr>
          <w:rFonts w:eastAsia="宋体" w:cs="Times New Roman"/>
          <w:i/>
          <w:iCs/>
          <w:sz w:val="22"/>
          <w:u w:val="single"/>
        </w:rPr>
        <w:t>Resilience</w:t>
      </w:r>
    </w:p>
    <w:p w14:paraId="18A3BDCB" w14:textId="77777777" w:rsidR="008A55DC" w:rsidRPr="008A55DC" w:rsidRDefault="008A55DC" w:rsidP="008A55DC">
      <w:pPr>
        <w:spacing w:after="120"/>
        <w:rPr>
          <w:rFonts w:eastAsia="等线" w:cs="Times New Roman"/>
        </w:rPr>
      </w:pPr>
      <w:r w:rsidRPr="008A55DC">
        <w:rPr>
          <w:rFonts w:eastAsia="等线" w:cs="Times New Roman"/>
        </w:rPr>
        <w:t xml:space="preserve">In the conference call after RAN#107, the following two options are discussed </w:t>
      </w:r>
      <w:r w:rsidRPr="008650E6">
        <w:rPr>
          <w:rFonts w:eastAsia="等线" w:cs="Times New Roman"/>
        </w:rPr>
        <w:t>[2]:</w:t>
      </w:r>
    </w:p>
    <w:p w14:paraId="5CB4E0F2" w14:textId="77777777" w:rsidR="008A55DC" w:rsidRPr="008A55DC" w:rsidRDefault="008A55DC" w:rsidP="0032575B">
      <w:pPr>
        <w:widowControl/>
        <w:numPr>
          <w:ilvl w:val="0"/>
          <w:numId w:val="11"/>
        </w:numPr>
        <w:suppressAutoHyphens/>
        <w:overflowPunct w:val="0"/>
        <w:snapToGrid w:val="0"/>
        <w:spacing w:after="120"/>
        <w:ind w:left="360"/>
        <w:textAlignment w:val="baseline"/>
        <w:rPr>
          <w:rFonts w:eastAsia="宋体" w:cs="Times New Roman"/>
          <w:kern w:val="0"/>
          <w:sz w:val="22"/>
        </w:rPr>
      </w:pPr>
      <w:r w:rsidRPr="008A55DC">
        <w:rPr>
          <w:rFonts w:eastAsia="宋体" w:cs="Times New Roman"/>
          <w:kern w:val="0"/>
          <w:sz w:val="22"/>
        </w:rPr>
        <w:t>Option 1: define resilience as a qualitative TPR</w:t>
      </w:r>
    </w:p>
    <w:p w14:paraId="222699B4" w14:textId="77777777" w:rsidR="008A55DC" w:rsidRPr="008A55DC" w:rsidRDefault="008A55DC" w:rsidP="0032575B">
      <w:pPr>
        <w:widowControl/>
        <w:numPr>
          <w:ilvl w:val="0"/>
          <w:numId w:val="11"/>
        </w:numPr>
        <w:suppressAutoHyphens/>
        <w:overflowPunct w:val="0"/>
        <w:snapToGrid w:val="0"/>
        <w:spacing w:after="120"/>
        <w:ind w:left="360"/>
        <w:textAlignment w:val="baseline"/>
        <w:rPr>
          <w:rFonts w:eastAsia="宋体" w:cs="Times New Roman"/>
          <w:kern w:val="0"/>
          <w:sz w:val="22"/>
        </w:rPr>
      </w:pPr>
      <w:r w:rsidRPr="008A55DC">
        <w:rPr>
          <w:rFonts w:eastAsia="宋体" w:cs="Times New Roman"/>
          <w:kern w:val="0"/>
          <w:sz w:val="22"/>
        </w:rPr>
        <w:lastRenderedPageBreak/>
        <w:t>Option 2: do not define resilience as a TPR, these can be covered by submission template for IMT-2030.</w:t>
      </w:r>
    </w:p>
    <w:p w14:paraId="3DE3568C" w14:textId="77777777" w:rsidR="008A55DC" w:rsidRPr="008A55DC" w:rsidRDefault="008A55DC" w:rsidP="008A55DC">
      <w:pPr>
        <w:widowControl/>
        <w:overflowPunct w:val="0"/>
        <w:snapToGrid w:val="0"/>
        <w:spacing w:after="120"/>
        <w:textAlignment w:val="baseline"/>
        <w:rPr>
          <w:rFonts w:eastAsia="宋体" w:cs="Times New Roman"/>
          <w:kern w:val="0"/>
          <w:sz w:val="22"/>
        </w:rPr>
      </w:pPr>
      <w:r w:rsidRPr="008A55DC">
        <w:rPr>
          <w:rFonts w:eastAsia="宋体" w:cs="Times New Roman"/>
          <w:kern w:val="0"/>
          <w:sz w:val="22"/>
        </w:rPr>
        <w:t>Although resilience is an important capability for 6G system, it would be quite difficult to define the requirement of or to evaluate the resilience of a given system. Therefore, it is preferred to not define resilience as a TPR.</w:t>
      </w:r>
    </w:p>
    <w:p w14:paraId="0DC2A10D" w14:textId="75A4ED27" w:rsidR="007B03F9" w:rsidRPr="007B03F9" w:rsidRDefault="008A55DC" w:rsidP="008650E6">
      <w:pPr>
        <w:spacing w:after="120"/>
        <w:rPr>
          <w:rFonts w:eastAsia="宋体" w:cs="Times New Roman"/>
          <w:kern w:val="0"/>
          <w:sz w:val="22"/>
        </w:rPr>
      </w:pPr>
      <w:r w:rsidRPr="008A55DC">
        <w:rPr>
          <w:rFonts w:eastAsia="宋体" w:cs="Times New Roman"/>
          <w:b/>
          <w:bCs/>
          <w:sz w:val="22"/>
        </w:rPr>
        <w:t xml:space="preserve">Proposal </w:t>
      </w:r>
      <w:r w:rsidR="005B48FC">
        <w:rPr>
          <w:rFonts w:eastAsia="宋体" w:cs="Times New Roman"/>
          <w:b/>
          <w:bCs/>
          <w:sz w:val="22"/>
        </w:rPr>
        <w:t>8</w:t>
      </w:r>
      <w:r w:rsidRPr="008A55DC">
        <w:rPr>
          <w:rFonts w:eastAsia="宋体" w:cs="Times New Roman"/>
          <w:b/>
          <w:bCs/>
          <w:sz w:val="22"/>
        </w:rPr>
        <w:t>:</w:t>
      </w:r>
      <w:r w:rsidRPr="008A55DC">
        <w:rPr>
          <w:rFonts w:eastAsia="等线" w:cs="Times New Roman"/>
        </w:rPr>
        <w:t xml:space="preserve"> </w:t>
      </w:r>
      <w:r w:rsidRPr="008A55DC">
        <w:rPr>
          <w:rFonts w:eastAsia="宋体" w:cs="Times New Roman"/>
          <w:b/>
          <w:bCs/>
          <w:sz w:val="22"/>
        </w:rPr>
        <w:t>Do not define resilience as a TPR</w:t>
      </w:r>
    </w:p>
    <w:p w14:paraId="326F59A7" w14:textId="409F1157" w:rsidR="005B48FC" w:rsidRDefault="005B48FC" w:rsidP="00D77B9B">
      <w:pPr>
        <w:pStyle w:val="1"/>
        <w:numPr>
          <w:ilvl w:val="0"/>
          <w:numId w:val="4"/>
        </w:numPr>
        <w:adjustRightInd w:val="0"/>
        <w:snapToGrid w:val="0"/>
        <w:spacing w:before="0" w:after="120" w:line="240" w:lineRule="auto"/>
        <w:ind w:left="0" w:firstLine="0"/>
        <w:rPr>
          <w:rFonts w:ascii="Arial" w:eastAsia="宋体" w:hAnsi="Arial" w:cs="Arial"/>
          <w:sz w:val="28"/>
          <w:szCs w:val="28"/>
        </w:rPr>
      </w:pPr>
      <w:r>
        <w:rPr>
          <w:rFonts w:ascii="Arial" w:eastAsia="宋体" w:hAnsi="Arial" w:cs="Arial"/>
          <w:sz w:val="28"/>
          <w:szCs w:val="28"/>
        </w:rPr>
        <w:t>Conclusion</w:t>
      </w:r>
    </w:p>
    <w:p w14:paraId="31691CA9" w14:textId="5324C890" w:rsidR="005B48FC" w:rsidRDefault="005B48FC" w:rsidP="005B48FC">
      <w:r>
        <w:t>In this contribution, the remaining issues of minimum TPR for IMT-2030 are discussed, and the following proposals are proposed:</w:t>
      </w:r>
    </w:p>
    <w:p w14:paraId="452F1C5F" w14:textId="77777777" w:rsidR="005B48FC" w:rsidRDefault="005B48FC" w:rsidP="005B48FC"/>
    <w:p w14:paraId="13A7B2ED" w14:textId="77777777" w:rsidR="005B48FC" w:rsidRPr="008A55DC" w:rsidRDefault="005B48FC" w:rsidP="005B48FC">
      <w:pPr>
        <w:spacing w:after="120"/>
        <w:rPr>
          <w:rFonts w:eastAsia="等线" w:cs="Times New Roman"/>
          <w:b/>
          <w:bCs/>
        </w:rPr>
      </w:pPr>
      <w:r w:rsidRPr="008A55DC">
        <w:rPr>
          <w:rFonts w:eastAsia="等线" w:cs="Times New Roman"/>
          <w:b/>
          <w:bCs/>
        </w:rPr>
        <w:t xml:space="preserve">Proposal </w:t>
      </w:r>
      <w:r>
        <w:rPr>
          <w:rFonts w:eastAsia="等线" w:cs="Times New Roman"/>
          <w:b/>
          <w:bCs/>
        </w:rPr>
        <w:t>1</w:t>
      </w:r>
      <w:r w:rsidRPr="008A55DC">
        <w:rPr>
          <w:rFonts w:eastAsia="等线" w:cs="Times New Roman"/>
          <w:b/>
          <w:bCs/>
        </w:rPr>
        <w:t xml:space="preserve">: The value for peak spectrum efficiency of IMT-2030 is 1.5 times of that of IMT-2020 </w:t>
      </w:r>
    </w:p>
    <w:p w14:paraId="2387F79B" w14:textId="693EDE79" w:rsidR="005B48FC" w:rsidRPr="008A55DC" w:rsidRDefault="005B48FC" w:rsidP="005B48FC">
      <w:pPr>
        <w:spacing w:after="120"/>
        <w:rPr>
          <w:rFonts w:eastAsia="等线" w:cs="Times New Roman"/>
          <w:b/>
          <w:bCs/>
        </w:rPr>
      </w:pPr>
      <w:r w:rsidRPr="008A55DC">
        <w:rPr>
          <w:rFonts w:eastAsia="等线" w:cs="Times New Roman"/>
          <w:b/>
          <w:bCs/>
        </w:rPr>
        <w:t xml:space="preserve">Proposal </w:t>
      </w:r>
      <w:r>
        <w:rPr>
          <w:rFonts w:eastAsia="等线" w:cs="Times New Roman"/>
          <w:b/>
          <w:bCs/>
        </w:rPr>
        <w:t>2</w:t>
      </w:r>
      <w:r w:rsidRPr="008A55DC">
        <w:rPr>
          <w:rFonts w:eastAsia="等线" w:cs="Times New Roman"/>
          <w:b/>
          <w:bCs/>
        </w:rPr>
        <w:t xml:space="preserve">: Not to define a requirement for peak data rate, </w:t>
      </w:r>
      <w:r w:rsidR="008650E6" w:rsidRPr="008A55DC">
        <w:rPr>
          <w:rFonts w:eastAsia="等线" w:cs="Times New Roman"/>
          <w:b/>
          <w:bCs/>
        </w:rPr>
        <w:t>e.g.,</w:t>
      </w:r>
      <w:r w:rsidRPr="008A55DC">
        <w:rPr>
          <w:rFonts w:eastAsia="等线" w:cs="Times New Roman"/>
          <w:b/>
          <w:bCs/>
        </w:rPr>
        <w:t xml:space="preserve"> Leave the value for peak data rate for the technology proponent to provide</w:t>
      </w:r>
    </w:p>
    <w:p w14:paraId="3232B00E" w14:textId="77777777" w:rsidR="005B48FC" w:rsidRPr="008A55DC" w:rsidRDefault="005B48FC" w:rsidP="005B48FC">
      <w:pPr>
        <w:spacing w:after="120"/>
        <w:rPr>
          <w:rFonts w:eastAsia="等线" w:cs="Times New Roman"/>
          <w:b/>
          <w:bCs/>
        </w:rPr>
      </w:pPr>
      <w:r w:rsidRPr="008A55DC">
        <w:rPr>
          <w:rFonts w:eastAsia="等线" w:cs="Times New Roman"/>
          <w:b/>
          <w:bCs/>
        </w:rPr>
        <w:t xml:space="preserve">Proposal </w:t>
      </w:r>
      <w:r>
        <w:rPr>
          <w:rFonts w:eastAsia="等线" w:cs="Times New Roman"/>
          <w:b/>
          <w:bCs/>
        </w:rPr>
        <w:t>3</w:t>
      </w:r>
      <w:r w:rsidRPr="008A55DC">
        <w:rPr>
          <w:rFonts w:eastAsia="等线" w:cs="Times New Roman"/>
          <w:b/>
          <w:bCs/>
        </w:rPr>
        <w:t>: The value of 5</w:t>
      </w:r>
      <w:r w:rsidRPr="008A55DC">
        <w:rPr>
          <w:rFonts w:eastAsia="等线" w:cs="Times New Roman"/>
          <w:b/>
          <w:bCs/>
          <w:vertAlign w:val="superscript"/>
        </w:rPr>
        <w:t>th</w:t>
      </w:r>
      <w:r w:rsidRPr="008A55DC">
        <w:rPr>
          <w:rFonts w:eastAsia="等线" w:cs="Times New Roman"/>
          <w:b/>
          <w:bCs/>
        </w:rPr>
        <w:t xml:space="preserve"> percentile user spectral efficiency of IMT-2030 is set as 2 times of that of IMT-2020.</w:t>
      </w:r>
    </w:p>
    <w:p w14:paraId="5D98CC25" w14:textId="77777777" w:rsidR="005B48FC" w:rsidRPr="008A55DC" w:rsidRDefault="005B48FC" w:rsidP="005B48FC">
      <w:pPr>
        <w:spacing w:after="120"/>
        <w:rPr>
          <w:rFonts w:eastAsia="等线" w:cs="Times New Roman"/>
          <w:b/>
          <w:bCs/>
        </w:rPr>
      </w:pPr>
      <w:r w:rsidRPr="008A55DC">
        <w:rPr>
          <w:rFonts w:eastAsia="等线" w:cs="Times New Roman"/>
          <w:b/>
          <w:bCs/>
        </w:rPr>
        <w:t xml:space="preserve">Proposal </w:t>
      </w:r>
      <w:r>
        <w:rPr>
          <w:rFonts w:eastAsia="等线" w:cs="Times New Roman"/>
          <w:b/>
          <w:bCs/>
        </w:rPr>
        <w:t>4</w:t>
      </w:r>
      <w:r w:rsidRPr="008A55DC">
        <w:rPr>
          <w:rFonts w:eastAsia="等线" w:cs="Times New Roman"/>
          <w:b/>
          <w:bCs/>
        </w:rPr>
        <w:t>: The value of average spectral efficiency of IMT-2030 is set as 2 times of that of IMT-2020.</w:t>
      </w:r>
    </w:p>
    <w:p w14:paraId="49DC9716" w14:textId="77777777" w:rsidR="005B48FC" w:rsidRPr="008A55DC" w:rsidRDefault="005B48FC" w:rsidP="005B48FC">
      <w:pPr>
        <w:widowControl/>
        <w:overflowPunct w:val="0"/>
        <w:snapToGrid w:val="0"/>
        <w:spacing w:after="120"/>
        <w:textAlignment w:val="baseline"/>
        <w:rPr>
          <w:rFonts w:eastAsia="宋体" w:cs="Times New Roman"/>
          <w:b/>
          <w:bCs/>
          <w:sz w:val="22"/>
        </w:rPr>
      </w:pPr>
      <w:r w:rsidRPr="008A55DC">
        <w:rPr>
          <w:rFonts w:eastAsia="宋体" w:cs="Times New Roman"/>
          <w:b/>
          <w:bCs/>
          <w:sz w:val="22"/>
        </w:rPr>
        <w:t xml:space="preserve">Proposal </w:t>
      </w:r>
      <w:r>
        <w:rPr>
          <w:rFonts w:eastAsia="宋体" w:cs="Times New Roman"/>
          <w:b/>
          <w:bCs/>
          <w:sz w:val="22"/>
        </w:rPr>
        <w:t>5</w:t>
      </w:r>
      <w:r w:rsidRPr="008A55DC">
        <w:rPr>
          <w:rFonts w:eastAsia="宋体" w:cs="Times New Roman"/>
          <w:b/>
          <w:bCs/>
          <w:sz w:val="22"/>
        </w:rPr>
        <w:t>: Consider values in Table 1 as the candidate values for remaining minimum TPRs of IMT-2030</w:t>
      </w:r>
    </w:p>
    <w:p w14:paraId="2E9CF332" w14:textId="77777777" w:rsidR="005B48FC" w:rsidRPr="008A55DC" w:rsidRDefault="005B48FC" w:rsidP="005B48FC">
      <w:pPr>
        <w:widowControl/>
        <w:overflowPunct w:val="0"/>
        <w:snapToGrid w:val="0"/>
        <w:spacing w:after="120"/>
        <w:textAlignment w:val="baseline"/>
        <w:rPr>
          <w:rFonts w:eastAsia="宋体" w:cs="Times New Roman"/>
          <w:b/>
          <w:bCs/>
          <w:sz w:val="22"/>
        </w:rPr>
      </w:pPr>
      <w:r w:rsidRPr="008A55DC">
        <w:rPr>
          <w:rFonts w:eastAsia="宋体" w:cs="Times New Roman"/>
          <w:b/>
          <w:bCs/>
          <w:sz w:val="22"/>
        </w:rPr>
        <w:t xml:space="preserve">Proposal </w:t>
      </w:r>
      <w:r w:rsidRPr="005B48FC">
        <w:rPr>
          <w:rFonts w:eastAsia="宋体" w:cs="Times New Roman"/>
          <w:b/>
          <w:bCs/>
          <w:sz w:val="22"/>
        </w:rPr>
        <w:t>6</w:t>
      </w:r>
      <w:r w:rsidRPr="008A55DC">
        <w:rPr>
          <w:rFonts w:eastAsia="宋体" w:cs="Times New Roman"/>
          <w:b/>
          <w:bCs/>
          <w:sz w:val="22"/>
        </w:rPr>
        <w:t>: Quantitative TPR items for sensing related capabilities should be defined, including</w:t>
      </w:r>
      <w:r w:rsidRPr="008A55DC">
        <w:rPr>
          <w:rFonts w:eastAsia="等线" w:cs="Times New Roman"/>
        </w:rPr>
        <w:t xml:space="preserve"> </w:t>
      </w:r>
      <w:r w:rsidRPr="008A55DC">
        <w:rPr>
          <w:rFonts w:eastAsia="宋体" w:cs="Times New Roman"/>
          <w:b/>
          <w:bCs/>
          <w:sz w:val="22"/>
        </w:rPr>
        <w:t>Missed detection probability and False alarm probability, Sensing accuracy, and Sensing resolution.</w:t>
      </w:r>
    </w:p>
    <w:p w14:paraId="562A9496" w14:textId="77777777" w:rsidR="005B48FC" w:rsidRPr="008A55DC" w:rsidRDefault="005B48FC" w:rsidP="005B48FC">
      <w:pPr>
        <w:rPr>
          <w:rFonts w:eastAsia="宋体" w:cs="Times New Roman"/>
          <w:b/>
          <w:bCs/>
          <w:sz w:val="22"/>
        </w:rPr>
      </w:pPr>
      <w:r w:rsidRPr="008A55DC">
        <w:rPr>
          <w:rFonts w:eastAsia="宋体" w:cs="Times New Roman"/>
          <w:b/>
          <w:bCs/>
          <w:sz w:val="22"/>
        </w:rPr>
        <w:t xml:space="preserve">Proposal </w:t>
      </w:r>
      <w:r>
        <w:rPr>
          <w:rFonts w:eastAsia="宋体" w:cs="Times New Roman"/>
          <w:b/>
          <w:bCs/>
          <w:sz w:val="22"/>
        </w:rPr>
        <w:t>7</w:t>
      </w:r>
      <w:r w:rsidRPr="008A55DC">
        <w:rPr>
          <w:rFonts w:eastAsia="宋体" w:cs="Times New Roman"/>
          <w:b/>
          <w:bCs/>
          <w:sz w:val="22"/>
        </w:rPr>
        <w:t>:</w:t>
      </w:r>
      <w:r w:rsidRPr="008A55DC">
        <w:rPr>
          <w:rFonts w:eastAsia="等线" w:cs="Times New Roman"/>
        </w:rPr>
        <w:t xml:space="preserve"> </w:t>
      </w:r>
      <w:r w:rsidRPr="008A55DC">
        <w:rPr>
          <w:rFonts w:eastAsia="宋体" w:cs="Times New Roman"/>
          <w:b/>
          <w:bCs/>
          <w:sz w:val="22"/>
        </w:rPr>
        <w:t>Do not define coverage as a TPR, and use link budget evaluation approach</w:t>
      </w:r>
    </w:p>
    <w:p w14:paraId="3A932D03" w14:textId="77777777" w:rsidR="005B48FC" w:rsidRPr="008A55DC" w:rsidRDefault="005B48FC" w:rsidP="005B48FC">
      <w:pPr>
        <w:spacing w:after="120"/>
        <w:rPr>
          <w:rFonts w:eastAsia="宋体" w:cs="Times New Roman"/>
          <w:b/>
          <w:bCs/>
          <w:sz w:val="22"/>
        </w:rPr>
      </w:pPr>
      <w:r w:rsidRPr="008A55DC">
        <w:rPr>
          <w:rFonts w:eastAsia="宋体" w:cs="Times New Roman"/>
          <w:b/>
          <w:bCs/>
          <w:sz w:val="22"/>
        </w:rPr>
        <w:t xml:space="preserve">Proposal </w:t>
      </w:r>
      <w:r>
        <w:rPr>
          <w:rFonts w:eastAsia="宋体" w:cs="Times New Roman"/>
          <w:b/>
          <w:bCs/>
          <w:sz w:val="22"/>
        </w:rPr>
        <w:t>8</w:t>
      </w:r>
      <w:r w:rsidRPr="008A55DC">
        <w:rPr>
          <w:rFonts w:eastAsia="宋体" w:cs="Times New Roman"/>
          <w:b/>
          <w:bCs/>
          <w:sz w:val="22"/>
        </w:rPr>
        <w:t>:</w:t>
      </w:r>
      <w:r w:rsidRPr="008A55DC">
        <w:rPr>
          <w:rFonts w:eastAsia="等线" w:cs="Times New Roman"/>
        </w:rPr>
        <w:t xml:space="preserve"> </w:t>
      </w:r>
      <w:r w:rsidRPr="008A55DC">
        <w:rPr>
          <w:rFonts w:eastAsia="宋体" w:cs="Times New Roman"/>
          <w:b/>
          <w:bCs/>
          <w:sz w:val="22"/>
        </w:rPr>
        <w:t>Do not define resilience as a TPR</w:t>
      </w:r>
    </w:p>
    <w:p w14:paraId="685A0C8F" w14:textId="61A0AEE0" w:rsidR="005B48FC" w:rsidRDefault="005B48FC" w:rsidP="005B48FC"/>
    <w:p w14:paraId="6C61BAE9" w14:textId="77777777" w:rsidR="005B48FC" w:rsidRPr="005B48FC" w:rsidRDefault="005B48FC" w:rsidP="005B48FC"/>
    <w:p w14:paraId="74C56617" w14:textId="4730B3D2" w:rsidR="001C6FCC" w:rsidRPr="00F15C24" w:rsidRDefault="001C6FCC" w:rsidP="00D77B9B">
      <w:pPr>
        <w:pStyle w:val="1"/>
        <w:numPr>
          <w:ilvl w:val="0"/>
          <w:numId w:val="4"/>
        </w:numPr>
        <w:adjustRightInd w:val="0"/>
        <w:snapToGrid w:val="0"/>
        <w:spacing w:before="0" w:after="120" w:line="240" w:lineRule="auto"/>
        <w:ind w:left="0" w:firstLine="0"/>
        <w:rPr>
          <w:rFonts w:ascii="Arial" w:eastAsia="宋体" w:hAnsi="Arial" w:cs="Arial"/>
          <w:sz w:val="28"/>
          <w:szCs w:val="28"/>
        </w:rPr>
      </w:pPr>
      <w:r w:rsidRPr="00F15C24">
        <w:rPr>
          <w:rFonts w:ascii="Arial" w:eastAsia="宋体" w:hAnsi="Arial" w:cs="Arial"/>
          <w:sz w:val="28"/>
          <w:szCs w:val="28"/>
        </w:rPr>
        <w:t>References</w:t>
      </w:r>
    </w:p>
    <w:p w14:paraId="47125E1D" w14:textId="77777777" w:rsidR="009E39E6" w:rsidRPr="009E39E6" w:rsidRDefault="009E39E6" w:rsidP="009E39E6">
      <w:pPr>
        <w:widowControl/>
        <w:numPr>
          <w:ilvl w:val="0"/>
          <w:numId w:val="2"/>
        </w:numPr>
        <w:autoSpaceDE w:val="0"/>
        <w:autoSpaceDN w:val="0"/>
        <w:adjustRightInd w:val="0"/>
        <w:snapToGrid w:val="0"/>
        <w:spacing w:after="120"/>
        <w:rPr>
          <w:rFonts w:eastAsia="宋体" w:cs="Times New Roman"/>
          <w:kern w:val="0"/>
          <w:sz w:val="22"/>
        </w:rPr>
      </w:pPr>
      <w:r w:rsidRPr="009E39E6">
        <w:rPr>
          <w:rFonts w:eastAsia="宋体" w:cs="Times New Roman"/>
          <w:kern w:val="0"/>
          <w:sz w:val="22"/>
        </w:rPr>
        <w:t>RP-250819, Moderator's summary for IMT-2030 TPRs, Moderator (CMCC), RAN#107, March 12-14, 2025</w:t>
      </w:r>
    </w:p>
    <w:p w14:paraId="26B160FE" w14:textId="77777777" w:rsidR="009E39E6" w:rsidRPr="009E39E6" w:rsidRDefault="009E39E6" w:rsidP="009E39E6">
      <w:pPr>
        <w:widowControl/>
        <w:numPr>
          <w:ilvl w:val="0"/>
          <w:numId w:val="2"/>
        </w:numPr>
        <w:autoSpaceDE w:val="0"/>
        <w:autoSpaceDN w:val="0"/>
        <w:adjustRightInd w:val="0"/>
        <w:snapToGrid w:val="0"/>
        <w:spacing w:after="120"/>
        <w:rPr>
          <w:rFonts w:eastAsia="宋体" w:cs="Times New Roman"/>
          <w:kern w:val="0"/>
          <w:sz w:val="22"/>
        </w:rPr>
      </w:pPr>
      <w:r w:rsidRPr="009E39E6">
        <w:rPr>
          <w:rFonts w:eastAsia="宋体" w:cs="Times New Roman"/>
          <w:kern w:val="0"/>
          <w:sz w:val="22"/>
        </w:rPr>
        <w:t>RT-250024, Moderator's summary for IMT-2030 TPRs in CC#1, Moderator (CMCC), CC#1 for IMT-2030 TPR discussion, April 29, 2025</w:t>
      </w:r>
    </w:p>
    <w:p w14:paraId="7DE2BDAC" w14:textId="77777777" w:rsidR="009E39E6" w:rsidRPr="009E39E6" w:rsidRDefault="009E39E6" w:rsidP="009E39E6">
      <w:pPr>
        <w:widowControl/>
        <w:numPr>
          <w:ilvl w:val="0"/>
          <w:numId w:val="2"/>
        </w:numPr>
        <w:autoSpaceDE w:val="0"/>
        <w:autoSpaceDN w:val="0"/>
        <w:adjustRightInd w:val="0"/>
        <w:snapToGrid w:val="0"/>
        <w:spacing w:after="120"/>
        <w:rPr>
          <w:rFonts w:eastAsia="宋体" w:cs="Times New Roman"/>
          <w:kern w:val="0"/>
          <w:sz w:val="22"/>
        </w:rPr>
      </w:pPr>
      <w:r w:rsidRPr="009E39E6">
        <w:rPr>
          <w:rFonts w:eastAsia="宋体" w:cs="Times New Roman"/>
          <w:kern w:val="0"/>
          <w:sz w:val="22"/>
        </w:rPr>
        <w:t>3GPP TR 37.910, Study on self evaluation towards IMT-2020 submission</w:t>
      </w:r>
    </w:p>
    <w:p w14:paraId="7E9361AC" w14:textId="77777777" w:rsidR="009E39E6" w:rsidRPr="009E39E6" w:rsidRDefault="009E39E6" w:rsidP="009E39E6">
      <w:pPr>
        <w:widowControl/>
        <w:numPr>
          <w:ilvl w:val="0"/>
          <w:numId w:val="2"/>
        </w:numPr>
        <w:autoSpaceDE w:val="0"/>
        <w:autoSpaceDN w:val="0"/>
        <w:adjustRightInd w:val="0"/>
        <w:snapToGrid w:val="0"/>
        <w:spacing w:after="120"/>
        <w:rPr>
          <w:rFonts w:eastAsia="宋体" w:cs="Times New Roman"/>
          <w:kern w:val="0"/>
          <w:sz w:val="22"/>
        </w:rPr>
      </w:pPr>
      <w:r w:rsidRPr="009E39E6">
        <w:rPr>
          <w:rFonts w:eastAsia="宋体" w:cs="Times New Roman"/>
          <w:kern w:val="0"/>
          <w:sz w:val="22"/>
        </w:rPr>
        <w:t>Recommendation ITU-R M.2160-0, Framework and overall objectives of the future development of IMT for 2030 and beyond, Nov. 2023</w:t>
      </w:r>
    </w:p>
    <w:p w14:paraId="1B8216CD" w14:textId="2B830585" w:rsidR="00DF538D" w:rsidRPr="009E39E6" w:rsidRDefault="009E39E6" w:rsidP="0063605C">
      <w:pPr>
        <w:widowControl/>
        <w:numPr>
          <w:ilvl w:val="0"/>
          <w:numId w:val="2"/>
        </w:numPr>
        <w:autoSpaceDE w:val="0"/>
        <w:autoSpaceDN w:val="0"/>
        <w:adjustRightInd w:val="0"/>
        <w:snapToGrid w:val="0"/>
        <w:spacing w:after="120"/>
        <w:rPr>
          <w:rFonts w:eastAsia="宋体" w:cs="Times New Roman"/>
          <w:kern w:val="0"/>
          <w:sz w:val="22"/>
        </w:rPr>
      </w:pPr>
      <w:r w:rsidRPr="009E39E6">
        <w:rPr>
          <w:rFonts w:eastAsia="宋体" w:cs="Times New Roman"/>
          <w:kern w:val="0"/>
          <w:sz w:val="22"/>
        </w:rPr>
        <w:t>3GPP TS 22.137, Service requirements for Integrated Sensing and Communication; Stage 1 (Release 19), V19.1.0, 2024</w:t>
      </w:r>
    </w:p>
    <w:sectPr w:rsidR="00DF538D" w:rsidRPr="009E39E6" w:rsidSect="000614CD">
      <w:footerReference w:type="default" r:id="rId10"/>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F31F7" w14:textId="77777777" w:rsidR="004A248C" w:rsidRDefault="004A248C" w:rsidP="00474D49">
      <w:r>
        <w:separator/>
      </w:r>
    </w:p>
  </w:endnote>
  <w:endnote w:type="continuationSeparator" w:id="0">
    <w:p w14:paraId="0D90DE6A" w14:textId="77777777" w:rsidR="004A248C" w:rsidRDefault="004A248C"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方正大黑简体">
    <w:altName w:val="宋体"/>
    <w:panose1 w:val="00000000000000000000"/>
    <w:charset w:val="86"/>
    <w:family w:val="roman"/>
    <w:notTrueType/>
    <w:pitch w:val="default"/>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0"/>
      </w:rPr>
      <w:id w:val="-564956351"/>
      <w:docPartObj>
        <w:docPartGallery w:val="Page Numbers (Bottom of Page)"/>
        <w:docPartUnique/>
      </w:docPartObj>
    </w:sdtPr>
    <w:sdtEndPr/>
    <w:sdtContent>
      <w:p w14:paraId="78394917" w14:textId="77777777" w:rsidR="001C4949" w:rsidRPr="00F56DC1" w:rsidRDefault="001C4949" w:rsidP="00D13400">
        <w:pPr>
          <w:pStyle w:val="a5"/>
          <w:jc w:val="center"/>
          <w:rPr>
            <w:rFonts w:cs="Times New Roman"/>
            <w:sz w:val="20"/>
            <w:szCs w:val="20"/>
          </w:rPr>
        </w:pPr>
        <w:r w:rsidRPr="00F56DC1">
          <w:rPr>
            <w:rFonts w:cs="Times New Roman"/>
            <w:sz w:val="20"/>
            <w:szCs w:val="20"/>
          </w:rPr>
          <w:fldChar w:fldCharType="begin"/>
        </w:r>
        <w:r w:rsidRPr="00F56DC1">
          <w:rPr>
            <w:rFonts w:cs="Times New Roman"/>
            <w:sz w:val="20"/>
            <w:szCs w:val="20"/>
          </w:rPr>
          <w:instrText>PAGE   \* MERGEFORMAT</w:instrText>
        </w:r>
        <w:r w:rsidRPr="00F56DC1">
          <w:rPr>
            <w:rFonts w:cs="Times New Roman"/>
            <w:sz w:val="20"/>
            <w:szCs w:val="20"/>
          </w:rPr>
          <w:fldChar w:fldCharType="separate"/>
        </w:r>
        <w:r w:rsidR="00F02692" w:rsidRPr="00F02692">
          <w:rPr>
            <w:rFonts w:cs="Times New Roman"/>
            <w:noProof/>
            <w:sz w:val="20"/>
            <w:szCs w:val="20"/>
            <w:lang w:val="zh-CN"/>
          </w:rPr>
          <w:t>7</w:t>
        </w:r>
        <w:r w:rsidRPr="00F56DC1">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39993" w14:textId="77777777" w:rsidR="004A248C" w:rsidRDefault="004A248C" w:rsidP="00474D49">
      <w:r>
        <w:separator/>
      </w:r>
    </w:p>
  </w:footnote>
  <w:footnote w:type="continuationSeparator" w:id="0">
    <w:p w14:paraId="7C717FE2" w14:textId="77777777" w:rsidR="004A248C" w:rsidRDefault="004A248C"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D0B2D"/>
    <w:multiLevelType w:val="multilevel"/>
    <w:tmpl w:val="6E648116"/>
    <w:lvl w:ilvl="0">
      <w:start w:val="1"/>
      <w:numFmt w:val="decimal"/>
      <w:lvlText w:val="%1."/>
      <w:lvlJc w:val="left"/>
      <w:pPr>
        <w:ind w:left="425" w:hanging="425"/>
      </w:pPr>
      <w:rPr>
        <w:rFonts w:hint="eastAsia"/>
      </w:rPr>
    </w:lvl>
    <w:lvl w:ilvl="1">
      <w:start w:val="1"/>
      <w:numFmt w:val="decimal"/>
      <w:lvlText w:val="%1.%2."/>
      <w:lvlJc w:val="left"/>
      <w:pPr>
        <w:ind w:left="851"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06D66095"/>
    <w:multiLevelType w:val="multilevel"/>
    <w:tmpl w:val="032D0B2D"/>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5D07CEA"/>
    <w:multiLevelType w:val="multilevel"/>
    <w:tmpl w:val="F2044692"/>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C7415E"/>
    <w:multiLevelType w:val="hybridMultilevel"/>
    <w:tmpl w:val="5A18D1FA"/>
    <w:lvl w:ilvl="0" w:tplc="572EF3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5C2AE6"/>
    <w:multiLevelType w:val="hybridMultilevel"/>
    <w:tmpl w:val="E7703002"/>
    <w:lvl w:ilvl="0" w:tplc="3D0EC594">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3045EF"/>
    <w:multiLevelType w:val="multilevel"/>
    <w:tmpl w:val="33C6AB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66B4533B"/>
    <w:multiLevelType w:val="multilevel"/>
    <w:tmpl w:val="7CB233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75755967"/>
    <w:multiLevelType w:val="hybridMultilevel"/>
    <w:tmpl w:val="8EBC2AF0"/>
    <w:lvl w:ilvl="0" w:tplc="DABAB71E">
      <w:start w:val="1"/>
      <w:numFmt w:val="decimal"/>
      <w:pStyle w:val="4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8D12E2B"/>
    <w:multiLevelType w:val="multilevel"/>
    <w:tmpl w:val="B13CFD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7A456909"/>
    <w:multiLevelType w:val="hybridMultilevel"/>
    <w:tmpl w:val="C9707F16"/>
    <w:lvl w:ilvl="0" w:tplc="638C51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5"/>
  </w:num>
  <w:num w:numId="4">
    <w:abstractNumId w:val="0"/>
  </w:num>
  <w:num w:numId="5">
    <w:abstractNumId w:val="10"/>
  </w:num>
  <w:num w:numId="6">
    <w:abstractNumId w:val="1"/>
  </w:num>
  <w:num w:numId="7">
    <w:abstractNumId w:val="7"/>
  </w:num>
  <w:num w:numId="8">
    <w:abstractNumId w:val="2"/>
  </w:num>
  <w:num w:numId="9">
    <w:abstractNumId w:val="9"/>
  </w:num>
  <w:num w:numId="10">
    <w:abstractNumId w:val="8"/>
  </w:num>
  <w:num w:numId="11">
    <w:abstractNumId w:val="11"/>
  </w:num>
  <w:num w:numId="12">
    <w:abstractNumId w:val="6"/>
  </w:num>
  <w:num w:numId="1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9E"/>
    <w:rsid w:val="000000E7"/>
    <w:rsid w:val="000005A2"/>
    <w:rsid w:val="00000C32"/>
    <w:rsid w:val="00000EC6"/>
    <w:rsid w:val="00001882"/>
    <w:rsid w:val="0000274E"/>
    <w:rsid w:val="00002835"/>
    <w:rsid w:val="00002CA5"/>
    <w:rsid w:val="00003288"/>
    <w:rsid w:val="000034BB"/>
    <w:rsid w:val="00004617"/>
    <w:rsid w:val="00004A68"/>
    <w:rsid w:val="00004D5C"/>
    <w:rsid w:val="0000519E"/>
    <w:rsid w:val="00005255"/>
    <w:rsid w:val="00005725"/>
    <w:rsid w:val="000057E0"/>
    <w:rsid w:val="00005842"/>
    <w:rsid w:val="00005941"/>
    <w:rsid w:val="00005B5F"/>
    <w:rsid w:val="00006301"/>
    <w:rsid w:val="000066AE"/>
    <w:rsid w:val="00006A8A"/>
    <w:rsid w:val="00007714"/>
    <w:rsid w:val="000102F1"/>
    <w:rsid w:val="00010F33"/>
    <w:rsid w:val="000116FB"/>
    <w:rsid w:val="00012B99"/>
    <w:rsid w:val="00013077"/>
    <w:rsid w:val="00013917"/>
    <w:rsid w:val="000144E0"/>
    <w:rsid w:val="00014C8B"/>
    <w:rsid w:val="000157E3"/>
    <w:rsid w:val="0001602B"/>
    <w:rsid w:val="000165CE"/>
    <w:rsid w:val="00016A8B"/>
    <w:rsid w:val="00016AE4"/>
    <w:rsid w:val="00016D54"/>
    <w:rsid w:val="00017551"/>
    <w:rsid w:val="00017EC0"/>
    <w:rsid w:val="0002016B"/>
    <w:rsid w:val="000209A4"/>
    <w:rsid w:val="000209C5"/>
    <w:rsid w:val="00021255"/>
    <w:rsid w:val="000216D8"/>
    <w:rsid w:val="000216F9"/>
    <w:rsid w:val="00021F5F"/>
    <w:rsid w:val="00021FEE"/>
    <w:rsid w:val="00022FF3"/>
    <w:rsid w:val="000242AC"/>
    <w:rsid w:val="000244E4"/>
    <w:rsid w:val="000247CC"/>
    <w:rsid w:val="00026215"/>
    <w:rsid w:val="00027377"/>
    <w:rsid w:val="00027DA2"/>
    <w:rsid w:val="0003022F"/>
    <w:rsid w:val="00030444"/>
    <w:rsid w:val="00030446"/>
    <w:rsid w:val="00030BF1"/>
    <w:rsid w:val="00030DFA"/>
    <w:rsid w:val="00031300"/>
    <w:rsid w:val="000315F7"/>
    <w:rsid w:val="00031FD2"/>
    <w:rsid w:val="000325C5"/>
    <w:rsid w:val="00032AD3"/>
    <w:rsid w:val="00032BD5"/>
    <w:rsid w:val="00032FF3"/>
    <w:rsid w:val="000334E3"/>
    <w:rsid w:val="000350F7"/>
    <w:rsid w:val="00035EC1"/>
    <w:rsid w:val="00037EDD"/>
    <w:rsid w:val="0004061A"/>
    <w:rsid w:val="00040F58"/>
    <w:rsid w:val="00041225"/>
    <w:rsid w:val="000414BA"/>
    <w:rsid w:val="00041B28"/>
    <w:rsid w:val="000423FF"/>
    <w:rsid w:val="00042DC5"/>
    <w:rsid w:val="00043575"/>
    <w:rsid w:val="000441F4"/>
    <w:rsid w:val="000444FE"/>
    <w:rsid w:val="000448E6"/>
    <w:rsid w:val="0004619E"/>
    <w:rsid w:val="000469BF"/>
    <w:rsid w:val="000471B3"/>
    <w:rsid w:val="00047697"/>
    <w:rsid w:val="00047FB8"/>
    <w:rsid w:val="00050573"/>
    <w:rsid w:val="00050641"/>
    <w:rsid w:val="00050725"/>
    <w:rsid w:val="000508F8"/>
    <w:rsid w:val="00050CAF"/>
    <w:rsid w:val="00050E68"/>
    <w:rsid w:val="00051058"/>
    <w:rsid w:val="00051368"/>
    <w:rsid w:val="00052407"/>
    <w:rsid w:val="000525A5"/>
    <w:rsid w:val="000529D2"/>
    <w:rsid w:val="000540C6"/>
    <w:rsid w:val="000552E6"/>
    <w:rsid w:val="00055B29"/>
    <w:rsid w:val="00055ED2"/>
    <w:rsid w:val="00056316"/>
    <w:rsid w:val="000563AF"/>
    <w:rsid w:val="000563DC"/>
    <w:rsid w:val="00056C4E"/>
    <w:rsid w:val="0005772A"/>
    <w:rsid w:val="00057CE7"/>
    <w:rsid w:val="000614CD"/>
    <w:rsid w:val="000619EB"/>
    <w:rsid w:val="00062076"/>
    <w:rsid w:val="000629FB"/>
    <w:rsid w:val="00062A89"/>
    <w:rsid w:val="00062C80"/>
    <w:rsid w:val="00063390"/>
    <w:rsid w:val="0006346B"/>
    <w:rsid w:val="0006357E"/>
    <w:rsid w:val="00063E55"/>
    <w:rsid w:val="000640BD"/>
    <w:rsid w:val="00064DA9"/>
    <w:rsid w:val="000652F1"/>
    <w:rsid w:val="00065432"/>
    <w:rsid w:val="00065AE9"/>
    <w:rsid w:val="00066A7F"/>
    <w:rsid w:val="00066CFA"/>
    <w:rsid w:val="0006758E"/>
    <w:rsid w:val="00070041"/>
    <w:rsid w:val="00070046"/>
    <w:rsid w:val="0007107C"/>
    <w:rsid w:val="0007240B"/>
    <w:rsid w:val="00073923"/>
    <w:rsid w:val="00073C32"/>
    <w:rsid w:val="00073C96"/>
    <w:rsid w:val="00073CFA"/>
    <w:rsid w:val="00073F1D"/>
    <w:rsid w:val="00074216"/>
    <w:rsid w:val="00074916"/>
    <w:rsid w:val="00074DAD"/>
    <w:rsid w:val="00074DFB"/>
    <w:rsid w:val="00075090"/>
    <w:rsid w:val="000762BB"/>
    <w:rsid w:val="000763EB"/>
    <w:rsid w:val="00076DED"/>
    <w:rsid w:val="0007734E"/>
    <w:rsid w:val="000803A9"/>
    <w:rsid w:val="0008044D"/>
    <w:rsid w:val="00080863"/>
    <w:rsid w:val="000808A4"/>
    <w:rsid w:val="000809C9"/>
    <w:rsid w:val="00081049"/>
    <w:rsid w:val="00081132"/>
    <w:rsid w:val="00081DC4"/>
    <w:rsid w:val="0008264B"/>
    <w:rsid w:val="00082E9C"/>
    <w:rsid w:val="000837B4"/>
    <w:rsid w:val="0008452E"/>
    <w:rsid w:val="000847E0"/>
    <w:rsid w:val="00085180"/>
    <w:rsid w:val="00085731"/>
    <w:rsid w:val="0008607B"/>
    <w:rsid w:val="000862CD"/>
    <w:rsid w:val="000876FD"/>
    <w:rsid w:val="00090094"/>
    <w:rsid w:val="000902B6"/>
    <w:rsid w:val="000902C5"/>
    <w:rsid w:val="00091E4C"/>
    <w:rsid w:val="00092D85"/>
    <w:rsid w:val="00092FD5"/>
    <w:rsid w:val="0009358E"/>
    <w:rsid w:val="00093A23"/>
    <w:rsid w:val="00093ADD"/>
    <w:rsid w:val="00094E6E"/>
    <w:rsid w:val="0009618D"/>
    <w:rsid w:val="0009666C"/>
    <w:rsid w:val="00097AB5"/>
    <w:rsid w:val="00097CA4"/>
    <w:rsid w:val="000A007C"/>
    <w:rsid w:val="000A01A3"/>
    <w:rsid w:val="000A045E"/>
    <w:rsid w:val="000A0EAE"/>
    <w:rsid w:val="000A1138"/>
    <w:rsid w:val="000A197D"/>
    <w:rsid w:val="000A225D"/>
    <w:rsid w:val="000A3009"/>
    <w:rsid w:val="000A36F8"/>
    <w:rsid w:val="000A4545"/>
    <w:rsid w:val="000A46DD"/>
    <w:rsid w:val="000A56C2"/>
    <w:rsid w:val="000A5C23"/>
    <w:rsid w:val="000A6BC8"/>
    <w:rsid w:val="000A6CBC"/>
    <w:rsid w:val="000A78EE"/>
    <w:rsid w:val="000A7F4B"/>
    <w:rsid w:val="000B01E3"/>
    <w:rsid w:val="000B049E"/>
    <w:rsid w:val="000B04FB"/>
    <w:rsid w:val="000B0A5D"/>
    <w:rsid w:val="000B0F4D"/>
    <w:rsid w:val="000B1267"/>
    <w:rsid w:val="000B1EBF"/>
    <w:rsid w:val="000B25AF"/>
    <w:rsid w:val="000B2EB5"/>
    <w:rsid w:val="000B31EE"/>
    <w:rsid w:val="000B487E"/>
    <w:rsid w:val="000B4F9B"/>
    <w:rsid w:val="000B5848"/>
    <w:rsid w:val="000B62EC"/>
    <w:rsid w:val="000B680E"/>
    <w:rsid w:val="000B737D"/>
    <w:rsid w:val="000B7D9C"/>
    <w:rsid w:val="000C1546"/>
    <w:rsid w:val="000C19D0"/>
    <w:rsid w:val="000C19DE"/>
    <w:rsid w:val="000C3EF9"/>
    <w:rsid w:val="000C48D7"/>
    <w:rsid w:val="000C4F7A"/>
    <w:rsid w:val="000C5780"/>
    <w:rsid w:val="000C5FA1"/>
    <w:rsid w:val="000C6124"/>
    <w:rsid w:val="000C687B"/>
    <w:rsid w:val="000C7A98"/>
    <w:rsid w:val="000D0136"/>
    <w:rsid w:val="000D0545"/>
    <w:rsid w:val="000D06AB"/>
    <w:rsid w:val="000D1521"/>
    <w:rsid w:val="000D21CE"/>
    <w:rsid w:val="000D21E1"/>
    <w:rsid w:val="000D29E6"/>
    <w:rsid w:val="000D2E50"/>
    <w:rsid w:val="000D4545"/>
    <w:rsid w:val="000D5C60"/>
    <w:rsid w:val="000D63B4"/>
    <w:rsid w:val="000D6B38"/>
    <w:rsid w:val="000D6CE3"/>
    <w:rsid w:val="000D7205"/>
    <w:rsid w:val="000D7746"/>
    <w:rsid w:val="000D7B22"/>
    <w:rsid w:val="000D7FD9"/>
    <w:rsid w:val="000E0049"/>
    <w:rsid w:val="000E01B3"/>
    <w:rsid w:val="000E0392"/>
    <w:rsid w:val="000E0613"/>
    <w:rsid w:val="000E0DEC"/>
    <w:rsid w:val="000E15E8"/>
    <w:rsid w:val="000E1FEB"/>
    <w:rsid w:val="000E24C4"/>
    <w:rsid w:val="000E27D7"/>
    <w:rsid w:val="000E28E8"/>
    <w:rsid w:val="000E29D8"/>
    <w:rsid w:val="000E2C33"/>
    <w:rsid w:val="000E2E86"/>
    <w:rsid w:val="000E2ED4"/>
    <w:rsid w:val="000E362D"/>
    <w:rsid w:val="000E3AE7"/>
    <w:rsid w:val="000E3F17"/>
    <w:rsid w:val="000E437F"/>
    <w:rsid w:val="000E4969"/>
    <w:rsid w:val="000E5687"/>
    <w:rsid w:val="000E62A2"/>
    <w:rsid w:val="000E67BA"/>
    <w:rsid w:val="000E696A"/>
    <w:rsid w:val="000E6DB0"/>
    <w:rsid w:val="000E6FB0"/>
    <w:rsid w:val="000E7649"/>
    <w:rsid w:val="000E7673"/>
    <w:rsid w:val="000E77D2"/>
    <w:rsid w:val="000F01B5"/>
    <w:rsid w:val="000F18DD"/>
    <w:rsid w:val="000F2F79"/>
    <w:rsid w:val="000F307F"/>
    <w:rsid w:val="000F3CE2"/>
    <w:rsid w:val="000F4717"/>
    <w:rsid w:val="000F4FDA"/>
    <w:rsid w:val="000F557A"/>
    <w:rsid w:val="000F5BC2"/>
    <w:rsid w:val="000F61DB"/>
    <w:rsid w:val="000F6262"/>
    <w:rsid w:val="000F6F0C"/>
    <w:rsid w:val="000F743C"/>
    <w:rsid w:val="000F75D9"/>
    <w:rsid w:val="000F7A65"/>
    <w:rsid w:val="000F7FFD"/>
    <w:rsid w:val="00100505"/>
    <w:rsid w:val="0010052D"/>
    <w:rsid w:val="00100ECC"/>
    <w:rsid w:val="00101547"/>
    <w:rsid w:val="00101A17"/>
    <w:rsid w:val="00101BC6"/>
    <w:rsid w:val="00101F23"/>
    <w:rsid w:val="001025A9"/>
    <w:rsid w:val="00102C32"/>
    <w:rsid w:val="00102C7C"/>
    <w:rsid w:val="0010366C"/>
    <w:rsid w:val="00103682"/>
    <w:rsid w:val="001047F7"/>
    <w:rsid w:val="0010495E"/>
    <w:rsid w:val="00105197"/>
    <w:rsid w:val="0010533F"/>
    <w:rsid w:val="001057E4"/>
    <w:rsid w:val="00105A0F"/>
    <w:rsid w:val="00106965"/>
    <w:rsid w:val="001069C1"/>
    <w:rsid w:val="00106C46"/>
    <w:rsid w:val="00106D92"/>
    <w:rsid w:val="00107A0B"/>
    <w:rsid w:val="00107AD0"/>
    <w:rsid w:val="00110B52"/>
    <w:rsid w:val="00110D83"/>
    <w:rsid w:val="00110DDA"/>
    <w:rsid w:val="00111522"/>
    <w:rsid w:val="001120D8"/>
    <w:rsid w:val="001129A4"/>
    <w:rsid w:val="00113A84"/>
    <w:rsid w:val="00113E7D"/>
    <w:rsid w:val="00114B23"/>
    <w:rsid w:val="00115AE6"/>
    <w:rsid w:val="00116694"/>
    <w:rsid w:val="00116919"/>
    <w:rsid w:val="001169AE"/>
    <w:rsid w:val="00116B49"/>
    <w:rsid w:val="00116C38"/>
    <w:rsid w:val="001170C7"/>
    <w:rsid w:val="001172BE"/>
    <w:rsid w:val="00117C62"/>
    <w:rsid w:val="0012076F"/>
    <w:rsid w:val="00120842"/>
    <w:rsid w:val="00120C2B"/>
    <w:rsid w:val="00120C75"/>
    <w:rsid w:val="0012137B"/>
    <w:rsid w:val="00121C92"/>
    <w:rsid w:val="00121C9D"/>
    <w:rsid w:val="00122F91"/>
    <w:rsid w:val="00123001"/>
    <w:rsid w:val="001232F0"/>
    <w:rsid w:val="00123689"/>
    <w:rsid w:val="00123D40"/>
    <w:rsid w:val="0012620C"/>
    <w:rsid w:val="00126A29"/>
    <w:rsid w:val="00126E37"/>
    <w:rsid w:val="0012749E"/>
    <w:rsid w:val="0012770A"/>
    <w:rsid w:val="00127A6C"/>
    <w:rsid w:val="0013029D"/>
    <w:rsid w:val="00131AE9"/>
    <w:rsid w:val="00132770"/>
    <w:rsid w:val="00132BDD"/>
    <w:rsid w:val="001332AD"/>
    <w:rsid w:val="001338FB"/>
    <w:rsid w:val="00133DB0"/>
    <w:rsid w:val="00134C59"/>
    <w:rsid w:val="001352B8"/>
    <w:rsid w:val="00135532"/>
    <w:rsid w:val="00135891"/>
    <w:rsid w:val="001358AE"/>
    <w:rsid w:val="00135AF6"/>
    <w:rsid w:val="001366EE"/>
    <w:rsid w:val="00136C9E"/>
    <w:rsid w:val="0013727E"/>
    <w:rsid w:val="0013773B"/>
    <w:rsid w:val="00137ACE"/>
    <w:rsid w:val="0014027A"/>
    <w:rsid w:val="00141161"/>
    <w:rsid w:val="0014152A"/>
    <w:rsid w:val="00141CA9"/>
    <w:rsid w:val="00141E67"/>
    <w:rsid w:val="00142167"/>
    <w:rsid w:val="00142524"/>
    <w:rsid w:val="00142923"/>
    <w:rsid w:val="00143D94"/>
    <w:rsid w:val="001448AC"/>
    <w:rsid w:val="0014625C"/>
    <w:rsid w:val="00146CEE"/>
    <w:rsid w:val="0014743B"/>
    <w:rsid w:val="001475A7"/>
    <w:rsid w:val="00147E3E"/>
    <w:rsid w:val="00150C65"/>
    <w:rsid w:val="00150D53"/>
    <w:rsid w:val="00150F56"/>
    <w:rsid w:val="0015204B"/>
    <w:rsid w:val="001528E0"/>
    <w:rsid w:val="00152947"/>
    <w:rsid w:val="00153E16"/>
    <w:rsid w:val="00154924"/>
    <w:rsid w:val="00154DC8"/>
    <w:rsid w:val="00154FFA"/>
    <w:rsid w:val="00155AED"/>
    <w:rsid w:val="001563D0"/>
    <w:rsid w:val="00156B2F"/>
    <w:rsid w:val="00156CEB"/>
    <w:rsid w:val="0015723A"/>
    <w:rsid w:val="001577D7"/>
    <w:rsid w:val="001577DB"/>
    <w:rsid w:val="00157ABC"/>
    <w:rsid w:val="00157B6A"/>
    <w:rsid w:val="00160150"/>
    <w:rsid w:val="001605A1"/>
    <w:rsid w:val="00160737"/>
    <w:rsid w:val="0016095F"/>
    <w:rsid w:val="00160B02"/>
    <w:rsid w:val="00160CBF"/>
    <w:rsid w:val="00160D12"/>
    <w:rsid w:val="0016133A"/>
    <w:rsid w:val="00161A58"/>
    <w:rsid w:val="00162A60"/>
    <w:rsid w:val="00163955"/>
    <w:rsid w:val="0016400F"/>
    <w:rsid w:val="00164645"/>
    <w:rsid w:val="001650B5"/>
    <w:rsid w:val="00166199"/>
    <w:rsid w:val="0016653D"/>
    <w:rsid w:val="00166AC3"/>
    <w:rsid w:val="00166BB4"/>
    <w:rsid w:val="00166C34"/>
    <w:rsid w:val="001674DA"/>
    <w:rsid w:val="00167B1B"/>
    <w:rsid w:val="00170758"/>
    <w:rsid w:val="00170C18"/>
    <w:rsid w:val="001710C1"/>
    <w:rsid w:val="0017165A"/>
    <w:rsid w:val="00171695"/>
    <w:rsid w:val="001717EB"/>
    <w:rsid w:val="00172133"/>
    <w:rsid w:val="0017227E"/>
    <w:rsid w:val="00172D9F"/>
    <w:rsid w:val="00172ED4"/>
    <w:rsid w:val="00172FFA"/>
    <w:rsid w:val="00173276"/>
    <w:rsid w:val="001736EB"/>
    <w:rsid w:val="001739F8"/>
    <w:rsid w:val="001739FA"/>
    <w:rsid w:val="00174223"/>
    <w:rsid w:val="001745E6"/>
    <w:rsid w:val="00174ABC"/>
    <w:rsid w:val="0017501F"/>
    <w:rsid w:val="001751A9"/>
    <w:rsid w:val="00175FF4"/>
    <w:rsid w:val="00176466"/>
    <w:rsid w:val="001771E9"/>
    <w:rsid w:val="001775C4"/>
    <w:rsid w:val="00177859"/>
    <w:rsid w:val="0017793E"/>
    <w:rsid w:val="00177DAF"/>
    <w:rsid w:val="001800F0"/>
    <w:rsid w:val="001802A0"/>
    <w:rsid w:val="00181F54"/>
    <w:rsid w:val="00182FE9"/>
    <w:rsid w:val="001841E3"/>
    <w:rsid w:val="0018452D"/>
    <w:rsid w:val="0018457F"/>
    <w:rsid w:val="001845AF"/>
    <w:rsid w:val="00184D93"/>
    <w:rsid w:val="00185209"/>
    <w:rsid w:val="00185AD3"/>
    <w:rsid w:val="00186586"/>
    <w:rsid w:val="00186754"/>
    <w:rsid w:val="0018692A"/>
    <w:rsid w:val="001877C3"/>
    <w:rsid w:val="00190C26"/>
    <w:rsid w:val="00190C2A"/>
    <w:rsid w:val="00191FD2"/>
    <w:rsid w:val="001921D5"/>
    <w:rsid w:val="00192C2E"/>
    <w:rsid w:val="00193972"/>
    <w:rsid w:val="001948C1"/>
    <w:rsid w:val="0019580C"/>
    <w:rsid w:val="00195D6E"/>
    <w:rsid w:val="00196838"/>
    <w:rsid w:val="00196FE1"/>
    <w:rsid w:val="00197B32"/>
    <w:rsid w:val="00197DEB"/>
    <w:rsid w:val="001A0328"/>
    <w:rsid w:val="001A09BA"/>
    <w:rsid w:val="001A0B3C"/>
    <w:rsid w:val="001A0FBC"/>
    <w:rsid w:val="001A1E76"/>
    <w:rsid w:val="001A2E9A"/>
    <w:rsid w:val="001A3A8F"/>
    <w:rsid w:val="001A4267"/>
    <w:rsid w:val="001A48E9"/>
    <w:rsid w:val="001A59C2"/>
    <w:rsid w:val="001A5C85"/>
    <w:rsid w:val="001A63E8"/>
    <w:rsid w:val="001A6F86"/>
    <w:rsid w:val="001A72BA"/>
    <w:rsid w:val="001A75EB"/>
    <w:rsid w:val="001B045B"/>
    <w:rsid w:val="001B0B6C"/>
    <w:rsid w:val="001B146C"/>
    <w:rsid w:val="001B1A60"/>
    <w:rsid w:val="001B25BF"/>
    <w:rsid w:val="001B2A82"/>
    <w:rsid w:val="001B363A"/>
    <w:rsid w:val="001B3BA7"/>
    <w:rsid w:val="001B3DF0"/>
    <w:rsid w:val="001B4AFA"/>
    <w:rsid w:val="001B4D66"/>
    <w:rsid w:val="001B547A"/>
    <w:rsid w:val="001B551C"/>
    <w:rsid w:val="001B57A7"/>
    <w:rsid w:val="001B6134"/>
    <w:rsid w:val="001B7288"/>
    <w:rsid w:val="001C0641"/>
    <w:rsid w:val="001C1C6D"/>
    <w:rsid w:val="001C26B8"/>
    <w:rsid w:val="001C2CA8"/>
    <w:rsid w:val="001C2DB9"/>
    <w:rsid w:val="001C2E29"/>
    <w:rsid w:val="001C3242"/>
    <w:rsid w:val="001C33E5"/>
    <w:rsid w:val="001C34B8"/>
    <w:rsid w:val="001C376B"/>
    <w:rsid w:val="001C475E"/>
    <w:rsid w:val="001C4949"/>
    <w:rsid w:val="001C4F64"/>
    <w:rsid w:val="001C4F83"/>
    <w:rsid w:val="001C5448"/>
    <w:rsid w:val="001C56C5"/>
    <w:rsid w:val="001C5C03"/>
    <w:rsid w:val="001C61C5"/>
    <w:rsid w:val="001C69C3"/>
    <w:rsid w:val="001C6FCC"/>
    <w:rsid w:val="001C7054"/>
    <w:rsid w:val="001C725F"/>
    <w:rsid w:val="001C7713"/>
    <w:rsid w:val="001D01D5"/>
    <w:rsid w:val="001D01E9"/>
    <w:rsid w:val="001D0E5A"/>
    <w:rsid w:val="001D2292"/>
    <w:rsid w:val="001D2928"/>
    <w:rsid w:val="001D306F"/>
    <w:rsid w:val="001D30A6"/>
    <w:rsid w:val="001D3343"/>
    <w:rsid w:val="001D39EC"/>
    <w:rsid w:val="001D4B5E"/>
    <w:rsid w:val="001D4D89"/>
    <w:rsid w:val="001D4E31"/>
    <w:rsid w:val="001D5076"/>
    <w:rsid w:val="001D618F"/>
    <w:rsid w:val="001D621B"/>
    <w:rsid w:val="001D74DF"/>
    <w:rsid w:val="001D7ED2"/>
    <w:rsid w:val="001E043E"/>
    <w:rsid w:val="001E0F59"/>
    <w:rsid w:val="001E185D"/>
    <w:rsid w:val="001E2CAA"/>
    <w:rsid w:val="001E311B"/>
    <w:rsid w:val="001E338E"/>
    <w:rsid w:val="001E38D2"/>
    <w:rsid w:val="001E3BBC"/>
    <w:rsid w:val="001E41FA"/>
    <w:rsid w:val="001E480B"/>
    <w:rsid w:val="001E4C94"/>
    <w:rsid w:val="001E4F10"/>
    <w:rsid w:val="001E52E8"/>
    <w:rsid w:val="001E536A"/>
    <w:rsid w:val="001E68F1"/>
    <w:rsid w:val="001E6F4B"/>
    <w:rsid w:val="001F21AF"/>
    <w:rsid w:val="001F305A"/>
    <w:rsid w:val="001F34CA"/>
    <w:rsid w:val="001F4B36"/>
    <w:rsid w:val="001F6F28"/>
    <w:rsid w:val="001F715E"/>
    <w:rsid w:val="001F7616"/>
    <w:rsid w:val="001F7746"/>
    <w:rsid w:val="001F7AB4"/>
    <w:rsid w:val="00200D07"/>
    <w:rsid w:val="0020106D"/>
    <w:rsid w:val="00201E1B"/>
    <w:rsid w:val="00201EF2"/>
    <w:rsid w:val="002026F7"/>
    <w:rsid w:val="0020279E"/>
    <w:rsid w:val="00202C06"/>
    <w:rsid w:val="002031B2"/>
    <w:rsid w:val="002031D1"/>
    <w:rsid w:val="00203273"/>
    <w:rsid w:val="002033EA"/>
    <w:rsid w:val="00203CD1"/>
    <w:rsid w:val="00204FAC"/>
    <w:rsid w:val="00205BF7"/>
    <w:rsid w:val="00205E51"/>
    <w:rsid w:val="00206335"/>
    <w:rsid w:val="002063EB"/>
    <w:rsid w:val="002064EF"/>
    <w:rsid w:val="00206F6E"/>
    <w:rsid w:val="002071F1"/>
    <w:rsid w:val="0020780C"/>
    <w:rsid w:val="00207A46"/>
    <w:rsid w:val="00207B27"/>
    <w:rsid w:val="00210403"/>
    <w:rsid w:val="00211CD8"/>
    <w:rsid w:val="00211DF8"/>
    <w:rsid w:val="00213B69"/>
    <w:rsid w:val="0021416D"/>
    <w:rsid w:val="00214557"/>
    <w:rsid w:val="00214FAC"/>
    <w:rsid w:val="0021637E"/>
    <w:rsid w:val="00216BA4"/>
    <w:rsid w:val="00220087"/>
    <w:rsid w:val="00220AFA"/>
    <w:rsid w:val="0022156F"/>
    <w:rsid w:val="0022168D"/>
    <w:rsid w:val="002223DE"/>
    <w:rsid w:val="00222472"/>
    <w:rsid w:val="00222D1F"/>
    <w:rsid w:val="002232E7"/>
    <w:rsid w:val="002238D2"/>
    <w:rsid w:val="00223B8A"/>
    <w:rsid w:val="00223B8D"/>
    <w:rsid w:val="0022488F"/>
    <w:rsid w:val="00224BF6"/>
    <w:rsid w:val="0022584C"/>
    <w:rsid w:val="00225954"/>
    <w:rsid w:val="0022754B"/>
    <w:rsid w:val="00230825"/>
    <w:rsid w:val="002309DA"/>
    <w:rsid w:val="00230FD1"/>
    <w:rsid w:val="0023130B"/>
    <w:rsid w:val="00231BC7"/>
    <w:rsid w:val="0023257C"/>
    <w:rsid w:val="00232780"/>
    <w:rsid w:val="00232A0B"/>
    <w:rsid w:val="00232AB0"/>
    <w:rsid w:val="00232E96"/>
    <w:rsid w:val="00233231"/>
    <w:rsid w:val="00233317"/>
    <w:rsid w:val="00233F06"/>
    <w:rsid w:val="00233F9A"/>
    <w:rsid w:val="00234DA1"/>
    <w:rsid w:val="00234DB2"/>
    <w:rsid w:val="00235844"/>
    <w:rsid w:val="00236913"/>
    <w:rsid w:val="00236927"/>
    <w:rsid w:val="00237160"/>
    <w:rsid w:val="0024088D"/>
    <w:rsid w:val="0024095A"/>
    <w:rsid w:val="00240E32"/>
    <w:rsid w:val="00241758"/>
    <w:rsid w:val="002417F2"/>
    <w:rsid w:val="002420A9"/>
    <w:rsid w:val="00242ACD"/>
    <w:rsid w:val="00242AE3"/>
    <w:rsid w:val="00242CBA"/>
    <w:rsid w:val="00242DC9"/>
    <w:rsid w:val="00242EC8"/>
    <w:rsid w:val="00242EE3"/>
    <w:rsid w:val="00243D27"/>
    <w:rsid w:val="00243DDD"/>
    <w:rsid w:val="002444BD"/>
    <w:rsid w:val="00244AE1"/>
    <w:rsid w:val="00244E93"/>
    <w:rsid w:val="00245C66"/>
    <w:rsid w:val="002471EE"/>
    <w:rsid w:val="002479F4"/>
    <w:rsid w:val="00247ABC"/>
    <w:rsid w:val="0025089C"/>
    <w:rsid w:val="002518B9"/>
    <w:rsid w:val="0025212C"/>
    <w:rsid w:val="00252D19"/>
    <w:rsid w:val="00253075"/>
    <w:rsid w:val="002536A6"/>
    <w:rsid w:val="002537DF"/>
    <w:rsid w:val="00253BC6"/>
    <w:rsid w:val="00254149"/>
    <w:rsid w:val="00255B14"/>
    <w:rsid w:val="00256846"/>
    <w:rsid w:val="0025699F"/>
    <w:rsid w:val="00256DD3"/>
    <w:rsid w:val="00260870"/>
    <w:rsid w:val="00261379"/>
    <w:rsid w:val="00262286"/>
    <w:rsid w:val="00262B1C"/>
    <w:rsid w:val="002638CB"/>
    <w:rsid w:val="0026625D"/>
    <w:rsid w:val="00266312"/>
    <w:rsid w:val="002702AA"/>
    <w:rsid w:val="0027078F"/>
    <w:rsid w:val="0027143D"/>
    <w:rsid w:val="002715E8"/>
    <w:rsid w:val="002716F1"/>
    <w:rsid w:val="00271C6D"/>
    <w:rsid w:val="002725F0"/>
    <w:rsid w:val="0027297E"/>
    <w:rsid w:val="00272C2A"/>
    <w:rsid w:val="00272FF4"/>
    <w:rsid w:val="00273C55"/>
    <w:rsid w:val="00274861"/>
    <w:rsid w:val="00276731"/>
    <w:rsid w:val="00276889"/>
    <w:rsid w:val="00276986"/>
    <w:rsid w:val="00277036"/>
    <w:rsid w:val="002774D3"/>
    <w:rsid w:val="00280C7C"/>
    <w:rsid w:val="00281552"/>
    <w:rsid w:val="0028195B"/>
    <w:rsid w:val="00281AB9"/>
    <w:rsid w:val="00281E55"/>
    <w:rsid w:val="00282224"/>
    <w:rsid w:val="00283365"/>
    <w:rsid w:val="00283A3E"/>
    <w:rsid w:val="002842CF"/>
    <w:rsid w:val="00284AFF"/>
    <w:rsid w:val="00284CB7"/>
    <w:rsid w:val="00284EEC"/>
    <w:rsid w:val="0028514D"/>
    <w:rsid w:val="00285453"/>
    <w:rsid w:val="00285B35"/>
    <w:rsid w:val="002863A4"/>
    <w:rsid w:val="002868F6"/>
    <w:rsid w:val="00286928"/>
    <w:rsid w:val="00286F7E"/>
    <w:rsid w:val="0028729F"/>
    <w:rsid w:val="00287971"/>
    <w:rsid w:val="002901FA"/>
    <w:rsid w:val="0029045E"/>
    <w:rsid w:val="002906BE"/>
    <w:rsid w:val="00290845"/>
    <w:rsid w:val="00290D73"/>
    <w:rsid w:val="0029109B"/>
    <w:rsid w:val="00291B4B"/>
    <w:rsid w:val="00291DCC"/>
    <w:rsid w:val="00292F7A"/>
    <w:rsid w:val="00292F9F"/>
    <w:rsid w:val="00293160"/>
    <w:rsid w:val="0029337D"/>
    <w:rsid w:val="00293953"/>
    <w:rsid w:val="00293B3C"/>
    <w:rsid w:val="00293ED2"/>
    <w:rsid w:val="0029443D"/>
    <w:rsid w:val="002948C0"/>
    <w:rsid w:val="00294C03"/>
    <w:rsid w:val="002963C7"/>
    <w:rsid w:val="00296899"/>
    <w:rsid w:val="00296EA1"/>
    <w:rsid w:val="00297D56"/>
    <w:rsid w:val="002A0353"/>
    <w:rsid w:val="002A0DC9"/>
    <w:rsid w:val="002A2560"/>
    <w:rsid w:val="002A2E43"/>
    <w:rsid w:val="002A2FDC"/>
    <w:rsid w:val="002A319A"/>
    <w:rsid w:val="002A341C"/>
    <w:rsid w:val="002A5065"/>
    <w:rsid w:val="002A5636"/>
    <w:rsid w:val="002A5BFA"/>
    <w:rsid w:val="002A5DE6"/>
    <w:rsid w:val="002A64D6"/>
    <w:rsid w:val="002A70CA"/>
    <w:rsid w:val="002A74C9"/>
    <w:rsid w:val="002B0067"/>
    <w:rsid w:val="002B0290"/>
    <w:rsid w:val="002B07AB"/>
    <w:rsid w:val="002B08DD"/>
    <w:rsid w:val="002B0BC8"/>
    <w:rsid w:val="002B0D05"/>
    <w:rsid w:val="002B0E21"/>
    <w:rsid w:val="002B10E5"/>
    <w:rsid w:val="002B1939"/>
    <w:rsid w:val="002B1A45"/>
    <w:rsid w:val="002B1B4B"/>
    <w:rsid w:val="002B1D85"/>
    <w:rsid w:val="002B1F57"/>
    <w:rsid w:val="002B339D"/>
    <w:rsid w:val="002B3615"/>
    <w:rsid w:val="002B3C72"/>
    <w:rsid w:val="002B3EB9"/>
    <w:rsid w:val="002B3F12"/>
    <w:rsid w:val="002B44B5"/>
    <w:rsid w:val="002B59E7"/>
    <w:rsid w:val="002B6232"/>
    <w:rsid w:val="002B6302"/>
    <w:rsid w:val="002B7422"/>
    <w:rsid w:val="002B74FE"/>
    <w:rsid w:val="002B7D8C"/>
    <w:rsid w:val="002C1BF7"/>
    <w:rsid w:val="002C2326"/>
    <w:rsid w:val="002C2EFD"/>
    <w:rsid w:val="002C3D1D"/>
    <w:rsid w:val="002C40DF"/>
    <w:rsid w:val="002C4118"/>
    <w:rsid w:val="002C4234"/>
    <w:rsid w:val="002C4BF3"/>
    <w:rsid w:val="002C56A3"/>
    <w:rsid w:val="002C5717"/>
    <w:rsid w:val="002C57E5"/>
    <w:rsid w:val="002C6EE0"/>
    <w:rsid w:val="002C7C20"/>
    <w:rsid w:val="002C7C65"/>
    <w:rsid w:val="002D1207"/>
    <w:rsid w:val="002D1886"/>
    <w:rsid w:val="002D1AF1"/>
    <w:rsid w:val="002D1FC6"/>
    <w:rsid w:val="002D23C0"/>
    <w:rsid w:val="002D38D8"/>
    <w:rsid w:val="002D38EC"/>
    <w:rsid w:val="002D3A00"/>
    <w:rsid w:val="002D4E41"/>
    <w:rsid w:val="002D6252"/>
    <w:rsid w:val="002D685B"/>
    <w:rsid w:val="002D7289"/>
    <w:rsid w:val="002D7CE5"/>
    <w:rsid w:val="002D7E3D"/>
    <w:rsid w:val="002D7E54"/>
    <w:rsid w:val="002E038F"/>
    <w:rsid w:val="002E1C99"/>
    <w:rsid w:val="002E1C9E"/>
    <w:rsid w:val="002E1DB6"/>
    <w:rsid w:val="002E23D9"/>
    <w:rsid w:val="002E240D"/>
    <w:rsid w:val="002E2F9E"/>
    <w:rsid w:val="002E31FC"/>
    <w:rsid w:val="002E3417"/>
    <w:rsid w:val="002E35B2"/>
    <w:rsid w:val="002E446F"/>
    <w:rsid w:val="002E456E"/>
    <w:rsid w:val="002E4845"/>
    <w:rsid w:val="002E48EC"/>
    <w:rsid w:val="002E5F49"/>
    <w:rsid w:val="002E63B5"/>
    <w:rsid w:val="002E76C3"/>
    <w:rsid w:val="002E7C07"/>
    <w:rsid w:val="002E7FBD"/>
    <w:rsid w:val="002F1C72"/>
    <w:rsid w:val="002F231B"/>
    <w:rsid w:val="002F28EB"/>
    <w:rsid w:val="002F2AD7"/>
    <w:rsid w:val="002F2D32"/>
    <w:rsid w:val="002F319C"/>
    <w:rsid w:val="002F3541"/>
    <w:rsid w:val="002F38FA"/>
    <w:rsid w:val="002F39EB"/>
    <w:rsid w:val="002F3D57"/>
    <w:rsid w:val="002F4775"/>
    <w:rsid w:val="002F582C"/>
    <w:rsid w:val="002F598E"/>
    <w:rsid w:val="002F5F36"/>
    <w:rsid w:val="002F6F31"/>
    <w:rsid w:val="002F791C"/>
    <w:rsid w:val="002F7CD9"/>
    <w:rsid w:val="00300204"/>
    <w:rsid w:val="00300345"/>
    <w:rsid w:val="0030038E"/>
    <w:rsid w:val="00300671"/>
    <w:rsid w:val="00300B1F"/>
    <w:rsid w:val="00300EC4"/>
    <w:rsid w:val="0030174D"/>
    <w:rsid w:val="00301D96"/>
    <w:rsid w:val="003022D9"/>
    <w:rsid w:val="0030262C"/>
    <w:rsid w:val="00302809"/>
    <w:rsid w:val="00303650"/>
    <w:rsid w:val="0030371B"/>
    <w:rsid w:val="00303AE6"/>
    <w:rsid w:val="00303AEF"/>
    <w:rsid w:val="00304192"/>
    <w:rsid w:val="00304AD4"/>
    <w:rsid w:val="00304D7B"/>
    <w:rsid w:val="003063B8"/>
    <w:rsid w:val="003068F1"/>
    <w:rsid w:val="00306ADE"/>
    <w:rsid w:val="00310292"/>
    <w:rsid w:val="0031090A"/>
    <w:rsid w:val="0031169D"/>
    <w:rsid w:val="00311925"/>
    <w:rsid w:val="00311B10"/>
    <w:rsid w:val="0031248F"/>
    <w:rsid w:val="0031277E"/>
    <w:rsid w:val="00313630"/>
    <w:rsid w:val="00314E8D"/>
    <w:rsid w:val="003150E1"/>
    <w:rsid w:val="00315565"/>
    <w:rsid w:val="003156FC"/>
    <w:rsid w:val="003158D9"/>
    <w:rsid w:val="003166ED"/>
    <w:rsid w:val="003169E2"/>
    <w:rsid w:val="003171FE"/>
    <w:rsid w:val="0032058F"/>
    <w:rsid w:val="0032134B"/>
    <w:rsid w:val="00322080"/>
    <w:rsid w:val="00322804"/>
    <w:rsid w:val="00322885"/>
    <w:rsid w:val="00322BB7"/>
    <w:rsid w:val="00323D4B"/>
    <w:rsid w:val="00323E63"/>
    <w:rsid w:val="00324B28"/>
    <w:rsid w:val="0032575B"/>
    <w:rsid w:val="003267E3"/>
    <w:rsid w:val="00326CA7"/>
    <w:rsid w:val="003274F2"/>
    <w:rsid w:val="003279ED"/>
    <w:rsid w:val="00331D5D"/>
    <w:rsid w:val="003332C0"/>
    <w:rsid w:val="003333F8"/>
    <w:rsid w:val="00333745"/>
    <w:rsid w:val="00333952"/>
    <w:rsid w:val="00333B9A"/>
    <w:rsid w:val="00333C8B"/>
    <w:rsid w:val="00333D60"/>
    <w:rsid w:val="0033404E"/>
    <w:rsid w:val="00334FCF"/>
    <w:rsid w:val="003350FA"/>
    <w:rsid w:val="00335396"/>
    <w:rsid w:val="003359C6"/>
    <w:rsid w:val="00335FF0"/>
    <w:rsid w:val="003365E9"/>
    <w:rsid w:val="00336824"/>
    <w:rsid w:val="00336ACE"/>
    <w:rsid w:val="003373B0"/>
    <w:rsid w:val="00337483"/>
    <w:rsid w:val="003376FD"/>
    <w:rsid w:val="00337DC8"/>
    <w:rsid w:val="00340158"/>
    <w:rsid w:val="00340C30"/>
    <w:rsid w:val="00340DAF"/>
    <w:rsid w:val="00341696"/>
    <w:rsid w:val="00341B55"/>
    <w:rsid w:val="00341BE3"/>
    <w:rsid w:val="00341F8C"/>
    <w:rsid w:val="003426E7"/>
    <w:rsid w:val="0034275B"/>
    <w:rsid w:val="00342ECA"/>
    <w:rsid w:val="00343AE4"/>
    <w:rsid w:val="00344343"/>
    <w:rsid w:val="00344546"/>
    <w:rsid w:val="00344E6D"/>
    <w:rsid w:val="00345113"/>
    <w:rsid w:val="00345D79"/>
    <w:rsid w:val="00345DBD"/>
    <w:rsid w:val="00345E40"/>
    <w:rsid w:val="00345F18"/>
    <w:rsid w:val="00345FE8"/>
    <w:rsid w:val="00346021"/>
    <w:rsid w:val="00346519"/>
    <w:rsid w:val="00346AA0"/>
    <w:rsid w:val="003472CB"/>
    <w:rsid w:val="00347BF1"/>
    <w:rsid w:val="0035078D"/>
    <w:rsid w:val="003510D1"/>
    <w:rsid w:val="00351342"/>
    <w:rsid w:val="003516D2"/>
    <w:rsid w:val="003522CB"/>
    <w:rsid w:val="00352307"/>
    <w:rsid w:val="00352892"/>
    <w:rsid w:val="003529E1"/>
    <w:rsid w:val="00354490"/>
    <w:rsid w:val="00354B3E"/>
    <w:rsid w:val="00355C24"/>
    <w:rsid w:val="00356224"/>
    <w:rsid w:val="00356A5B"/>
    <w:rsid w:val="003575C2"/>
    <w:rsid w:val="00357C3A"/>
    <w:rsid w:val="00357F3B"/>
    <w:rsid w:val="003606CE"/>
    <w:rsid w:val="0036145D"/>
    <w:rsid w:val="00362134"/>
    <w:rsid w:val="003623A7"/>
    <w:rsid w:val="00362632"/>
    <w:rsid w:val="00363D8E"/>
    <w:rsid w:val="003640E4"/>
    <w:rsid w:val="003642BC"/>
    <w:rsid w:val="00364489"/>
    <w:rsid w:val="00364C9C"/>
    <w:rsid w:val="0036557E"/>
    <w:rsid w:val="00365D49"/>
    <w:rsid w:val="003664F5"/>
    <w:rsid w:val="003665E4"/>
    <w:rsid w:val="003673FC"/>
    <w:rsid w:val="003676E5"/>
    <w:rsid w:val="00370990"/>
    <w:rsid w:val="00370E35"/>
    <w:rsid w:val="00371CE3"/>
    <w:rsid w:val="00372510"/>
    <w:rsid w:val="00372E29"/>
    <w:rsid w:val="003735EA"/>
    <w:rsid w:val="00373697"/>
    <w:rsid w:val="00373CE1"/>
    <w:rsid w:val="00373DF7"/>
    <w:rsid w:val="003740F8"/>
    <w:rsid w:val="00374628"/>
    <w:rsid w:val="0037465D"/>
    <w:rsid w:val="00374F68"/>
    <w:rsid w:val="00374FD7"/>
    <w:rsid w:val="003757B5"/>
    <w:rsid w:val="00375D67"/>
    <w:rsid w:val="00375FA6"/>
    <w:rsid w:val="00376021"/>
    <w:rsid w:val="003762C9"/>
    <w:rsid w:val="00376615"/>
    <w:rsid w:val="00376687"/>
    <w:rsid w:val="003800B1"/>
    <w:rsid w:val="00380508"/>
    <w:rsid w:val="00380779"/>
    <w:rsid w:val="0038109F"/>
    <w:rsid w:val="003813AC"/>
    <w:rsid w:val="00381E60"/>
    <w:rsid w:val="00383D20"/>
    <w:rsid w:val="00383DA9"/>
    <w:rsid w:val="003840E9"/>
    <w:rsid w:val="00384598"/>
    <w:rsid w:val="00385135"/>
    <w:rsid w:val="003856A2"/>
    <w:rsid w:val="003856B0"/>
    <w:rsid w:val="0038633A"/>
    <w:rsid w:val="00386837"/>
    <w:rsid w:val="00386A53"/>
    <w:rsid w:val="00386CE8"/>
    <w:rsid w:val="00386DB8"/>
    <w:rsid w:val="003903F4"/>
    <w:rsid w:val="00390557"/>
    <w:rsid w:val="00390762"/>
    <w:rsid w:val="00390C45"/>
    <w:rsid w:val="0039214D"/>
    <w:rsid w:val="00393367"/>
    <w:rsid w:val="003945BC"/>
    <w:rsid w:val="00394A5D"/>
    <w:rsid w:val="00395B28"/>
    <w:rsid w:val="00395BD8"/>
    <w:rsid w:val="003961DC"/>
    <w:rsid w:val="003962EA"/>
    <w:rsid w:val="00397043"/>
    <w:rsid w:val="00397CF4"/>
    <w:rsid w:val="003A08E2"/>
    <w:rsid w:val="003A0EBA"/>
    <w:rsid w:val="003A11C5"/>
    <w:rsid w:val="003A1331"/>
    <w:rsid w:val="003A1488"/>
    <w:rsid w:val="003A1C2E"/>
    <w:rsid w:val="003A22A0"/>
    <w:rsid w:val="003A2987"/>
    <w:rsid w:val="003A2A1A"/>
    <w:rsid w:val="003A2D46"/>
    <w:rsid w:val="003A42B5"/>
    <w:rsid w:val="003A5515"/>
    <w:rsid w:val="003A5838"/>
    <w:rsid w:val="003A5C8A"/>
    <w:rsid w:val="003A5DC0"/>
    <w:rsid w:val="003A72CB"/>
    <w:rsid w:val="003A75E2"/>
    <w:rsid w:val="003A7907"/>
    <w:rsid w:val="003B0406"/>
    <w:rsid w:val="003B06E1"/>
    <w:rsid w:val="003B106C"/>
    <w:rsid w:val="003B115F"/>
    <w:rsid w:val="003B172D"/>
    <w:rsid w:val="003B17D8"/>
    <w:rsid w:val="003B18FE"/>
    <w:rsid w:val="003B2DC1"/>
    <w:rsid w:val="003B2DEA"/>
    <w:rsid w:val="003B2F69"/>
    <w:rsid w:val="003B3ECE"/>
    <w:rsid w:val="003B3F75"/>
    <w:rsid w:val="003B45C7"/>
    <w:rsid w:val="003B4955"/>
    <w:rsid w:val="003B4A7C"/>
    <w:rsid w:val="003B4DE0"/>
    <w:rsid w:val="003B57F5"/>
    <w:rsid w:val="003B5D65"/>
    <w:rsid w:val="003B5E17"/>
    <w:rsid w:val="003B625F"/>
    <w:rsid w:val="003B6D36"/>
    <w:rsid w:val="003B755D"/>
    <w:rsid w:val="003B75A7"/>
    <w:rsid w:val="003B7FF5"/>
    <w:rsid w:val="003C0CC5"/>
    <w:rsid w:val="003C16CA"/>
    <w:rsid w:val="003C17A3"/>
    <w:rsid w:val="003C17E3"/>
    <w:rsid w:val="003C1BE6"/>
    <w:rsid w:val="003C1ED5"/>
    <w:rsid w:val="003C2314"/>
    <w:rsid w:val="003C2C5D"/>
    <w:rsid w:val="003C34D2"/>
    <w:rsid w:val="003C405C"/>
    <w:rsid w:val="003C5A44"/>
    <w:rsid w:val="003C5F4E"/>
    <w:rsid w:val="003C640F"/>
    <w:rsid w:val="003C64B7"/>
    <w:rsid w:val="003C67F1"/>
    <w:rsid w:val="003C7539"/>
    <w:rsid w:val="003C7880"/>
    <w:rsid w:val="003C78BA"/>
    <w:rsid w:val="003C7FCA"/>
    <w:rsid w:val="003D06BE"/>
    <w:rsid w:val="003D1300"/>
    <w:rsid w:val="003D1B75"/>
    <w:rsid w:val="003D1D0D"/>
    <w:rsid w:val="003D26DB"/>
    <w:rsid w:val="003D2C42"/>
    <w:rsid w:val="003D3FD7"/>
    <w:rsid w:val="003D4728"/>
    <w:rsid w:val="003D5ABD"/>
    <w:rsid w:val="003D5BA1"/>
    <w:rsid w:val="003D5C02"/>
    <w:rsid w:val="003D68D5"/>
    <w:rsid w:val="003D7871"/>
    <w:rsid w:val="003D7A01"/>
    <w:rsid w:val="003D7AAE"/>
    <w:rsid w:val="003E0401"/>
    <w:rsid w:val="003E0C1C"/>
    <w:rsid w:val="003E129A"/>
    <w:rsid w:val="003E285C"/>
    <w:rsid w:val="003E4DA7"/>
    <w:rsid w:val="003E4F6B"/>
    <w:rsid w:val="003E4F7A"/>
    <w:rsid w:val="003E5332"/>
    <w:rsid w:val="003E62E9"/>
    <w:rsid w:val="003E74B5"/>
    <w:rsid w:val="003E79B5"/>
    <w:rsid w:val="003E7A88"/>
    <w:rsid w:val="003E7A9D"/>
    <w:rsid w:val="003E7DC6"/>
    <w:rsid w:val="003E7EE7"/>
    <w:rsid w:val="003F036D"/>
    <w:rsid w:val="003F0539"/>
    <w:rsid w:val="003F060F"/>
    <w:rsid w:val="003F0C66"/>
    <w:rsid w:val="003F0ED4"/>
    <w:rsid w:val="003F179F"/>
    <w:rsid w:val="003F1922"/>
    <w:rsid w:val="003F1C0B"/>
    <w:rsid w:val="003F2683"/>
    <w:rsid w:val="003F2EC6"/>
    <w:rsid w:val="003F310F"/>
    <w:rsid w:val="003F3878"/>
    <w:rsid w:val="003F39D1"/>
    <w:rsid w:val="003F49CA"/>
    <w:rsid w:val="003F5142"/>
    <w:rsid w:val="003F5FF0"/>
    <w:rsid w:val="003F61D3"/>
    <w:rsid w:val="003F64C2"/>
    <w:rsid w:val="003F7D72"/>
    <w:rsid w:val="0040023C"/>
    <w:rsid w:val="00400573"/>
    <w:rsid w:val="00400BEF"/>
    <w:rsid w:val="00400DAE"/>
    <w:rsid w:val="004010E8"/>
    <w:rsid w:val="00401915"/>
    <w:rsid w:val="00401E6D"/>
    <w:rsid w:val="00401EB6"/>
    <w:rsid w:val="00401FAD"/>
    <w:rsid w:val="00402AA8"/>
    <w:rsid w:val="0040308B"/>
    <w:rsid w:val="004037E0"/>
    <w:rsid w:val="004038CE"/>
    <w:rsid w:val="00403907"/>
    <w:rsid w:val="004039D6"/>
    <w:rsid w:val="0040409C"/>
    <w:rsid w:val="00404105"/>
    <w:rsid w:val="0040488D"/>
    <w:rsid w:val="004054B0"/>
    <w:rsid w:val="00405664"/>
    <w:rsid w:val="004056FB"/>
    <w:rsid w:val="00406140"/>
    <w:rsid w:val="004068FD"/>
    <w:rsid w:val="00406B47"/>
    <w:rsid w:val="00410879"/>
    <w:rsid w:val="00410B05"/>
    <w:rsid w:val="00410F29"/>
    <w:rsid w:val="004125DC"/>
    <w:rsid w:val="00412C25"/>
    <w:rsid w:val="00412EF9"/>
    <w:rsid w:val="00413463"/>
    <w:rsid w:val="0041422A"/>
    <w:rsid w:val="004145E8"/>
    <w:rsid w:val="00414646"/>
    <w:rsid w:val="00415A24"/>
    <w:rsid w:val="00415BD4"/>
    <w:rsid w:val="00415FF6"/>
    <w:rsid w:val="00416B17"/>
    <w:rsid w:val="00417574"/>
    <w:rsid w:val="00417D89"/>
    <w:rsid w:val="00420580"/>
    <w:rsid w:val="00420613"/>
    <w:rsid w:val="00420650"/>
    <w:rsid w:val="004208E0"/>
    <w:rsid w:val="004209BA"/>
    <w:rsid w:val="00420CC1"/>
    <w:rsid w:val="00421035"/>
    <w:rsid w:val="0042172D"/>
    <w:rsid w:val="004219CA"/>
    <w:rsid w:val="00421D7E"/>
    <w:rsid w:val="00422214"/>
    <w:rsid w:val="00422DC0"/>
    <w:rsid w:val="00423455"/>
    <w:rsid w:val="00423A08"/>
    <w:rsid w:val="00423DAD"/>
    <w:rsid w:val="0042462F"/>
    <w:rsid w:val="00424883"/>
    <w:rsid w:val="00425F18"/>
    <w:rsid w:val="004263A2"/>
    <w:rsid w:val="00426F3C"/>
    <w:rsid w:val="00427CCF"/>
    <w:rsid w:val="00427FF4"/>
    <w:rsid w:val="004301B3"/>
    <w:rsid w:val="00430420"/>
    <w:rsid w:val="00430FCA"/>
    <w:rsid w:val="00431B65"/>
    <w:rsid w:val="00432034"/>
    <w:rsid w:val="00432404"/>
    <w:rsid w:val="00432972"/>
    <w:rsid w:val="00432EC4"/>
    <w:rsid w:val="00433ED9"/>
    <w:rsid w:val="00434196"/>
    <w:rsid w:val="004352A2"/>
    <w:rsid w:val="00435F38"/>
    <w:rsid w:val="00435F9A"/>
    <w:rsid w:val="00436430"/>
    <w:rsid w:val="004364D5"/>
    <w:rsid w:val="0043677F"/>
    <w:rsid w:val="00436EED"/>
    <w:rsid w:val="00437171"/>
    <w:rsid w:val="00437E78"/>
    <w:rsid w:val="0044041F"/>
    <w:rsid w:val="00440564"/>
    <w:rsid w:val="00440690"/>
    <w:rsid w:val="00440D3A"/>
    <w:rsid w:val="0044116A"/>
    <w:rsid w:val="00441218"/>
    <w:rsid w:val="004420B9"/>
    <w:rsid w:val="00442A86"/>
    <w:rsid w:val="00442D18"/>
    <w:rsid w:val="00443393"/>
    <w:rsid w:val="00443BEC"/>
    <w:rsid w:val="0044428C"/>
    <w:rsid w:val="004445C1"/>
    <w:rsid w:val="004449C2"/>
    <w:rsid w:val="00444BB6"/>
    <w:rsid w:val="00444F46"/>
    <w:rsid w:val="00445C53"/>
    <w:rsid w:val="00445F2D"/>
    <w:rsid w:val="004462CD"/>
    <w:rsid w:val="00446710"/>
    <w:rsid w:val="00450630"/>
    <w:rsid w:val="0045098D"/>
    <w:rsid w:val="00450E9A"/>
    <w:rsid w:val="00450ED9"/>
    <w:rsid w:val="00451408"/>
    <w:rsid w:val="00451C1B"/>
    <w:rsid w:val="00453918"/>
    <w:rsid w:val="0045392B"/>
    <w:rsid w:val="00454A50"/>
    <w:rsid w:val="00454BF2"/>
    <w:rsid w:val="004559CF"/>
    <w:rsid w:val="00457333"/>
    <w:rsid w:val="00457B37"/>
    <w:rsid w:val="00457E72"/>
    <w:rsid w:val="00460AED"/>
    <w:rsid w:val="00460FE8"/>
    <w:rsid w:val="0046131F"/>
    <w:rsid w:val="00461669"/>
    <w:rsid w:val="00461A21"/>
    <w:rsid w:val="00462585"/>
    <w:rsid w:val="0046279F"/>
    <w:rsid w:val="00462F27"/>
    <w:rsid w:val="00463043"/>
    <w:rsid w:val="00463079"/>
    <w:rsid w:val="00463675"/>
    <w:rsid w:val="00463DFE"/>
    <w:rsid w:val="004648E0"/>
    <w:rsid w:val="004648E2"/>
    <w:rsid w:val="00464C81"/>
    <w:rsid w:val="00464D31"/>
    <w:rsid w:val="00464D9D"/>
    <w:rsid w:val="004656F0"/>
    <w:rsid w:val="00465BB4"/>
    <w:rsid w:val="004665C4"/>
    <w:rsid w:val="0046681C"/>
    <w:rsid w:val="00466B1B"/>
    <w:rsid w:val="004676A0"/>
    <w:rsid w:val="00467E47"/>
    <w:rsid w:val="00467F94"/>
    <w:rsid w:val="004707A2"/>
    <w:rsid w:val="00470C8D"/>
    <w:rsid w:val="00470CAB"/>
    <w:rsid w:val="004719FA"/>
    <w:rsid w:val="004725CA"/>
    <w:rsid w:val="00472683"/>
    <w:rsid w:val="00472A29"/>
    <w:rsid w:val="00472A5D"/>
    <w:rsid w:val="004732F5"/>
    <w:rsid w:val="004734D0"/>
    <w:rsid w:val="00473AF0"/>
    <w:rsid w:val="00473B9C"/>
    <w:rsid w:val="00473BA2"/>
    <w:rsid w:val="00473C69"/>
    <w:rsid w:val="00474263"/>
    <w:rsid w:val="004743D4"/>
    <w:rsid w:val="0047486D"/>
    <w:rsid w:val="0047492C"/>
    <w:rsid w:val="00474D49"/>
    <w:rsid w:val="004753C5"/>
    <w:rsid w:val="004758DB"/>
    <w:rsid w:val="0047598E"/>
    <w:rsid w:val="0048028F"/>
    <w:rsid w:val="00480A7A"/>
    <w:rsid w:val="00481645"/>
    <w:rsid w:val="00481C83"/>
    <w:rsid w:val="004823AF"/>
    <w:rsid w:val="00482B88"/>
    <w:rsid w:val="00483243"/>
    <w:rsid w:val="00483381"/>
    <w:rsid w:val="004833EC"/>
    <w:rsid w:val="004845FC"/>
    <w:rsid w:val="00484BA3"/>
    <w:rsid w:val="004851BA"/>
    <w:rsid w:val="00485341"/>
    <w:rsid w:val="00485CAD"/>
    <w:rsid w:val="00485E6B"/>
    <w:rsid w:val="00485F02"/>
    <w:rsid w:val="00486239"/>
    <w:rsid w:val="00486864"/>
    <w:rsid w:val="00487376"/>
    <w:rsid w:val="00487C0C"/>
    <w:rsid w:val="00487DAF"/>
    <w:rsid w:val="004902C7"/>
    <w:rsid w:val="00490951"/>
    <w:rsid w:val="00490B90"/>
    <w:rsid w:val="00490B97"/>
    <w:rsid w:val="004912F0"/>
    <w:rsid w:val="0049152B"/>
    <w:rsid w:val="00492CDC"/>
    <w:rsid w:val="0049302D"/>
    <w:rsid w:val="00493224"/>
    <w:rsid w:val="004945F8"/>
    <w:rsid w:val="004947DE"/>
    <w:rsid w:val="00494F54"/>
    <w:rsid w:val="004953FF"/>
    <w:rsid w:val="00495D2D"/>
    <w:rsid w:val="00495F05"/>
    <w:rsid w:val="00495F5A"/>
    <w:rsid w:val="00496292"/>
    <w:rsid w:val="0049753E"/>
    <w:rsid w:val="00497E4C"/>
    <w:rsid w:val="004A015F"/>
    <w:rsid w:val="004A0BB7"/>
    <w:rsid w:val="004A1523"/>
    <w:rsid w:val="004A16B0"/>
    <w:rsid w:val="004A17A6"/>
    <w:rsid w:val="004A1AF9"/>
    <w:rsid w:val="004A1CD3"/>
    <w:rsid w:val="004A248C"/>
    <w:rsid w:val="004A2CAE"/>
    <w:rsid w:val="004A3590"/>
    <w:rsid w:val="004A367E"/>
    <w:rsid w:val="004A43B6"/>
    <w:rsid w:val="004A4928"/>
    <w:rsid w:val="004A50EA"/>
    <w:rsid w:val="004A59A2"/>
    <w:rsid w:val="004A5CF0"/>
    <w:rsid w:val="004A5DB0"/>
    <w:rsid w:val="004A6538"/>
    <w:rsid w:val="004A68B7"/>
    <w:rsid w:val="004A6A5C"/>
    <w:rsid w:val="004A730F"/>
    <w:rsid w:val="004A7753"/>
    <w:rsid w:val="004A7EB6"/>
    <w:rsid w:val="004B0BF5"/>
    <w:rsid w:val="004B0FAC"/>
    <w:rsid w:val="004B13F3"/>
    <w:rsid w:val="004B2286"/>
    <w:rsid w:val="004B2D4A"/>
    <w:rsid w:val="004B5720"/>
    <w:rsid w:val="004B5BD5"/>
    <w:rsid w:val="004B66EB"/>
    <w:rsid w:val="004B6793"/>
    <w:rsid w:val="004B6F25"/>
    <w:rsid w:val="004B71E1"/>
    <w:rsid w:val="004B737C"/>
    <w:rsid w:val="004B737F"/>
    <w:rsid w:val="004B73B1"/>
    <w:rsid w:val="004B7414"/>
    <w:rsid w:val="004B75BD"/>
    <w:rsid w:val="004B7D52"/>
    <w:rsid w:val="004C0442"/>
    <w:rsid w:val="004C12DD"/>
    <w:rsid w:val="004C16F7"/>
    <w:rsid w:val="004C17E7"/>
    <w:rsid w:val="004C2019"/>
    <w:rsid w:val="004C2E46"/>
    <w:rsid w:val="004C313F"/>
    <w:rsid w:val="004C3744"/>
    <w:rsid w:val="004C40C9"/>
    <w:rsid w:val="004C4B46"/>
    <w:rsid w:val="004C590E"/>
    <w:rsid w:val="004C5DE7"/>
    <w:rsid w:val="004C60D0"/>
    <w:rsid w:val="004C649E"/>
    <w:rsid w:val="004C76A4"/>
    <w:rsid w:val="004C7F29"/>
    <w:rsid w:val="004D0149"/>
    <w:rsid w:val="004D02DE"/>
    <w:rsid w:val="004D08FB"/>
    <w:rsid w:val="004D0D5B"/>
    <w:rsid w:val="004D163C"/>
    <w:rsid w:val="004D2011"/>
    <w:rsid w:val="004D247D"/>
    <w:rsid w:val="004D25C1"/>
    <w:rsid w:val="004D28F3"/>
    <w:rsid w:val="004D3072"/>
    <w:rsid w:val="004D3C0B"/>
    <w:rsid w:val="004D4008"/>
    <w:rsid w:val="004D4DC0"/>
    <w:rsid w:val="004D6C0D"/>
    <w:rsid w:val="004D6D44"/>
    <w:rsid w:val="004D70A8"/>
    <w:rsid w:val="004D724F"/>
    <w:rsid w:val="004E06E3"/>
    <w:rsid w:val="004E06F5"/>
    <w:rsid w:val="004E0776"/>
    <w:rsid w:val="004E1077"/>
    <w:rsid w:val="004E10E5"/>
    <w:rsid w:val="004E2393"/>
    <w:rsid w:val="004E3B1E"/>
    <w:rsid w:val="004E3C58"/>
    <w:rsid w:val="004E4FB1"/>
    <w:rsid w:val="004E50A0"/>
    <w:rsid w:val="004E5638"/>
    <w:rsid w:val="004E5680"/>
    <w:rsid w:val="004E5D55"/>
    <w:rsid w:val="004E61D7"/>
    <w:rsid w:val="004E6806"/>
    <w:rsid w:val="004F026B"/>
    <w:rsid w:val="004F03C4"/>
    <w:rsid w:val="004F0FCC"/>
    <w:rsid w:val="004F1E88"/>
    <w:rsid w:val="004F3815"/>
    <w:rsid w:val="004F45DE"/>
    <w:rsid w:val="004F6645"/>
    <w:rsid w:val="004F6C42"/>
    <w:rsid w:val="004F7D5F"/>
    <w:rsid w:val="00500399"/>
    <w:rsid w:val="0050083B"/>
    <w:rsid w:val="005014FF"/>
    <w:rsid w:val="0050163A"/>
    <w:rsid w:val="00501E93"/>
    <w:rsid w:val="00502488"/>
    <w:rsid w:val="00503F09"/>
    <w:rsid w:val="0050410F"/>
    <w:rsid w:val="00504520"/>
    <w:rsid w:val="005049F6"/>
    <w:rsid w:val="00504A0F"/>
    <w:rsid w:val="00505E50"/>
    <w:rsid w:val="00505FA8"/>
    <w:rsid w:val="00506CBC"/>
    <w:rsid w:val="005071A0"/>
    <w:rsid w:val="0050769A"/>
    <w:rsid w:val="005077C2"/>
    <w:rsid w:val="0050795B"/>
    <w:rsid w:val="00507E59"/>
    <w:rsid w:val="005101CE"/>
    <w:rsid w:val="00510A96"/>
    <w:rsid w:val="00510CCB"/>
    <w:rsid w:val="0051109C"/>
    <w:rsid w:val="00511507"/>
    <w:rsid w:val="00512340"/>
    <w:rsid w:val="0051249A"/>
    <w:rsid w:val="00512C24"/>
    <w:rsid w:val="00512FC6"/>
    <w:rsid w:val="005131DE"/>
    <w:rsid w:val="00513381"/>
    <w:rsid w:val="00514166"/>
    <w:rsid w:val="00515466"/>
    <w:rsid w:val="0051584A"/>
    <w:rsid w:val="0051674A"/>
    <w:rsid w:val="00516E7A"/>
    <w:rsid w:val="00517B82"/>
    <w:rsid w:val="005206C0"/>
    <w:rsid w:val="00521055"/>
    <w:rsid w:val="00521226"/>
    <w:rsid w:val="00522A4B"/>
    <w:rsid w:val="00522E8C"/>
    <w:rsid w:val="00523C91"/>
    <w:rsid w:val="0052443E"/>
    <w:rsid w:val="005248C5"/>
    <w:rsid w:val="005260F0"/>
    <w:rsid w:val="00526AB6"/>
    <w:rsid w:val="00526B40"/>
    <w:rsid w:val="005273B0"/>
    <w:rsid w:val="00527A1F"/>
    <w:rsid w:val="00527F82"/>
    <w:rsid w:val="00530135"/>
    <w:rsid w:val="0053017C"/>
    <w:rsid w:val="005306BC"/>
    <w:rsid w:val="005311EB"/>
    <w:rsid w:val="005320F2"/>
    <w:rsid w:val="005325DC"/>
    <w:rsid w:val="00533A1E"/>
    <w:rsid w:val="005341B8"/>
    <w:rsid w:val="00535290"/>
    <w:rsid w:val="005353DC"/>
    <w:rsid w:val="0053557E"/>
    <w:rsid w:val="00535DD7"/>
    <w:rsid w:val="00535F6E"/>
    <w:rsid w:val="00536231"/>
    <w:rsid w:val="00536567"/>
    <w:rsid w:val="00536AD2"/>
    <w:rsid w:val="005374B5"/>
    <w:rsid w:val="0053751A"/>
    <w:rsid w:val="00537E28"/>
    <w:rsid w:val="00537F61"/>
    <w:rsid w:val="005405AF"/>
    <w:rsid w:val="005406D2"/>
    <w:rsid w:val="00541FC5"/>
    <w:rsid w:val="005424B4"/>
    <w:rsid w:val="005427F7"/>
    <w:rsid w:val="00543110"/>
    <w:rsid w:val="0054332F"/>
    <w:rsid w:val="00543583"/>
    <w:rsid w:val="00543D8D"/>
    <w:rsid w:val="005450D1"/>
    <w:rsid w:val="0054539C"/>
    <w:rsid w:val="00545F5E"/>
    <w:rsid w:val="0054614F"/>
    <w:rsid w:val="00546F60"/>
    <w:rsid w:val="005507C8"/>
    <w:rsid w:val="00550820"/>
    <w:rsid w:val="00550D12"/>
    <w:rsid w:val="00550F10"/>
    <w:rsid w:val="0055125F"/>
    <w:rsid w:val="00552089"/>
    <w:rsid w:val="0055223E"/>
    <w:rsid w:val="00552ACF"/>
    <w:rsid w:val="00552B20"/>
    <w:rsid w:val="00552C03"/>
    <w:rsid w:val="0055371E"/>
    <w:rsid w:val="00553E7D"/>
    <w:rsid w:val="00553F68"/>
    <w:rsid w:val="005546BD"/>
    <w:rsid w:val="0055604D"/>
    <w:rsid w:val="005560B3"/>
    <w:rsid w:val="00556288"/>
    <w:rsid w:val="005563B3"/>
    <w:rsid w:val="005564E4"/>
    <w:rsid w:val="005573CA"/>
    <w:rsid w:val="00557714"/>
    <w:rsid w:val="0055789D"/>
    <w:rsid w:val="005601DC"/>
    <w:rsid w:val="00560516"/>
    <w:rsid w:val="0056101F"/>
    <w:rsid w:val="00562122"/>
    <w:rsid w:val="00562F6E"/>
    <w:rsid w:val="005632A1"/>
    <w:rsid w:val="00563359"/>
    <w:rsid w:val="00563417"/>
    <w:rsid w:val="005634C1"/>
    <w:rsid w:val="00563551"/>
    <w:rsid w:val="005638BC"/>
    <w:rsid w:val="0056469A"/>
    <w:rsid w:val="00565000"/>
    <w:rsid w:val="005661E9"/>
    <w:rsid w:val="005661F0"/>
    <w:rsid w:val="0056636B"/>
    <w:rsid w:val="005663F4"/>
    <w:rsid w:val="00566A1B"/>
    <w:rsid w:val="005673A3"/>
    <w:rsid w:val="0056741E"/>
    <w:rsid w:val="005706BD"/>
    <w:rsid w:val="00570CD3"/>
    <w:rsid w:val="0057126E"/>
    <w:rsid w:val="00571E0A"/>
    <w:rsid w:val="00572167"/>
    <w:rsid w:val="00572218"/>
    <w:rsid w:val="005732B7"/>
    <w:rsid w:val="00574049"/>
    <w:rsid w:val="0057414D"/>
    <w:rsid w:val="00574256"/>
    <w:rsid w:val="005750D8"/>
    <w:rsid w:val="00575C40"/>
    <w:rsid w:val="00575C73"/>
    <w:rsid w:val="00576B59"/>
    <w:rsid w:val="0057724A"/>
    <w:rsid w:val="00577480"/>
    <w:rsid w:val="00580DCF"/>
    <w:rsid w:val="00580F6A"/>
    <w:rsid w:val="005812C1"/>
    <w:rsid w:val="00581547"/>
    <w:rsid w:val="00582039"/>
    <w:rsid w:val="00582567"/>
    <w:rsid w:val="005831B9"/>
    <w:rsid w:val="005834D1"/>
    <w:rsid w:val="00583F5C"/>
    <w:rsid w:val="00585854"/>
    <w:rsid w:val="00586A67"/>
    <w:rsid w:val="00587188"/>
    <w:rsid w:val="005872BA"/>
    <w:rsid w:val="00587620"/>
    <w:rsid w:val="005878BC"/>
    <w:rsid w:val="00587AF8"/>
    <w:rsid w:val="00590375"/>
    <w:rsid w:val="00590B51"/>
    <w:rsid w:val="005914F1"/>
    <w:rsid w:val="00591876"/>
    <w:rsid w:val="00591B94"/>
    <w:rsid w:val="005923FA"/>
    <w:rsid w:val="005925E5"/>
    <w:rsid w:val="00592BA8"/>
    <w:rsid w:val="0059308A"/>
    <w:rsid w:val="005934AE"/>
    <w:rsid w:val="00593F55"/>
    <w:rsid w:val="00594B6D"/>
    <w:rsid w:val="00594D58"/>
    <w:rsid w:val="0059549B"/>
    <w:rsid w:val="005955E4"/>
    <w:rsid w:val="00595954"/>
    <w:rsid w:val="00597A7C"/>
    <w:rsid w:val="00597BE9"/>
    <w:rsid w:val="005A0533"/>
    <w:rsid w:val="005A1468"/>
    <w:rsid w:val="005A1649"/>
    <w:rsid w:val="005A171E"/>
    <w:rsid w:val="005A1979"/>
    <w:rsid w:val="005A2018"/>
    <w:rsid w:val="005A2832"/>
    <w:rsid w:val="005A28F0"/>
    <w:rsid w:val="005A2AE2"/>
    <w:rsid w:val="005A2CAD"/>
    <w:rsid w:val="005A2DD3"/>
    <w:rsid w:val="005A380E"/>
    <w:rsid w:val="005A3E49"/>
    <w:rsid w:val="005A4424"/>
    <w:rsid w:val="005A5161"/>
    <w:rsid w:val="005A5891"/>
    <w:rsid w:val="005A5D80"/>
    <w:rsid w:val="005A6C95"/>
    <w:rsid w:val="005A7075"/>
    <w:rsid w:val="005A7F4D"/>
    <w:rsid w:val="005B0F48"/>
    <w:rsid w:val="005B1718"/>
    <w:rsid w:val="005B1BF2"/>
    <w:rsid w:val="005B1DDD"/>
    <w:rsid w:val="005B25CD"/>
    <w:rsid w:val="005B30FB"/>
    <w:rsid w:val="005B34D7"/>
    <w:rsid w:val="005B3A8D"/>
    <w:rsid w:val="005B3CDC"/>
    <w:rsid w:val="005B3E4B"/>
    <w:rsid w:val="005B41DF"/>
    <w:rsid w:val="005B422A"/>
    <w:rsid w:val="005B465B"/>
    <w:rsid w:val="005B46F7"/>
    <w:rsid w:val="005B48FC"/>
    <w:rsid w:val="005B49CA"/>
    <w:rsid w:val="005B50F4"/>
    <w:rsid w:val="005B526E"/>
    <w:rsid w:val="005B549C"/>
    <w:rsid w:val="005B5543"/>
    <w:rsid w:val="005B56E1"/>
    <w:rsid w:val="005B5BA2"/>
    <w:rsid w:val="005B7E6E"/>
    <w:rsid w:val="005C00A5"/>
    <w:rsid w:val="005C02AD"/>
    <w:rsid w:val="005C0427"/>
    <w:rsid w:val="005C084F"/>
    <w:rsid w:val="005C16FD"/>
    <w:rsid w:val="005C1997"/>
    <w:rsid w:val="005C2019"/>
    <w:rsid w:val="005C28E9"/>
    <w:rsid w:val="005C2CF0"/>
    <w:rsid w:val="005C3144"/>
    <w:rsid w:val="005C372C"/>
    <w:rsid w:val="005C413F"/>
    <w:rsid w:val="005C4408"/>
    <w:rsid w:val="005C6DE5"/>
    <w:rsid w:val="005C7035"/>
    <w:rsid w:val="005C7FF9"/>
    <w:rsid w:val="005D15ED"/>
    <w:rsid w:val="005D2B91"/>
    <w:rsid w:val="005D2D32"/>
    <w:rsid w:val="005D3963"/>
    <w:rsid w:val="005D3DB1"/>
    <w:rsid w:val="005D3F7D"/>
    <w:rsid w:val="005D48C3"/>
    <w:rsid w:val="005D4F79"/>
    <w:rsid w:val="005D4FF6"/>
    <w:rsid w:val="005D5BE2"/>
    <w:rsid w:val="005D5C71"/>
    <w:rsid w:val="005D6101"/>
    <w:rsid w:val="005D70D2"/>
    <w:rsid w:val="005D7ADC"/>
    <w:rsid w:val="005E0148"/>
    <w:rsid w:val="005E0180"/>
    <w:rsid w:val="005E023E"/>
    <w:rsid w:val="005E131C"/>
    <w:rsid w:val="005E186D"/>
    <w:rsid w:val="005E1A21"/>
    <w:rsid w:val="005E23F2"/>
    <w:rsid w:val="005E273E"/>
    <w:rsid w:val="005E2AF5"/>
    <w:rsid w:val="005E2B62"/>
    <w:rsid w:val="005E2E96"/>
    <w:rsid w:val="005E31D2"/>
    <w:rsid w:val="005E3D5B"/>
    <w:rsid w:val="005E43F7"/>
    <w:rsid w:val="005E5159"/>
    <w:rsid w:val="005E5C54"/>
    <w:rsid w:val="005E6A61"/>
    <w:rsid w:val="005E6D21"/>
    <w:rsid w:val="005E6F95"/>
    <w:rsid w:val="005E727E"/>
    <w:rsid w:val="005E7428"/>
    <w:rsid w:val="005E76AD"/>
    <w:rsid w:val="005F05EE"/>
    <w:rsid w:val="005F106B"/>
    <w:rsid w:val="005F1848"/>
    <w:rsid w:val="005F1A0C"/>
    <w:rsid w:val="005F22C3"/>
    <w:rsid w:val="005F2949"/>
    <w:rsid w:val="005F32BB"/>
    <w:rsid w:val="005F37D0"/>
    <w:rsid w:val="005F3A16"/>
    <w:rsid w:val="005F3EC2"/>
    <w:rsid w:val="005F4137"/>
    <w:rsid w:val="005F46B9"/>
    <w:rsid w:val="005F4B0D"/>
    <w:rsid w:val="005F4B75"/>
    <w:rsid w:val="005F5209"/>
    <w:rsid w:val="005F562C"/>
    <w:rsid w:val="005F6A18"/>
    <w:rsid w:val="005F6DE3"/>
    <w:rsid w:val="005F7572"/>
    <w:rsid w:val="006001B4"/>
    <w:rsid w:val="006002F3"/>
    <w:rsid w:val="00600531"/>
    <w:rsid w:val="00600855"/>
    <w:rsid w:val="00600991"/>
    <w:rsid w:val="006011C4"/>
    <w:rsid w:val="00602875"/>
    <w:rsid w:val="006028ED"/>
    <w:rsid w:val="006036C5"/>
    <w:rsid w:val="00603D0F"/>
    <w:rsid w:val="00604077"/>
    <w:rsid w:val="006042AE"/>
    <w:rsid w:val="006048AE"/>
    <w:rsid w:val="00604B66"/>
    <w:rsid w:val="00604C29"/>
    <w:rsid w:val="00604D14"/>
    <w:rsid w:val="00604FF8"/>
    <w:rsid w:val="00605368"/>
    <w:rsid w:val="00605B9F"/>
    <w:rsid w:val="00606346"/>
    <w:rsid w:val="006065AC"/>
    <w:rsid w:val="006068AE"/>
    <w:rsid w:val="0061005C"/>
    <w:rsid w:val="0061094C"/>
    <w:rsid w:val="00610A6B"/>
    <w:rsid w:val="00611449"/>
    <w:rsid w:val="006115D6"/>
    <w:rsid w:val="00611BD9"/>
    <w:rsid w:val="006124EA"/>
    <w:rsid w:val="00612AE0"/>
    <w:rsid w:val="00612C85"/>
    <w:rsid w:val="00612F7D"/>
    <w:rsid w:val="00612FE3"/>
    <w:rsid w:val="00613C42"/>
    <w:rsid w:val="00613D3D"/>
    <w:rsid w:val="00614155"/>
    <w:rsid w:val="00615183"/>
    <w:rsid w:val="00615BA6"/>
    <w:rsid w:val="006174F0"/>
    <w:rsid w:val="00617DAC"/>
    <w:rsid w:val="00617EB3"/>
    <w:rsid w:val="00620171"/>
    <w:rsid w:val="00620374"/>
    <w:rsid w:val="00620555"/>
    <w:rsid w:val="00620D9F"/>
    <w:rsid w:val="00621FEB"/>
    <w:rsid w:val="00622196"/>
    <w:rsid w:val="00622414"/>
    <w:rsid w:val="006234CD"/>
    <w:rsid w:val="00623574"/>
    <w:rsid w:val="006235F9"/>
    <w:rsid w:val="00623F63"/>
    <w:rsid w:val="006240DB"/>
    <w:rsid w:val="00625F82"/>
    <w:rsid w:val="00626108"/>
    <w:rsid w:val="006262AD"/>
    <w:rsid w:val="00626E34"/>
    <w:rsid w:val="00627F4C"/>
    <w:rsid w:val="00630B68"/>
    <w:rsid w:val="00631255"/>
    <w:rsid w:val="00631954"/>
    <w:rsid w:val="00631D21"/>
    <w:rsid w:val="00632197"/>
    <w:rsid w:val="0063225D"/>
    <w:rsid w:val="00632453"/>
    <w:rsid w:val="006326A3"/>
    <w:rsid w:val="00632C52"/>
    <w:rsid w:val="00632EDD"/>
    <w:rsid w:val="00632F5D"/>
    <w:rsid w:val="00633306"/>
    <w:rsid w:val="006347A3"/>
    <w:rsid w:val="006347B8"/>
    <w:rsid w:val="0063487C"/>
    <w:rsid w:val="00634B03"/>
    <w:rsid w:val="00634BB0"/>
    <w:rsid w:val="00635569"/>
    <w:rsid w:val="00635F8E"/>
    <w:rsid w:val="00636512"/>
    <w:rsid w:val="00636BD2"/>
    <w:rsid w:val="00640590"/>
    <w:rsid w:val="00640B1B"/>
    <w:rsid w:val="00641B12"/>
    <w:rsid w:val="00641FC4"/>
    <w:rsid w:val="00643672"/>
    <w:rsid w:val="00643C5E"/>
    <w:rsid w:val="006441DC"/>
    <w:rsid w:val="00645477"/>
    <w:rsid w:val="006458E8"/>
    <w:rsid w:val="0064694F"/>
    <w:rsid w:val="00647356"/>
    <w:rsid w:val="00647671"/>
    <w:rsid w:val="0064783D"/>
    <w:rsid w:val="00647844"/>
    <w:rsid w:val="00647C81"/>
    <w:rsid w:val="00650359"/>
    <w:rsid w:val="00650568"/>
    <w:rsid w:val="00650CBD"/>
    <w:rsid w:val="00650ED6"/>
    <w:rsid w:val="00651431"/>
    <w:rsid w:val="00651599"/>
    <w:rsid w:val="00652198"/>
    <w:rsid w:val="006522DD"/>
    <w:rsid w:val="00653006"/>
    <w:rsid w:val="0065307B"/>
    <w:rsid w:val="006534B5"/>
    <w:rsid w:val="0065364D"/>
    <w:rsid w:val="006539A0"/>
    <w:rsid w:val="00653B15"/>
    <w:rsid w:val="006540AF"/>
    <w:rsid w:val="006542CA"/>
    <w:rsid w:val="0065473C"/>
    <w:rsid w:val="00655135"/>
    <w:rsid w:val="00655A6B"/>
    <w:rsid w:val="00655A8B"/>
    <w:rsid w:val="00656787"/>
    <w:rsid w:val="00656A55"/>
    <w:rsid w:val="00657154"/>
    <w:rsid w:val="00657251"/>
    <w:rsid w:val="0066085D"/>
    <w:rsid w:val="0066139C"/>
    <w:rsid w:val="00661AED"/>
    <w:rsid w:val="00662E04"/>
    <w:rsid w:val="00663819"/>
    <w:rsid w:val="006640EE"/>
    <w:rsid w:val="00664A32"/>
    <w:rsid w:val="0066584F"/>
    <w:rsid w:val="00665984"/>
    <w:rsid w:val="00667025"/>
    <w:rsid w:val="00667343"/>
    <w:rsid w:val="00667387"/>
    <w:rsid w:val="00667C18"/>
    <w:rsid w:val="00670B55"/>
    <w:rsid w:val="00670E5F"/>
    <w:rsid w:val="00670FBC"/>
    <w:rsid w:val="00671180"/>
    <w:rsid w:val="0067125F"/>
    <w:rsid w:val="0067249F"/>
    <w:rsid w:val="006728FA"/>
    <w:rsid w:val="00672B00"/>
    <w:rsid w:val="00672D8C"/>
    <w:rsid w:val="006732EB"/>
    <w:rsid w:val="006742A6"/>
    <w:rsid w:val="00674475"/>
    <w:rsid w:val="00674AE6"/>
    <w:rsid w:val="006767CE"/>
    <w:rsid w:val="006775D2"/>
    <w:rsid w:val="006813D2"/>
    <w:rsid w:val="00681993"/>
    <w:rsid w:val="00682ACC"/>
    <w:rsid w:val="00682F69"/>
    <w:rsid w:val="00683CC5"/>
    <w:rsid w:val="00683E65"/>
    <w:rsid w:val="00684983"/>
    <w:rsid w:val="00685090"/>
    <w:rsid w:val="00685193"/>
    <w:rsid w:val="00685316"/>
    <w:rsid w:val="0068548F"/>
    <w:rsid w:val="0068588B"/>
    <w:rsid w:val="00685EC7"/>
    <w:rsid w:val="00686DF7"/>
    <w:rsid w:val="00686EF1"/>
    <w:rsid w:val="0068736B"/>
    <w:rsid w:val="00690205"/>
    <w:rsid w:val="00690EAB"/>
    <w:rsid w:val="00690F78"/>
    <w:rsid w:val="0069175E"/>
    <w:rsid w:val="00691AFC"/>
    <w:rsid w:val="00692178"/>
    <w:rsid w:val="00692E4F"/>
    <w:rsid w:val="0069329D"/>
    <w:rsid w:val="00694BA2"/>
    <w:rsid w:val="00694BBA"/>
    <w:rsid w:val="00694DDE"/>
    <w:rsid w:val="00695072"/>
    <w:rsid w:val="00695353"/>
    <w:rsid w:val="006955E8"/>
    <w:rsid w:val="0069574E"/>
    <w:rsid w:val="00695EBB"/>
    <w:rsid w:val="00696224"/>
    <w:rsid w:val="0069652E"/>
    <w:rsid w:val="0069676E"/>
    <w:rsid w:val="0069686F"/>
    <w:rsid w:val="006968EF"/>
    <w:rsid w:val="0069778D"/>
    <w:rsid w:val="006A07FB"/>
    <w:rsid w:val="006A0B32"/>
    <w:rsid w:val="006A0EFD"/>
    <w:rsid w:val="006A1433"/>
    <w:rsid w:val="006A160F"/>
    <w:rsid w:val="006A2FF4"/>
    <w:rsid w:val="006A3048"/>
    <w:rsid w:val="006A32A0"/>
    <w:rsid w:val="006A3769"/>
    <w:rsid w:val="006A4107"/>
    <w:rsid w:val="006A47C5"/>
    <w:rsid w:val="006A4AF5"/>
    <w:rsid w:val="006A4CCC"/>
    <w:rsid w:val="006A4DF5"/>
    <w:rsid w:val="006A5241"/>
    <w:rsid w:val="006A5590"/>
    <w:rsid w:val="006A5B3E"/>
    <w:rsid w:val="006A5DEA"/>
    <w:rsid w:val="006A67E8"/>
    <w:rsid w:val="006A7783"/>
    <w:rsid w:val="006A77CA"/>
    <w:rsid w:val="006B00A4"/>
    <w:rsid w:val="006B00E5"/>
    <w:rsid w:val="006B104A"/>
    <w:rsid w:val="006B15B1"/>
    <w:rsid w:val="006B198E"/>
    <w:rsid w:val="006B29B3"/>
    <w:rsid w:val="006B2C77"/>
    <w:rsid w:val="006B2F62"/>
    <w:rsid w:val="006B35EB"/>
    <w:rsid w:val="006B3F4A"/>
    <w:rsid w:val="006B4EE6"/>
    <w:rsid w:val="006B5455"/>
    <w:rsid w:val="006B5B0A"/>
    <w:rsid w:val="006C0100"/>
    <w:rsid w:val="006C0883"/>
    <w:rsid w:val="006C1236"/>
    <w:rsid w:val="006C1492"/>
    <w:rsid w:val="006C1957"/>
    <w:rsid w:val="006C25D4"/>
    <w:rsid w:val="006C264F"/>
    <w:rsid w:val="006C2BAF"/>
    <w:rsid w:val="006C2D0E"/>
    <w:rsid w:val="006C2FDC"/>
    <w:rsid w:val="006C4C9F"/>
    <w:rsid w:val="006C58BE"/>
    <w:rsid w:val="006C6CCC"/>
    <w:rsid w:val="006C765F"/>
    <w:rsid w:val="006C7C94"/>
    <w:rsid w:val="006C7E95"/>
    <w:rsid w:val="006D0A9A"/>
    <w:rsid w:val="006D1095"/>
    <w:rsid w:val="006D1A3C"/>
    <w:rsid w:val="006D24FF"/>
    <w:rsid w:val="006D2C74"/>
    <w:rsid w:val="006D3334"/>
    <w:rsid w:val="006D37C5"/>
    <w:rsid w:val="006D3A19"/>
    <w:rsid w:val="006D3AB1"/>
    <w:rsid w:val="006D5865"/>
    <w:rsid w:val="006D58C1"/>
    <w:rsid w:val="006D5BC9"/>
    <w:rsid w:val="006D6A35"/>
    <w:rsid w:val="006D6CAC"/>
    <w:rsid w:val="006D6DD8"/>
    <w:rsid w:val="006D70AC"/>
    <w:rsid w:val="006D76EB"/>
    <w:rsid w:val="006D793F"/>
    <w:rsid w:val="006D796C"/>
    <w:rsid w:val="006E007E"/>
    <w:rsid w:val="006E094E"/>
    <w:rsid w:val="006E133D"/>
    <w:rsid w:val="006E1645"/>
    <w:rsid w:val="006E1DB4"/>
    <w:rsid w:val="006E1EE8"/>
    <w:rsid w:val="006E22FC"/>
    <w:rsid w:val="006E2A44"/>
    <w:rsid w:val="006E2CE9"/>
    <w:rsid w:val="006E30D7"/>
    <w:rsid w:val="006E3AEF"/>
    <w:rsid w:val="006E3C19"/>
    <w:rsid w:val="006E41BF"/>
    <w:rsid w:val="006E515A"/>
    <w:rsid w:val="006E5D74"/>
    <w:rsid w:val="006E5EED"/>
    <w:rsid w:val="006E71C3"/>
    <w:rsid w:val="006E734A"/>
    <w:rsid w:val="006E78D5"/>
    <w:rsid w:val="006E7EA4"/>
    <w:rsid w:val="006F0A8C"/>
    <w:rsid w:val="006F1BE4"/>
    <w:rsid w:val="006F265E"/>
    <w:rsid w:val="006F29FA"/>
    <w:rsid w:val="006F3439"/>
    <w:rsid w:val="006F3EB8"/>
    <w:rsid w:val="006F4063"/>
    <w:rsid w:val="006F4E19"/>
    <w:rsid w:val="006F5151"/>
    <w:rsid w:val="006F573A"/>
    <w:rsid w:val="006F577D"/>
    <w:rsid w:val="006F5B78"/>
    <w:rsid w:val="006F5C94"/>
    <w:rsid w:val="006F5DA9"/>
    <w:rsid w:val="006F6167"/>
    <w:rsid w:val="006F69C1"/>
    <w:rsid w:val="006F6A8D"/>
    <w:rsid w:val="006F6BCB"/>
    <w:rsid w:val="006F6D65"/>
    <w:rsid w:val="006F6ED0"/>
    <w:rsid w:val="006F7356"/>
    <w:rsid w:val="007007B6"/>
    <w:rsid w:val="00700CD0"/>
    <w:rsid w:val="007014D3"/>
    <w:rsid w:val="00701EBE"/>
    <w:rsid w:val="007023EB"/>
    <w:rsid w:val="00702C98"/>
    <w:rsid w:val="007031B8"/>
    <w:rsid w:val="0070488C"/>
    <w:rsid w:val="00704A6B"/>
    <w:rsid w:val="00704ADD"/>
    <w:rsid w:val="0070514C"/>
    <w:rsid w:val="0070521B"/>
    <w:rsid w:val="00705345"/>
    <w:rsid w:val="00705B96"/>
    <w:rsid w:val="00705F11"/>
    <w:rsid w:val="0070696B"/>
    <w:rsid w:val="00706B0F"/>
    <w:rsid w:val="00707216"/>
    <w:rsid w:val="0070753B"/>
    <w:rsid w:val="00707664"/>
    <w:rsid w:val="00707A8A"/>
    <w:rsid w:val="00707DCB"/>
    <w:rsid w:val="00707F75"/>
    <w:rsid w:val="00707FE7"/>
    <w:rsid w:val="00711288"/>
    <w:rsid w:val="007117CE"/>
    <w:rsid w:val="007131D6"/>
    <w:rsid w:val="007133CB"/>
    <w:rsid w:val="00713934"/>
    <w:rsid w:val="00713E19"/>
    <w:rsid w:val="00713E1E"/>
    <w:rsid w:val="007145B6"/>
    <w:rsid w:val="0071499B"/>
    <w:rsid w:val="00716250"/>
    <w:rsid w:val="0071672E"/>
    <w:rsid w:val="00716956"/>
    <w:rsid w:val="00716997"/>
    <w:rsid w:val="00716A3D"/>
    <w:rsid w:val="007172A5"/>
    <w:rsid w:val="007175C7"/>
    <w:rsid w:val="0071761C"/>
    <w:rsid w:val="007178FE"/>
    <w:rsid w:val="00717B09"/>
    <w:rsid w:val="00717FF1"/>
    <w:rsid w:val="00721154"/>
    <w:rsid w:val="00721203"/>
    <w:rsid w:val="00721A69"/>
    <w:rsid w:val="00721ACF"/>
    <w:rsid w:val="00722751"/>
    <w:rsid w:val="00723729"/>
    <w:rsid w:val="0072413E"/>
    <w:rsid w:val="0072430E"/>
    <w:rsid w:val="00725499"/>
    <w:rsid w:val="00725707"/>
    <w:rsid w:val="00725A57"/>
    <w:rsid w:val="00725CE7"/>
    <w:rsid w:val="00725DF8"/>
    <w:rsid w:val="00725F56"/>
    <w:rsid w:val="007263B7"/>
    <w:rsid w:val="00727C94"/>
    <w:rsid w:val="00730FCE"/>
    <w:rsid w:val="0073198B"/>
    <w:rsid w:val="00731FEC"/>
    <w:rsid w:val="00732525"/>
    <w:rsid w:val="007328CF"/>
    <w:rsid w:val="00732A6B"/>
    <w:rsid w:val="00732F4C"/>
    <w:rsid w:val="007336A8"/>
    <w:rsid w:val="00733B8A"/>
    <w:rsid w:val="00733E63"/>
    <w:rsid w:val="00734940"/>
    <w:rsid w:val="007349D2"/>
    <w:rsid w:val="00734D40"/>
    <w:rsid w:val="00734E88"/>
    <w:rsid w:val="007351C9"/>
    <w:rsid w:val="007360CD"/>
    <w:rsid w:val="007364E7"/>
    <w:rsid w:val="00736E65"/>
    <w:rsid w:val="00737340"/>
    <w:rsid w:val="007376B4"/>
    <w:rsid w:val="007378A9"/>
    <w:rsid w:val="00741760"/>
    <w:rsid w:val="00741A6E"/>
    <w:rsid w:val="00741D79"/>
    <w:rsid w:val="00741E49"/>
    <w:rsid w:val="00741F5D"/>
    <w:rsid w:val="00742758"/>
    <w:rsid w:val="00743063"/>
    <w:rsid w:val="00744C3A"/>
    <w:rsid w:val="00745321"/>
    <w:rsid w:val="00745850"/>
    <w:rsid w:val="00745D19"/>
    <w:rsid w:val="00745DA7"/>
    <w:rsid w:val="0074623E"/>
    <w:rsid w:val="0074715B"/>
    <w:rsid w:val="0074723F"/>
    <w:rsid w:val="00747A01"/>
    <w:rsid w:val="00750EAD"/>
    <w:rsid w:val="007512CA"/>
    <w:rsid w:val="00751348"/>
    <w:rsid w:val="007514AE"/>
    <w:rsid w:val="007517F7"/>
    <w:rsid w:val="00752E6A"/>
    <w:rsid w:val="00753159"/>
    <w:rsid w:val="00753211"/>
    <w:rsid w:val="007538DF"/>
    <w:rsid w:val="00753EE1"/>
    <w:rsid w:val="00754C53"/>
    <w:rsid w:val="00755254"/>
    <w:rsid w:val="00755369"/>
    <w:rsid w:val="007558E9"/>
    <w:rsid w:val="00755DA3"/>
    <w:rsid w:val="007561A5"/>
    <w:rsid w:val="00756AD8"/>
    <w:rsid w:val="00757086"/>
    <w:rsid w:val="007575CD"/>
    <w:rsid w:val="0075770B"/>
    <w:rsid w:val="00757CED"/>
    <w:rsid w:val="00760025"/>
    <w:rsid w:val="0076114E"/>
    <w:rsid w:val="00761537"/>
    <w:rsid w:val="00761685"/>
    <w:rsid w:val="00761C1F"/>
    <w:rsid w:val="00761CAE"/>
    <w:rsid w:val="00761FA7"/>
    <w:rsid w:val="0076394B"/>
    <w:rsid w:val="00763CDD"/>
    <w:rsid w:val="00763F85"/>
    <w:rsid w:val="007648D6"/>
    <w:rsid w:val="00764BFF"/>
    <w:rsid w:val="00764C24"/>
    <w:rsid w:val="00764EC7"/>
    <w:rsid w:val="00766EEB"/>
    <w:rsid w:val="0076710A"/>
    <w:rsid w:val="00767CD1"/>
    <w:rsid w:val="007702AB"/>
    <w:rsid w:val="00770C90"/>
    <w:rsid w:val="00770DCD"/>
    <w:rsid w:val="00770FEE"/>
    <w:rsid w:val="00771074"/>
    <w:rsid w:val="0077168A"/>
    <w:rsid w:val="00772F62"/>
    <w:rsid w:val="007736FC"/>
    <w:rsid w:val="0077393E"/>
    <w:rsid w:val="007742A4"/>
    <w:rsid w:val="007747A2"/>
    <w:rsid w:val="00775ADC"/>
    <w:rsid w:val="00775C53"/>
    <w:rsid w:val="007761F3"/>
    <w:rsid w:val="007766B6"/>
    <w:rsid w:val="00776D6E"/>
    <w:rsid w:val="00776F6B"/>
    <w:rsid w:val="0077700E"/>
    <w:rsid w:val="007771C6"/>
    <w:rsid w:val="007774B2"/>
    <w:rsid w:val="00780776"/>
    <w:rsid w:val="00780B02"/>
    <w:rsid w:val="007811EA"/>
    <w:rsid w:val="0078124E"/>
    <w:rsid w:val="007817D7"/>
    <w:rsid w:val="007820C6"/>
    <w:rsid w:val="007821A5"/>
    <w:rsid w:val="00782562"/>
    <w:rsid w:val="00782881"/>
    <w:rsid w:val="0078295E"/>
    <w:rsid w:val="0078434A"/>
    <w:rsid w:val="0078462F"/>
    <w:rsid w:val="007848E9"/>
    <w:rsid w:val="00784A76"/>
    <w:rsid w:val="00784D69"/>
    <w:rsid w:val="0078672C"/>
    <w:rsid w:val="00786D0A"/>
    <w:rsid w:val="00786DB0"/>
    <w:rsid w:val="00786FC9"/>
    <w:rsid w:val="00787060"/>
    <w:rsid w:val="0078784C"/>
    <w:rsid w:val="00787B0D"/>
    <w:rsid w:val="00787D68"/>
    <w:rsid w:val="007900F2"/>
    <w:rsid w:val="00790A58"/>
    <w:rsid w:val="00791056"/>
    <w:rsid w:val="0079199C"/>
    <w:rsid w:val="00791BAC"/>
    <w:rsid w:val="00791D69"/>
    <w:rsid w:val="00791EBE"/>
    <w:rsid w:val="00791F27"/>
    <w:rsid w:val="007921DA"/>
    <w:rsid w:val="00792E1A"/>
    <w:rsid w:val="007931B1"/>
    <w:rsid w:val="007932F3"/>
    <w:rsid w:val="007933CB"/>
    <w:rsid w:val="00793D71"/>
    <w:rsid w:val="00793E7C"/>
    <w:rsid w:val="007943B5"/>
    <w:rsid w:val="0079466D"/>
    <w:rsid w:val="007948EC"/>
    <w:rsid w:val="00794D76"/>
    <w:rsid w:val="007958C5"/>
    <w:rsid w:val="00795C5E"/>
    <w:rsid w:val="00795FBA"/>
    <w:rsid w:val="0079606B"/>
    <w:rsid w:val="00796115"/>
    <w:rsid w:val="00796620"/>
    <w:rsid w:val="0079676B"/>
    <w:rsid w:val="00796912"/>
    <w:rsid w:val="007A0532"/>
    <w:rsid w:val="007A098F"/>
    <w:rsid w:val="007A0EFD"/>
    <w:rsid w:val="007A1ADD"/>
    <w:rsid w:val="007A211E"/>
    <w:rsid w:val="007A2696"/>
    <w:rsid w:val="007A2984"/>
    <w:rsid w:val="007A2A33"/>
    <w:rsid w:val="007A2DF7"/>
    <w:rsid w:val="007A31C8"/>
    <w:rsid w:val="007A32D6"/>
    <w:rsid w:val="007A3577"/>
    <w:rsid w:val="007A402E"/>
    <w:rsid w:val="007A44C4"/>
    <w:rsid w:val="007A4DD3"/>
    <w:rsid w:val="007A5040"/>
    <w:rsid w:val="007A6571"/>
    <w:rsid w:val="007A674B"/>
    <w:rsid w:val="007A690C"/>
    <w:rsid w:val="007A750D"/>
    <w:rsid w:val="007B03F9"/>
    <w:rsid w:val="007B0422"/>
    <w:rsid w:val="007B0815"/>
    <w:rsid w:val="007B0D93"/>
    <w:rsid w:val="007B0E6E"/>
    <w:rsid w:val="007B1440"/>
    <w:rsid w:val="007B180A"/>
    <w:rsid w:val="007B1952"/>
    <w:rsid w:val="007B1CDA"/>
    <w:rsid w:val="007B22E6"/>
    <w:rsid w:val="007B2ABA"/>
    <w:rsid w:val="007B2F30"/>
    <w:rsid w:val="007B301F"/>
    <w:rsid w:val="007B3767"/>
    <w:rsid w:val="007B3AD7"/>
    <w:rsid w:val="007B3CB8"/>
    <w:rsid w:val="007B3D2C"/>
    <w:rsid w:val="007B4A71"/>
    <w:rsid w:val="007B5225"/>
    <w:rsid w:val="007B53C7"/>
    <w:rsid w:val="007B5523"/>
    <w:rsid w:val="007B5749"/>
    <w:rsid w:val="007B584B"/>
    <w:rsid w:val="007B58CB"/>
    <w:rsid w:val="007B5C30"/>
    <w:rsid w:val="007B655D"/>
    <w:rsid w:val="007B68AC"/>
    <w:rsid w:val="007B6980"/>
    <w:rsid w:val="007B7367"/>
    <w:rsid w:val="007B74FD"/>
    <w:rsid w:val="007C1D7C"/>
    <w:rsid w:val="007C1F0B"/>
    <w:rsid w:val="007C2713"/>
    <w:rsid w:val="007C2D76"/>
    <w:rsid w:val="007C2DF3"/>
    <w:rsid w:val="007C2DF7"/>
    <w:rsid w:val="007C35CF"/>
    <w:rsid w:val="007C368C"/>
    <w:rsid w:val="007C3893"/>
    <w:rsid w:val="007C3D3A"/>
    <w:rsid w:val="007C3E02"/>
    <w:rsid w:val="007C3EA9"/>
    <w:rsid w:val="007C44F3"/>
    <w:rsid w:val="007C4A0D"/>
    <w:rsid w:val="007C5601"/>
    <w:rsid w:val="007C678D"/>
    <w:rsid w:val="007C6F5F"/>
    <w:rsid w:val="007C72F6"/>
    <w:rsid w:val="007C7B75"/>
    <w:rsid w:val="007C7CC5"/>
    <w:rsid w:val="007D0264"/>
    <w:rsid w:val="007D03CC"/>
    <w:rsid w:val="007D0528"/>
    <w:rsid w:val="007D0828"/>
    <w:rsid w:val="007D0BC6"/>
    <w:rsid w:val="007D0F11"/>
    <w:rsid w:val="007D24E2"/>
    <w:rsid w:val="007D2508"/>
    <w:rsid w:val="007D252B"/>
    <w:rsid w:val="007D3BAC"/>
    <w:rsid w:val="007D4F5C"/>
    <w:rsid w:val="007D5150"/>
    <w:rsid w:val="007D5427"/>
    <w:rsid w:val="007D54FE"/>
    <w:rsid w:val="007D5861"/>
    <w:rsid w:val="007D5AEF"/>
    <w:rsid w:val="007D5B3A"/>
    <w:rsid w:val="007D5EF6"/>
    <w:rsid w:val="007D67D7"/>
    <w:rsid w:val="007D6D47"/>
    <w:rsid w:val="007D6DCA"/>
    <w:rsid w:val="007D730E"/>
    <w:rsid w:val="007D73FB"/>
    <w:rsid w:val="007D7589"/>
    <w:rsid w:val="007D7ADB"/>
    <w:rsid w:val="007E005D"/>
    <w:rsid w:val="007E01AE"/>
    <w:rsid w:val="007E06B5"/>
    <w:rsid w:val="007E0D43"/>
    <w:rsid w:val="007E13C0"/>
    <w:rsid w:val="007E1587"/>
    <w:rsid w:val="007E1B12"/>
    <w:rsid w:val="007E1C3E"/>
    <w:rsid w:val="007E1D93"/>
    <w:rsid w:val="007E2D44"/>
    <w:rsid w:val="007E322A"/>
    <w:rsid w:val="007E34FB"/>
    <w:rsid w:val="007E38C4"/>
    <w:rsid w:val="007E3A12"/>
    <w:rsid w:val="007E3E06"/>
    <w:rsid w:val="007E42FB"/>
    <w:rsid w:val="007E4B97"/>
    <w:rsid w:val="007E5178"/>
    <w:rsid w:val="007E5DB8"/>
    <w:rsid w:val="007E6854"/>
    <w:rsid w:val="007E6CAE"/>
    <w:rsid w:val="007E721D"/>
    <w:rsid w:val="007E722C"/>
    <w:rsid w:val="007F06D0"/>
    <w:rsid w:val="007F140F"/>
    <w:rsid w:val="007F1CD2"/>
    <w:rsid w:val="007F1DD6"/>
    <w:rsid w:val="007F2E4F"/>
    <w:rsid w:val="007F3F87"/>
    <w:rsid w:val="007F41AF"/>
    <w:rsid w:val="007F4393"/>
    <w:rsid w:val="007F44E1"/>
    <w:rsid w:val="007F46FD"/>
    <w:rsid w:val="007F4935"/>
    <w:rsid w:val="007F5419"/>
    <w:rsid w:val="007F567B"/>
    <w:rsid w:val="007F5769"/>
    <w:rsid w:val="007F57CE"/>
    <w:rsid w:val="007F5967"/>
    <w:rsid w:val="007F59CD"/>
    <w:rsid w:val="007F5C7D"/>
    <w:rsid w:val="007F606B"/>
    <w:rsid w:val="007F6332"/>
    <w:rsid w:val="007F6418"/>
    <w:rsid w:val="007F6D89"/>
    <w:rsid w:val="007F6EEF"/>
    <w:rsid w:val="007F7D16"/>
    <w:rsid w:val="008005D9"/>
    <w:rsid w:val="00801821"/>
    <w:rsid w:val="00801BE0"/>
    <w:rsid w:val="008024E4"/>
    <w:rsid w:val="00802FE8"/>
    <w:rsid w:val="00803221"/>
    <w:rsid w:val="008032FE"/>
    <w:rsid w:val="0080361F"/>
    <w:rsid w:val="00803926"/>
    <w:rsid w:val="008042D7"/>
    <w:rsid w:val="008047BC"/>
    <w:rsid w:val="0080483A"/>
    <w:rsid w:val="00804E5C"/>
    <w:rsid w:val="00805491"/>
    <w:rsid w:val="0080560E"/>
    <w:rsid w:val="00806BD0"/>
    <w:rsid w:val="00806ED5"/>
    <w:rsid w:val="00807F28"/>
    <w:rsid w:val="00811D1B"/>
    <w:rsid w:val="00812243"/>
    <w:rsid w:val="00812E10"/>
    <w:rsid w:val="0081367E"/>
    <w:rsid w:val="008136DF"/>
    <w:rsid w:val="00815EE4"/>
    <w:rsid w:val="008164CD"/>
    <w:rsid w:val="00816522"/>
    <w:rsid w:val="00816E5A"/>
    <w:rsid w:val="008175E7"/>
    <w:rsid w:val="008202B5"/>
    <w:rsid w:val="00820A39"/>
    <w:rsid w:val="00820D9E"/>
    <w:rsid w:val="0082185E"/>
    <w:rsid w:val="00822C3F"/>
    <w:rsid w:val="008232E0"/>
    <w:rsid w:val="008235F8"/>
    <w:rsid w:val="0082364F"/>
    <w:rsid w:val="00823C53"/>
    <w:rsid w:val="00823FE4"/>
    <w:rsid w:val="00824091"/>
    <w:rsid w:val="008241A8"/>
    <w:rsid w:val="008242E5"/>
    <w:rsid w:val="00824555"/>
    <w:rsid w:val="008249E2"/>
    <w:rsid w:val="00824F4E"/>
    <w:rsid w:val="00824FDD"/>
    <w:rsid w:val="0082502F"/>
    <w:rsid w:val="0082532C"/>
    <w:rsid w:val="008256FE"/>
    <w:rsid w:val="008260E0"/>
    <w:rsid w:val="00826596"/>
    <w:rsid w:val="00826935"/>
    <w:rsid w:val="00827067"/>
    <w:rsid w:val="00827180"/>
    <w:rsid w:val="00827634"/>
    <w:rsid w:val="00830204"/>
    <w:rsid w:val="00830637"/>
    <w:rsid w:val="00830F29"/>
    <w:rsid w:val="0083152D"/>
    <w:rsid w:val="00831842"/>
    <w:rsid w:val="00831C50"/>
    <w:rsid w:val="00831E9C"/>
    <w:rsid w:val="008332B6"/>
    <w:rsid w:val="008332E2"/>
    <w:rsid w:val="008339DC"/>
    <w:rsid w:val="008344B7"/>
    <w:rsid w:val="0083481A"/>
    <w:rsid w:val="00834D1F"/>
    <w:rsid w:val="0083526C"/>
    <w:rsid w:val="00835A3C"/>
    <w:rsid w:val="00835E44"/>
    <w:rsid w:val="00836224"/>
    <w:rsid w:val="00836291"/>
    <w:rsid w:val="00837065"/>
    <w:rsid w:val="00837474"/>
    <w:rsid w:val="008403EF"/>
    <w:rsid w:val="00840D96"/>
    <w:rsid w:val="00841230"/>
    <w:rsid w:val="00841669"/>
    <w:rsid w:val="00842850"/>
    <w:rsid w:val="008431EB"/>
    <w:rsid w:val="00843C5D"/>
    <w:rsid w:val="0084424D"/>
    <w:rsid w:val="008446C2"/>
    <w:rsid w:val="00844E5F"/>
    <w:rsid w:val="0084546E"/>
    <w:rsid w:val="00845D04"/>
    <w:rsid w:val="00846110"/>
    <w:rsid w:val="0084686C"/>
    <w:rsid w:val="00846F6D"/>
    <w:rsid w:val="00847042"/>
    <w:rsid w:val="00847145"/>
    <w:rsid w:val="00847FF8"/>
    <w:rsid w:val="008501C3"/>
    <w:rsid w:val="00850458"/>
    <w:rsid w:val="0085077E"/>
    <w:rsid w:val="00850B33"/>
    <w:rsid w:val="00850B5F"/>
    <w:rsid w:val="008525C6"/>
    <w:rsid w:val="00852C9F"/>
    <w:rsid w:val="008533CD"/>
    <w:rsid w:val="0085350C"/>
    <w:rsid w:val="00853A69"/>
    <w:rsid w:val="00854183"/>
    <w:rsid w:val="00855176"/>
    <w:rsid w:val="0085599B"/>
    <w:rsid w:val="0085666F"/>
    <w:rsid w:val="00856CD4"/>
    <w:rsid w:val="008573FD"/>
    <w:rsid w:val="008603CA"/>
    <w:rsid w:val="008608BD"/>
    <w:rsid w:val="00860E87"/>
    <w:rsid w:val="008612E3"/>
    <w:rsid w:val="00861AA8"/>
    <w:rsid w:val="00861B30"/>
    <w:rsid w:val="008621A9"/>
    <w:rsid w:val="00862645"/>
    <w:rsid w:val="008632FF"/>
    <w:rsid w:val="00863394"/>
    <w:rsid w:val="00863CF1"/>
    <w:rsid w:val="0086477C"/>
    <w:rsid w:val="00864A39"/>
    <w:rsid w:val="00864B2E"/>
    <w:rsid w:val="008650E6"/>
    <w:rsid w:val="008657A6"/>
    <w:rsid w:val="00865A0B"/>
    <w:rsid w:val="00865C5E"/>
    <w:rsid w:val="0086689E"/>
    <w:rsid w:val="00866A7C"/>
    <w:rsid w:val="00867625"/>
    <w:rsid w:val="008701A1"/>
    <w:rsid w:val="00870338"/>
    <w:rsid w:val="00870472"/>
    <w:rsid w:val="00871BB8"/>
    <w:rsid w:val="008722DE"/>
    <w:rsid w:val="00872406"/>
    <w:rsid w:val="0087257A"/>
    <w:rsid w:val="00872759"/>
    <w:rsid w:val="00873E6B"/>
    <w:rsid w:val="00874527"/>
    <w:rsid w:val="0087466C"/>
    <w:rsid w:val="00874B41"/>
    <w:rsid w:val="00875BAE"/>
    <w:rsid w:val="00876090"/>
    <w:rsid w:val="008764B7"/>
    <w:rsid w:val="008773DF"/>
    <w:rsid w:val="00877AC1"/>
    <w:rsid w:val="00877AE5"/>
    <w:rsid w:val="00880127"/>
    <w:rsid w:val="00880A8F"/>
    <w:rsid w:val="00881846"/>
    <w:rsid w:val="00882144"/>
    <w:rsid w:val="008827C5"/>
    <w:rsid w:val="008833E1"/>
    <w:rsid w:val="00883719"/>
    <w:rsid w:val="00884405"/>
    <w:rsid w:val="00884DAB"/>
    <w:rsid w:val="0088517C"/>
    <w:rsid w:val="00885528"/>
    <w:rsid w:val="00885B6C"/>
    <w:rsid w:val="00885C1B"/>
    <w:rsid w:val="00885DC3"/>
    <w:rsid w:val="0088648D"/>
    <w:rsid w:val="00886571"/>
    <w:rsid w:val="008878A2"/>
    <w:rsid w:val="00890587"/>
    <w:rsid w:val="00892271"/>
    <w:rsid w:val="008922A7"/>
    <w:rsid w:val="00892F82"/>
    <w:rsid w:val="008933C7"/>
    <w:rsid w:val="008933D9"/>
    <w:rsid w:val="00893AE1"/>
    <w:rsid w:val="008948BB"/>
    <w:rsid w:val="0089595D"/>
    <w:rsid w:val="00895B71"/>
    <w:rsid w:val="00895EA9"/>
    <w:rsid w:val="00896463"/>
    <w:rsid w:val="008971FA"/>
    <w:rsid w:val="00897DB6"/>
    <w:rsid w:val="008A01E6"/>
    <w:rsid w:val="008A05F3"/>
    <w:rsid w:val="008A0780"/>
    <w:rsid w:val="008A0919"/>
    <w:rsid w:val="008A0B71"/>
    <w:rsid w:val="008A15A9"/>
    <w:rsid w:val="008A1726"/>
    <w:rsid w:val="008A1AE3"/>
    <w:rsid w:val="008A22AD"/>
    <w:rsid w:val="008A25A2"/>
    <w:rsid w:val="008A38F0"/>
    <w:rsid w:val="008A3F76"/>
    <w:rsid w:val="008A55DC"/>
    <w:rsid w:val="008A5EBB"/>
    <w:rsid w:val="008A6355"/>
    <w:rsid w:val="008B0305"/>
    <w:rsid w:val="008B0B1D"/>
    <w:rsid w:val="008B0F62"/>
    <w:rsid w:val="008B1F2A"/>
    <w:rsid w:val="008B232B"/>
    <w:rsid w:val="008B3847"/>
    <w:rsid w:val="008B3893"/>
    <w:rsid w:val="008B3F45"/>
    <w:rsid w:val="008B4057"/>
    <w:rsid w:val="008B43EA"/>
    <w:rsid w:val="008B46FA"/>
    <w:rsid w:val="008B471B"/>
    <w:rsid w:val="008B5893"/>
    <w:rsid w:val="008B608F"/>
    <w:rsid w:val="008B614D"/>
    <w:rsid w:val="008B6172"/>
    <w:rsid w:val="008B7D3F"/>
    <w:rsid w:val="008B7DF2"/>
    <w:rsid w:val="008C0546"/>
    <w:rsid w:val="008C0908"/>
    <w:rsid w:val="008C18E3"/>
    <w:rsid w:val="008C26C3"/>
    <w:rsid w:val="008C277D"/>
    <w:rsid w:val="008C2814"/>
    <w:rsid w:val="008C2A85"/>
    <w:rsid w:val="008C2EC0"/>
    <w:rsid w:val="008C36DB"/>
    <w:rsid w:val="008C3BBB"/>
    <w:rsid w:val="008C4706"/>
    <w:rsid w:val="008C5126"/>
    <w:rsid w:val="008C5FB1"/>
    <w:rsid w:val="008C6059"/>
    <w:rsid w:val="008C6398"/>
    <w:rsid w:val="008C6B86"/>
    <w:rsid w:val="008C6F96"/>
    <w:rsid w:val="008C72BC"/>
    <w:rsid w:val="008C74F3"/>
    <w:rsid w:val="008C7749"/>
    <w:rsid w:val="008D07BB"/>
    <w:rsid w:val="008D1518"/>
    <w:rsid w:val="008D16E6"/>
    <w:rsid w:val="008D3454"/>
    <w:rsid w:val="008D3675"/>
    <w:rsid w:val="008D4649"/>
    <w:rsid w:val="008D4E6F"/>
    <w:rsid w:val="008D5C6B"/>
    <w:rsid w:val="008D658F"/>
    <w:rsid w:val="008D6C4A"/>
    <w:rsid w:val="008D7117"/>
    <w:rsid w:val="008D7123"/>
    <w:rsid w:val="008D7584"/>
    <w:rsid w:val="008D7F92"/>
    <w:rsid w:val="008E08E1"/>
    <w:rsid w:val="008E0C30"/>
    <w:rsid w:val="008E100A"/>
    <w:rsid w:val="008E1138"/>
    <w:rsid w:val="008E1732"/>
    <w:rsid w:val="008E22B5"/>
    <w:rsid w:val="008E284B"/>
    <w:rsid w:val="008E2B7B"/>
    <w:rsid w:val="008E33B7"/>
    <w:rsid w:val="008E3E8A"/>
    <w:rsid w:val="008E469F"/>
    <w:rsid w:val="008E51A5"/>
    <w:rsid w:val="008E5300"/>
    <w:rsid w:val="008E57C7"/>
    <w:rsid w:val="008E626C"/>
    <w:rsid w:val="008E62EE"/>
    <w:rsid w:val="008E74EA"/>
    <w:rsid w:val="008E7A14"/>
    <w:rsid w:val="008F03B2"/>
    <w:rsid w:val="008F1D05"/>
    <w:rsid w:val="008F2CB2"/>
    <w:rsid w:val="008F2E40"/>
    <w:rsid w:val="008F2F13"/>
    <w:rsid w:val="008F36BB"/>
    <w:rsid w:val="008F3B3C"/>
    <w:rsid w:val="008F3E88"/>
    <w:rsid w:val="008F3F21"/>
    <w:rsid w:val="008F4799"/>
    <w:rsid w:val="008F50EF"/>
    <w:rsid w:val="008F5243"/>
    <w:rsid w:val="008F5320"/>
    <w:rsid w:val="008F5CF2"/>
    <w:rsid w:val="008F62AC"/>
    <w:rsid w:val="008F67D3"/>
    <w:rsid w:val="008F7375"/>
    <w:rsid w:val="008F7733"/>
    <w:rsid w:val="008F7DBB"/>
    <w:rsid w:val="00900384"/>
    <w:rsid w:val="00901B82"/>
    <w:rsid w:val="00901EC7"/>
    <w:rsid w:val="00901F18"/>
    <w:rsid w:val="009022F5"/>
    <w:rsid w:val="00902369"/>
    <w:rsid w:val="009025D4"/>
    <w:rsid w:val="00902A97"/>
    <w:rsid w:val="009034DB"/>
    <w:rsid w:val="009037A9"/>
    <w:rsid w:val="00903A0D"/>
    <w:rsid w:val="00903F93"/>
    <w:rsid w:val="009050A4"/>
    <w:rsid w:val="0090682C"/>
    <w:rsid w:val="00906A1D"/>
    <w:rsid w:val="00906D10"/>
    <w:rsid w:val="00907A48"/>
    <w:rsid w:val="0091057D"/>
    <w:rsid w:val="00911150"/>
    <w:rsid w:val="0091147A"/>
    <w:rsid w:val="0091193C"/>
    <w:rsid w:val="0091209D"/>
    <w:rsid w:val="0091342D"/>
    <w:rsid w:val="0091397C"/>
    <w:rsid w:val="00913ABC"/>
    <w:rsid w:val="009146A3"/>
    <w:rsid w:val="009148B8"/>
    <w:rsid w:val="00914C16"/>
    <w:rsid w:val="009163A9"/>
    <w:rsid w:val="009164C8"/>
    <w:rsid w:val="009165BF"/>
    <w:rsid w:val="00916910"/>
    <w:rsid w:val="009176B2"/>
    <w:rsid w:val="00917A5E"/>
    <w:rsid w:val="00920D0D"/>
    <w:rsid w:val="00920FB8"/>
    <w:rsid w:val="009215D9"/>
    <w:rsid w:val="009216D3"/>
    <w:rsid w:val="00921B18"/>
    <w:rsid w:val="00922340"/>
    <w:rsid w:val="00922A7C"/>
    <w:rsid w:val="00922BFA"/>
    <w:rsid w:val="00922CB1"/>
    <w:rsid w:val="009231A4"/>
    <w:rsid w:val="00924352"/>
    <w:rsid w:val="00926220"/>
    <w:rsid w:val="00926271"/>
    <w:rsid w:val="0092680F"/>
    <w:rsid w:val="009269F4"/>
    <w:rsid w:val="00926C83"/>
    <w:rsid w:val="009272C3"/>
    <w:rsid w:val="00927EE5"/>
    <w:rsid w:val="0093012A"/>
    <w:rsid w:val="00931D27"/>
    <w:rsid w:val="00932C87"/>
    <w:rsid w:val="00933571"/>
    <w:rsid w:val="00934518"/>
    <w:rsid w:val="009357FD"/>
    <w:rsid w:val="00935AB9"/>
    <w:rsid w:val="00936145"/>
    <w:rsid w:val="00936582"/>
    <w:rsid w:val="009369B5"/>
    <w:rsid w:val="00936C30"/>
    <w:rsid w:val="009374CE"/>
    <w:rsid w:val="009376B0"/>
    <w:rsid w:val="00937DE5"/>
    <w:rsid w:val="00937E4A"/>
    <w:rsid w:val="00937E6E"/>
    <w:rsid w:val="00940A32"/>
    <w:rsid w:val="00941AE3"/>
    <w:rsid w:val="00942FD2"/>
    <w:rsid w:val="00943144"/>
    <w:rsid w:val="009432B0"/>
    <w:rsid w:val="00943763"/>
    <w:rsid w:val="00943B68"/>
    <w:rsid w:val="00944400"/>
    <w:rsid w:val="009444CD"/>
    <w:rsid w:val="009445B4"/>
    <w:rsid w:val="0094594C"/>
    <w:rsid w:val="00945F2E"/>
    <w:rsid w:val="00947437"/>
    <w:rsid w:val="00947592"/>
    <w:rsid w:val="009476D2"/>
    <w:rsid w:val="00952A0D"/>
    <w:rsid w:val="00952A1B"/>
    <w:rsid w:val="009537D4"/>
    <w:rsid w:val="00953905"/>
    <w:rsid w:val="00955C5D"/>
    <w:rsid w:val="0095608E"/>
    <w:rsid w:val="009564DB"/>
    <w:rsid w:val="00957239"/>
    <w:rsid w:val="00957287"/>
    <w:rsid w:val="0095744A"/>
    <w:rsid w:val="0095745E"/>
    <w:rsid w:val="00957568"/>
    <w:rsid w:val="009604B3"/>
    <w:rsid w:val="009608E8"/>
    <w:rsid w:val="0096190F"/>
    <w:rsid w:val="00962215"/>
    <w:rsid w:val="009624A8"/>
    <w:rsid w:val="0096373C"/>
    <w:rsid w:val="009637CA"/>
    <w:rsid w:val="00963A46"/>
    <w:rsid w:val="00963C1D"/>
    <w:rsid w:val="00963F24"/>
    <w:rsid w:val="00964A2D"/>
    <w:rsid w:val="00964B2B"/>
    <w:rsid w:val="009653DA"/>
    <w:rsid w:val="00965AA3"/>
    <w:rsid w:val="00966111"/>
    <w:rsid w:val="009677DB"/>
    <w:rsid w:val="0096790A"/>
    <w:rsid w:val="009709DB"/>
    <w:rsid w:val="00970BE0"/>
    <w:rsid w:val="00971005"/>
    <w:rsid w:val="009712EC"/>
    <w:rsid w:val="00971EA6"/>
    <w:rsid w:val="0097307E"/>
    <w:rsid w:val="00973271"/>
    <w:rsid w:val="0097377E"/>
    <w:rsid w:val="00973F70"/>
    <w:rsid w:val="00974F9E"/>
    <w:rsid w:val="009765AC"/>
    <w:rsid w:val="00976952"/>
    <w:rsid w:val="00977054"/>
    <w:rsid w:val="009771BF"/>
    <w:rsid w:val="00977791"/>
    <w:rsid w:val="009779D0"/>
    <w:rsid w:val="00977B05"/>
    <w:rsid w:val="00977C91"/>
    <w:rsid w:val="00977E48"/>
    <w:rsid w:val="00980EAB"/>
    <w:rsid w:val="0098111D"/>
    <w:rsid w:val="00981566"/>
    <w:rsid w:val="00983033"/>
    <w:rsid w:val="00983845"/>
    <w:rsid w:val="009838FE"/>
    <w:rsid w:val="00983C04"/>
    <w:rsid w:val="0098424B"/>
    <w:rsid w:val="00984359"/>
    <w:rsid w:val="00984952"/>
    <w:rsid w:val="00984DEC"/>
    <w:rsid w:val="009851EE"/>
    <w:rsid w:val="0098530A"/>
    <w:rsid w:val="0098635E"/>
    <w:rsid w:val="009875A0"/>
    <w:rsid w:val="00987DD8"/>
    <w:rsid w:val="00990480"/>
    <w:rsid w:val="00991026"/>
    <w:rsid w:val="00993422"/>
    <w:rsid w:val="00996D10"/>
    <w:rsid w:val="009A03F1"/>
    <w:rsid w:val="009A0619"/>
    <w:rsid w:val="009A0DE8"/>
    <w:rsid w:val="009A1005"/>
    <w:rsid w:val="009A18DA"/>
    <w:rsid w:val="009A2815"/>
    <w:rsid w:val="009A2B27"/>
    <w:rsid w:val="009A3038"/>
    <w:rsid w:val="009A3106"/>
    <w:rsid w:val="009A31BC"/>
    <w:rsid w:val="009A34B6"/>
    <w:rsid w:val="009A39E9"/>
    <w:rsid w:val="009A3B67"/>
    <w:rsid w:val="009A4170"/>
    <w:rsid w:val="009A4DDE"/>
    <w:rsid w:val="009A4EC5"/>
    <w:rsid w:val="009A5132"/>
    <w:rsid w:val="009A5949"/>
    <w:rsid w:val="009A5B1C"/>
    <w:rsid w:val="009A5B3F"/>
    <w:rsid w:val="009A5DE6"/>
    <w:rsid w:val="009A6146"/>
    <w:rsid w:val="009A6CA3"/>
    <w:rsid w:val="009A7501"/>
    <w:rsid w:val="009B00D2"/>
    <w:rsid w:val="009B0F40"/>
    <w:rsid w:val="009B1A4F"/>
    <w:rsid w:val="009B1E99"/>
    <w:rsid w:val="009B1F37"/>
    <w:rsid w:val="009B1FF2"/>
    <w:rsid w:val="009B22EA"/>
    <w:rsid w:val="009B26A6"/>
    <w:rsid w:val="009B2C4F"/>
    <w:rsid w:val="009B2D97"/>
    <w:rsid w:val="009B341E"/>
    <w:rsid w:val="009B352C"/>
    <w:rsid w:val="009B38CC"/>
    <w:rsid w:val="009B3EBD"/>
    <w:rsid w:val="009B4921"/>
    <w:rsid w:val="009B4F61"/>
    <w:rsid w:val="009B4FDE"/>
    <w:rsid w:val="009B5399"/>
    <w:rsid w:val="009B5E3D"/>
    <w:rsid w:val="009B5FBC"/>
    <w:rsid w:val="009B6911"/>
    <w:rsid w:val="009B6ABE"/>
    <w:rsid w:val="009B6C1B"/>
    <w:rsid w:val="009B6FFC"/>
    <w:rsid w:val="009B74FB"/>
    <w:rsid w:val="009B7A4D"/>
    <w:rsid w:val="009C1AEB"/>
    <w:rsid w:val="009C1D05"/>
    <w:rsid w:val="009C282F"/>
    <w:rsid w:val="009C2A30"/>
    <w:rsid w:val="009C372A"/>
    <w:rsid w:val="009C3CFF"/>
    <w:rsid w:val="009C48FA"/>
    <w:rsid w:val="009C5009"/>
    <w:rsid w:val="009C52FD"/>
    <w:rsid w:val="009C60E0"/>
    <w:rsid w:val="009C66B7"/>
    <w:rsid w:val="009C6C75"/>
    <w:rsid w:val="009C7B25"/>
    <w:rsid w:val="009C7D4B"/>
    <w:rsid w:val="009D07DA"/>
    <w:rsid w:val="009D0FD6"/>
    <w:rsid w:val="009D25BD"/>
    <w:rsid w:val="009D286E"/>
    <w:rsid w:val="009D2F1E"/>
    <w:rsid w:val="009D3203"/>
    <w:rsid w:val="009D3A81"/>
    <w:rsid w:val="009D4C5C"/>
    <w:rsid w:val="009D4E7C"/>
    <w:rsid w:val="009D5543"/>
    <w:rsid w:val="009D5919"/>
    <w:rsid w:val="009D5CD7"/>
    <w:rsid w:val="009D652C"/>
    <w:rsid w:val="009D6F46"/>
    <w:rsid w:val="009D70EA"/>
    <w:rsid w:val="009E024A"/>
    <w:rsid w:val="009E029D"/>
    <w:rsid w:val="009E0487"/>
    <w:rsid w:val="009E1D81"/>
    <w:rsid w:val="009E27BA"/>
    <w:rsid w:val="009E2A1F"/>
    <w:rsid w:val="009E39E6"/>
    <w:rsid w:val="009E4158"/>
    <w:rsid w:val="009E4DE1"/>
    <w:rsid w:val="009E5D08"/>
    <w:rsid w:val="009E65F1"/>
    <w:rsid w:val="009E741E"/>
    <w:rsid w:val="009F0D39"/>
    <w:rsid w:val="009F1609"/>
    <w:rsid w:val="009F1DA2"/>
    <w:rsid w:val="009F1EA2"/>
    <w:rsid w:val="009F1F4F"/>
    <w:rsid w:val="009F2287"/>
    <w:rsid w:val="009F41ED"/>
    <w:rsid w:val="009F4428"/>
    <w:rsid w:val="009F5837"/>
    <w:rsid w:val="009F58BD"/>
    <w:rsid w:val="009F7ACE"/>
    <w:rsid w:val="00A000CE"/>
    <w:rsid w:val="00A018AE"/>
    <w:rsid w:val="00A01A75"/>
    <w:rsid w:val="00A02B46"/>
    <w:rsid w:val="00A031D4"/>
    <w:rsid w:val="00A03955"/>
    <w:rsid w:val="00A04015"/>
    <w:rsid w:val="00A042E4"/>
    <w:rsid w:val="00A055F6"/>
    <w:rsid w:val="00A05A93"/>
    <w:rsid w:val="00A06389"/>
    <w:rsid w:val="00A06836"/>
    <w:rsid w:val="00A06BA6"/>
    <w:rsid w:val="00A07985"/>
    <w:rsid w:val="00A10390"/>
    <w:rsid w:val="00A10556"/>
    <w:rsid w:val="00A10569"/>
    <w:rsid w:val="00A10B3F"/>
    <w:rsid w:val="00A10B56"/>
    <w:rsid w:val="00A10D7D"/>
    <w:rsid w:val="00A113C4"/>
    <w:rsid w:val="00A116D2"/>
    <w:rsid w:val="00A137B4"/>
    <w:rsid w:val="00A13CEF"/>
    <w:rsid w:val="00A142F5"/>
    <w:rsid w:val="00A14852"/>
    <w:rsid w:val="00A1502A"/>
    <w:rsid w:val="00A15168"/>
    <w:rsid w:val="00A15A7E"/>
    <w:rsid w:val="00A15C50"/>
    <w:rsid w:val="00A15EC5"/>
    <w:rsid w:val="00A16169"/>
    <w:rsid w:val="00A16907"/>
    <w:rsid w:val="00A170A6"/>
    <w:rsid w:val="00A171AD"/>
    <w:rsid w:val="00A17329"/>
    <w:rsid w:val="00A1758D"/>
    <w:rsid w:val="00A17B66"/>
    <w:rsid w:val="00A20B1E"/>
    <w:rsid w:val="00A20B5B"/>
    <w:rsid w:val="00A210F0"/>
    <w:rsid w:val="00A214B8"/>
    <w:rsid w:val="00A21C0C"/>
    <w:rsid w:val="00A22ACB"/>
    <w:rsid w:val="00A22F6C"/>
    <w:rsid w:val="00A24032"/>
    <w:rsid w:val="00A255D7"/>
    <w:rsid w:val="00A25674"/>
    <w:rsid w:val="00A26D17"/>
    <w:rsid w:val="00A26EDB"/>
    <w:rsid w:val="00A2709A"/>
    <w:rsid w:val="00A27419"/>
    <w:rsid w:val="00A27B3C"/>
    <w:rsid w:val="00A27DD2"/>
    <w:rsid w:val="00A30E86"/>
    <w:rsid w:val="00A310DB"/>
    <w:rsid w:val="00A3114D"/>
    <w:rsid w:val="00A312FC"/>
    <w:rsid w:val="00A317A0"/>
    <w:rsid w:val="00A31D69"/>
    <w:rsid w:val="00A328F0"/>
    <w:rsid w:val="00A32BB8"/>
    <w:rsid w:val="00A3312B"/>
    <w:rsid w:val="00A33644"/>
    <w:rsid w:val="00A33AC2"/>
    <w:rsid w:val="00A3430D"/>
    <w:rsid w:val="00A34809"/>
    <w:rsid w:val="00A34F3B"/>
    <w:rsid w:val="00A35723"/>
    <w:rsid w:val="00A36389"/>
    <w:rsid w:val="00A37369"/>
    <w:rsid w:val="00A37748"/>
    <w:rsid w:val="00A405CE"/>
    <w:rsid w:val="00A41F99"/>
    <w:rsid w:val="00A42053"/>
    <w:rsid w:val="00A4212D"/>
    <w:rsid w:val="00A42236"/>
    <w:rsid w:val="00A424F1"/>
    <w:rsid w:val="00A42A1A"/>
    <w:rsid w:val="00A42AE1"/>
    <w:rsid w:val="00A42AED"/>
    <w:rsid w:val="00A42E17"/>
    <w:rsid w:val="00A441BD"/>
    <w:rsid w:val="00A44246"/>
    <w:rsid w:val="00A44650"/>
    <w:rsid w:val="00A44C74"/>
    <w:rsid w:val="00A44CA9"/>
    <w:rsid w:val="00A45381"/>
    <w:rsid w:val="00A455A0"/>
    <w:rsid w:val="00A45A56"/>
    <w:rsid w:val="00A45CB4"/>
    <w:rsid w:val="00A45DE1"/>
    <w:rsid w:val="00A46017"/>
    <w:rsid w:val="00A4646B"/>
    <w:rsid w:val="00A4698D"/>
    <w:rsid w:val="00A509AE"/>
    <w:rsid w:val="00A50B69"/>
    <w:rsid w:val="00A5155C"/>
    <w:rsid w:val="00A515D4"/>
    <w:rsid w:val="00A51C06"/>
    <w:rsid w:val="00A5239C"/>
    <w:rsid w:val="00A528D0"/>
    <w:rsid w:val="00A537AC"/>
    <w:rsid w:val="00A53B15"/>
    <w:rsid w:val="00A53E1C"/>
    <w:rsid w:val="00A54601"/>
    <w:rsid w:val="00A54A7D"/>
    <w:rsid w:val="00A55117"/>
    <w:rsid w:val="00A55793"/>
    <w:rsid w:val="00A55E46"/>
    <w:rsid w:val="00A56187"/>
    <w:rsid w:val="00A56CA1"/>
    <w:rsid w:val="00A570F5"/>
    <w:rsid w:val="00A57C18"/>
    <w:rsid w:val="00A605FF"/>
    <w:rsid w:val="00A61695"/>
    <w:rsid w:val="00A616BD"/>
    <w:rsid w:val="00A617ED"/>
    <w:rsid w:val="00A61D55"/>
    <w:rsid w:val="00A61DC4"/>
    <w:rsid w:val="00A63948"/>
    <w:rsid w:val="00A63C27"/>
    <w:rsid w:val="00A63ED7"/>
    <w:rsid w:val="00A642B5"/>
    <w:rsid w:val="00A64E4A"/>
    <w:rsid w:val="00A65D9D"/>
    <w:rsid w:val="00A663E3"/>
    <w:rsid w:val="00A6740F"/>
    <w:rsid w:val="00A675D3"/>
    <w:rsid w:val="00A67B72"/>
    <w:rsid w:val="00A70497"/>
    <w:rsid w:val="00A7068B"/>
    <w:rsid w:val="00A70804"/>
    <w:rsid w:val="00A70809"/>
    <w:rsid w:val="00A70A08"/>
    <w:rsid w:val="00A71AE5"/>
    <w:rsid w:val="00A737A1"/>
    <w:rsid w:val="00A7407D"/>
    <w:rsid w:val="00A7417A"/>
    <w:rsid w:val="00A741EF"/>
    <w:rsid w:val="00A746BE"/>
    <w:rsid w:val="00A74D1B"/>
    <w:rsid w:val="00A75D01"/>
    <w:rsid w:val="00A7604F"/>
    <w:rsid w:val="00A76F72"/>
    <w:rsid w:val="00A77694"/>
    <w:rsid w:val="00A80AED"/>
    <w:rsid w:val="00A81C2A"/>
    <w:rsid w:val="00A81D85"/>
    <w:rsid w:val="00A827EB"/>
    <w:rsid w:val="00A82F0D"/>
    <w:rsid w:val="00A8392B"/>
    <w:rsid w:val="00A83E32"/>
    <w:rsid w:val="00A83F98"/>
    <w:rsid w:val="00A83FB5"/>
    <w:rsid w:val="00A845C2"/>
    <w:rsid w:val="00A85F81"/>
    <w:rsid w:val="00A863B5"/>
    <w:rsid w:val="00A865EC"/>
    <w:rsid w:val="00A86D20"/>
    <w:rsid w:val="00A86D4B"/>
    <w:rsid w:val="00A87403"/>
    <w:rsid w:val="00A877C2"/>
    <w:rsid w:val="00A87BBF"/>
    <w:rsid w:val="00A90247"/>
    <w:rsid w:val="00A91483"/>
    <w:rsid w:val="00A922A6"/>
    <w:rsid w:val="00A92A09"/>
    <w:rsid w:val="00A93809"/>
    <w:rsid w:val="00A941DE"/>
    <w:rsid w:val="00A94778"/>
    <w:rsid w:val="00A94906"/>
    <w:rsid w:val="00A9502C"/>
    <w:rsid w:val="00A96037"/>
    <w:rsid w:val="00A9667E"/>
    <w:rsid w:val="00A9685D"/>
    <w:rsid w:val="00A97108"/>
    <w:rsid w:val="00A9727D"/>
    <w:rsid w:val="00A973A4"/>
    <w:rsid w:val="00A973CD"/>
    <w:rsid w:val="00A9754E"/>
    <w:rsid w:val="00AA0172"/>
    <w:rsid w:val="00AA0F87"/>
    <w:rsid w:val="00AA19F8"/>
    <w:rsid w:val="00AA2476"/>
    <w:rsid w:val="00AA2B68"/>
    <w:rsid w:val="00AA2E78"/>
    <w:rsid w:val="00AA2FA2"/>
    <w:rsid w:val="00AA317D"/>
    <w:rsid w:val="00AA40B9"/>
    <w:rsid w:val="00AA52A9"/>
    <w:rsid w:val="00AA5A1B"/>
    <w:rsid w:val="00AA603A"/>
    <w:rsid w:val="00AA61D0"/>
    <w:rsid w:val="00AA694C"/>
    <w:rsid w:val="00AA6B09"/>
    <w:rsid w:val="00AB0E11"/>
    <w:rsid w:val="00AB0E9A"/>
    <w:rsid w:val="00AB2146"/>
    <w:rsid w:val="00AB2284"/>
    <w:rsid w:val="00AB286C"/>
    <w:rsid w:val="00AB3CA2"/>
    <w:rsid w:val="00AB3E17"/>
    <w:rsid w:val="00AB40C1"/>
    <w:rsid w:val="00AB4C08"/>
    <w:rsid w:val="00AB5FAE"/>
    <w:rsid w:val="00AB5FCD"/>
    <w:rsid w:val="00AB6437"/>
    <w:rsid w:val="00AB654B"/>
    <w:rsid w:val="00AB663D"/>
    <w:rsid w:val="00AB75ED"/>
    <w:rsid w:val="00AB7634"/>
    <w:rsid w:val="00AB76F1"/>
    <w:rsid w:val="00AB795E"/>
    <w:rsid w:val="00AB7BD5"/>
    <w:rsid w:val="00AC0F11"/>
    <w:rsid w:val="00AC1220"/>
    <w:rsid w:val="00AC1EF0"/>
    <w:rsid w:val="00AC2904"/>
    <w:rsid w:val="00AC2DDA"/>
    <w:rsid w:val="00AC3205"/>
    <w:rsid w:val="00AC3783"/>
    <w:rsid w:val="00AC395E"/>
    <w:rsid w:val="00AC3CD7"/>
    <w:rsid w:val="00AC49B2"/>
    <w:rsid w:val="00AC4B0D"/>
    <w:rsid w:val="00AC5179"/>
    <w:rsid w:val="00AC531B"/>
    <w:rsid w:val="00AC587D"/>
    <w:rsid w:val="00AC5B85"/>
    <w:rsid w:val="00AC6716"/>
    <w:rsid w:val="00AC70D8"/>
    <w:rsid w:val="00AC757F"/>
    <w:rsid w:val="00AD00E7"/>
    <w:rsid w:val="00AD0F68"/>
    <w:rsid w:val="00AD15F0"/>
    <w:rsid w:val="00AD166C"/>
    <w:rsid w:val="00AD1AAE"/>
    <w:rsid w:val="00AD1D9B"/>
    <w:rsid w:val="00AD2568"/>
    <w:rsid w:val="00AD323A"/>
    <w:rsid w:val="00AD3711"/>
    <w:rsid w:val="00AD3CD2"/>
    <w:rsid w:val="00AD44D9"/>
    <w:rsid w:val="00AD5D4A"/>
    <w:rsid w:val="00AD6090"/>
    <w:rsid w:val="00AE0552"/>
    <w:rsid w:val="00AE06F0"/>
    <w:rsid w:val="00AE0C21"/>
    <w:rsid w:val="00AE21D0"/>
    <w:rsid w:val="00AE2A9E"/>
    <w:rsid w:val="00AE2C3C"/>
    <w:rsid w:val="00AE33AE"/>
    <w:rsid w:val="00AE356D"/>
    <w:rsid w:val="00AE3581"/>
    <w:rsid w:val="00AE3B77"/>
    <w:rsid w:val="00AE3CC1"/>
    <w:rsid w:val="00AE40BD"/>
    <w:rsid w:val="00AE44E3"/>
    <w:rsid w:val="00AE459F"/>
    <w:rsid w:val="00AE4913"/>
    <w:rsid w:val="00AE4AB3"/>
    <w:rsid w:val="00AE59F2"/>
    <w:rsid w:val="00AE6160"/>
    <w:rsid w:val="00AE6880"/>
    <w:rsid w:val="00AE7694"/>
    <w:rsid w:val="00AF12BE"/>
    <w:rsid w:val="00AF1D47"/>
    <w:rsid w:val="00AF2E76"/>
    <w:rsid w:val="00AF3257"/>
    <w:rsid w:val="00AF3849"/>
    <w:rsid w:val="00AF39AA"/>
    <w:rsid w:val="00AF4112"/>
    <w:rsid w:val="00AF43E0"/>
    <w:rsid w:val="00AF453A"/>
    <w:rsid w:val="00AF6308"/>
    <w:rsid w:val="00AF66BA"/>
    <w:rsid w:val="00AF6EB0"/>
    <w:rsid w:val="00AF7FF9"/>
    <w:rsid w:val="00B01A88"/>
    <w:rsid w:val="00B02750"/>
    <w:rsid w:val="00B02E47"/>
    <w:rsid w:val="00B032A8"/>
    <w:rsid w:val="00B035E5"/>
    <w:rsid w:val="00B0396D"/>
    <w:rsid w:val="00B03CC7"/>
    <w:rsid w:val="00B05A97"/>
    <w:rsid w:val="00B06067"/>
    <w:rsid w:val="00B06426"/>
    <w:rsid w:val="00B06DDD"/>
    <w:rsid w:val="00B06F72"/>
    <w:rsid w:val="00B07230"/>
    <w:rsid w:val="00B102C3"/>
    <w:rsid w:val="00B1084C"/>
    <w:rsid w:val="00B10D46"/>
    <w:rsid w:val="00B11F55"/>
    <w:rsid w:val="00B13238"/>
    <w:rsid w:val="00B136CF"/>
    <w:rsid w:val="00B136EA"/>
    <w:rsid w:val="00B159AF"/>
    <w:rsid w:val="00B167B8"/>
    <w:rsid w:val="00B16EBE"/>
    <w:rsid w:val="00B17210"/>
    <w:rsid w:val="00B1796D"/>
    <w:rsid w:val="00B20637"/>
    <w:rsid w:val="00B20733"/>
    <w:rsid w:val="00B20B99"/>
    <w:rsid w:val="00B22372"/>
    <w:rsid w:val="00B22641"/>
    <w:rsid w:val="00B22A1E"/>
    <w:rsid w:val="00B22AD1"/>
    <w:rsid w:val="00B22DC3"/>
    <w:rsid w:val="00B22EB4"/>
    <w:rsid w:val="00B2502B"/>
    <w:rsid w:val="00B25B2E"/>
    <w:rsid w:val="00B25C9A"/>
    <w:rsid w:val="00B25DF3"/>
    <w:rsid w:val="00B26846"/>
    <w:rsid w:val="00B26958"/>
    <w:rsid w:val="00B26A9D"/>
    <w:rsid w:val="00B26B20"/>
    <w:rsid w:val="00B27C37"/>
    <w:rsid w:val="00B3005A"/>
    <w:rsid w:val="00B30542"/>
    <w:rsid w:val="00B311BD"/>
    <w:rsid w:val="00B31382"/>
    <w:rsid w:val="00B31760"/>
    <w:rsid w:val="00B31C78"/>
    <w:rsid w:val="00B31E6F"/>
    <w:rsid w:val="00B31E77"/>
    <w:rsid w:val="00B324C2"/>
    <w:rsid w:val="00B3298B"/>
    <w:rsid w:val="00B32CD3"/>
    <w:rsid w:val="00B3300A"/>
    <w:rsid w:val="00B34A9A"/>
    <w:rsid w:val="00B35053"/>
    <w:rsid w:val="00B350BA"/>
    <w:rsid w:val="00B35425"/>
    <w:rsid w:val="00B35548"/>
    <w:rsid w:val="00B363A0"/>
    <w:rsid w:val="00B366BA"/>
    <w:rsid w:val="00B36DA2"/>
    <w:rsid w:val="00B37441"/>
    <w:rsid w:val="00B37515"/>
    <w:rsid w:val="00B3752D"/>
    <w:rsid w:val="00B37AF4"/>
    <w:rsid w:val="00B37E0D"/>
    <w:rsid w:val="00B40511"/>
    <w:rsid w:val="00B40F84"/>
    <w:rsid w:val="00B40FDE"/>
    <w:rsid w:val="00B4117C"/>
    <w:rsid w:val="00B425C6"/>
    <w:rsid w:val="00B429A4"/>
    <w:rsid w:val="00B42F2D"/>
    <w:rsid w:val="00B43091"/>
    <w:rsid w:val="00B432D6"/>
    <w:rsid w:val="00B44422"/>
    <w:rsid w:val="00B4500B"/>
    <w:rsid w:val="00B45979"/>
    <w:rsid w:val="00B45EBC"/>
    <w:rsid w:val="00B46230"/>
    <w:rsid w:val="00B46370"/>
    <w:rsid w:val="00B474E7"/>
    <w:rsid w:val="00B47910"/>
    <w:rsid w:val="00B479D8"/>
    <w:rsid w:val="00B47B5B"/>
    <w:rsid w:val="00B5040F"/>
    <w:rsid w:val="00B5071A"/>
    <w:rsid w:val="00B50D18"/>
    <w:rsid w:val="00B51112"/>
    <w:rsid w:val="00B516A9"/>
    <w:rsid w:val="00B518B6"/>
    <w:rsid w:val="00B51CE8"/>
    <w:rsid w:val="00B52061"/>
    <w:rsid w:val="00B531E2"/>
    <w:rsid w:val="00B53DBA"/>
    <w:rsid w:val="00B53FA7"/>
    <w:rsid w:val="00B541D2"/>
    <w:rsid w:val="00B54558"/>
    <w:rsid w:val="00B55E47"/>
    <w:rsid w:val="00B56883"/>
    <w:rsid w:val="00B56DE4"/>
    <w:rsid w:val="00B56E31"/>
    <w:rsid w:val="00B57EF6"/>
    <w:rsid w:val="00B607C4"/>
    <w:rsid w:val="00B60E27"/>
    <w:rsid w:val="00B61062"/>
    <w:rsid w:val="00B6144B"/>
    <w:rsid w:val="00B61E02"/>
    <w:rsid w:val="00B62134"/>
    <w:rsid w:val="00B6223B"/>
    <w:rsid w:val="00B62AC9"/>
    <w:rsid w:val="00B630FB"/>
    <w:rsid w:val="00B637E4"/>
    <w:rsid w:val="00B63D3B"/>
    <w:rsid w:val="00B63F02"/>
    <w:rsid w:val="00B65B32"/>
    <w:rsid w:val="00B660E9"/>
    <w:rsid w:val="00B661A2"/>
    <w:rsid w:val="00B669C4"/>
    <w:rsid w:val="00B66AD6"/>
    <w:rsid w:val="00B66B5E"/>
    <w:rsid w:val="00B67CD0"/>
    <w:rsid w:val="00B70441"/>
    <w:rsid w:val="00B705AA"/>
    <w:rsid w:val="00B7064A"/>
    <w:rsid w:val="00B70785"/>
    <w:rsid w:val="00B707FC"/>
    <w:rsid w:val="00B70BFD"/>
    <w:rsid w:val="00B716DC"/>
    <w:rsid w:val="00B7181C"/>
    <w:rsid w:val="00B724E1"/>
    <w:rsid w:val="00B72C1E"/>
    <w:rsid w:val="00B72DD1"/>
    <w:rsid w:val="00B72F0A"/>
    <w:rsid w:val="00B731F0"/>
    <w:rsid w:val="00B73CDA"/>
    <w:rsid w:val="00B73D8E"/>
    <w:rsid w:val="00B746D7"/>
    <w:rsid w:val="00B74A87"/>
    <w:rsid w:val="00B74B45"/>
    <w:rsid w:val="00B752F0"/>
    <w:rsid w:val="00B76067"/>
    <w:rsid w:val="00B7638A"/>
    <w:rsid w:val="00B76431"/>
    <w:rsid w:val="00B76D67"/>
    <w:rsid w:val="00B770BB"/>
    <w:rsid w:val="00B81314"/>
    <w:rsid w:val="00B81899"/>
    <w:rsid w:val="00B81E54"/>
    <w:rsid w:val="00B8287E"/>
    <w:rsid w:val="00B82EEC"/>
    <w:rsid w:val="00B83AAB"/>
    <w:rsid w:val="00B84732"/>
    <w:rsid w:val="00B84CAF"/>
    <w:rsid w:val="00B84FCC"/>
    <w:rsid w:val="00B85AEA"/>
    <w:rsid w:val="00B867C3"/>
    <w:rsid w:val="00B868FD"/>
    <w:rsid w:val="00B869B4"/>
    <w:rsid w:val="00B87124"/>
    <w:rsid w:val="00B8798D"/>
    <w:rsid w:val="00B87F73"/>
    <w:rsid w:val="00B90725"/>
    <w:rsid w:val="00B90F45"/>
    <w:rsid w:val="00B9114C"/>
    <w:rsid w:val="00B91215"/>
    <w:rsid w:val="00B91276"/>
    <w:rsid w:val="00B91327"/>
    <w:rsid w:val="00B917E7"/>
    <w:rsid w:val="00B919CD"/>
    <w:rsid w:val="00B91BA5"/>
    <w:rsid w:val="00B9279E"/>
    <w:rsid w:val="00B92881"/>
    <w:rsid w:val="00B9337C"/>
    <w:rsid w:val="00B935A2"/>
    <w:rsid w:val="00B93761"/>
    <w:rsid w:val="00B948ED"/>
    <w:rsid w:val="00B94BE3"/>
    <w:rsid w:val="00B9601C"/>
    <w:rsid w:val="00B97294"/>
    <w:rsid w:val="00B97473"/>
    <w:rsid w:val="00BA026C"/>
    <w:rsid w:val="00BA05BA"/>
    <w:rsid w:val="00BA0659"/>
    <w:rsid w:val="00BA0ADF"/>
    <w:rsid w:val="00BA0B6E"/>
    <w:rsid w:val="00BA10CC"/>
    <w:rsid w:val="00BA140F"/>
    <w:rsid w:val="00BA16AA"/>
    <w:rsid w:val="00BA1B9B"/>
    <w:rsid w:val="00BA1C46"/>
    <w:rsid w:val="00BA1E34"/>
    <w:rsid w:val="00BA248C"/>
    <w:rsid w:val="00BA2B21"/>
    <w:rsid w:val="00BA2EA8"/>
    <w:rsid w:val="00BA4735"/>
    <w:rsid w:val="00BA475F"/>
    <w:rsid w:val="00BA4B11"/>
    <w:rsid w:val="00BA51B3"/>
    <w:rsid w:val="00BA520F"/>
    <w:rsid w:val="00BA5458"/>
    <w:rsid w:val="00BA5600"/>
    <w:rsid w:val="00BA5980"/>
    <w:rsid w:val="00BA6A41"/>
    <w:rsid w:val="00BA6B5A"/>
    <w:rsid w:val="00BA7195"/>
    <w:rsid w:val="00BA7BAF"/>
    <w:rsid w:val="00BB03FC"/>
    <w:rsid w:val="00BB0410"/>
    <w:rsid w:val="00BB0509"/>
    <w:rsid w:val="00BB079E"/>
    <w:rsid w:val="00BB1A2B"/>
    <w:rsid w:val="00BB1A86"/>
    <w:rsid w:val="00BB233D"/>
    <w:rsid w:val="00BB2B19"/>
    <w:rsid w:val="00BB3943"/>
    <w:rsid w:val="00BB41E8"/>
    <w:rsid w:val="00BB4BF1"/>
    <w:rsid w:val="00BB4C22"/>
    <w:rsid w:val="00BB559D"/>
    <w:rsid w:val="00BB6368"/>
    <w:rsid w:val="00BB6600"/>
    <w:rsid w:val="00BB6F23"/>
    <w:rsid w:val="00BC045B"/>
    <w:rsid w:val="00BC05FA"/>
    <w:rsid w:val="00BC0AA3"/>
    <w:rsid w:val="00BC205F"/>
    <w:rsid w:val="00BC2726"/>
    <w:rsid w:val="00BC2C6D"/>
    <w:rsid w:val="00BC3032"/>
    <w:rsid w:val="00BC308B"/>
    <w:rsid w:val="00BC36AB"/>
    <w:rsid w:val="00BC3A7B"/>
    <w:rsid w:val="00BC3EED"/>
    <w:rsid w:val="00BC561F"/>
    <w:rsid w:val="00BC5870"/>
    <w:rsid w:val="00BC5C80"/>
    <w:rsid w:val="00BC6159"/>
    <w:rsid w:val="00BC6CD9"/>
    <w:rsid w:val="00BC6FA4"/>
    <w:rsid w:val="00BC7AFC"/>
    <w:rsid w:val="00BD0535"/>
    <w:rsid w:val="00BD06F9"/>
    <w:rsid w:val="00BD0AD0"/>
    <w:rsid w:val="00BD1057"/>
    <w:rsid w:val="00BD11F6"/>
    <w:rsid w:val="00BD2B2A"/>
    <w:rsid w:val="00BD2F2D"/>
    <w:rsid w:val="00BD4A2F"/>
    <w:rsid w:val="00BD4DAA"/>
    <w:rsid w:val="00BD590F"/>
    <w:rsid w:val="00BD59BF"/>
    <w:rsid w:val="00BD62D1"/>
    <w:rsid w:val="00BD6633"/>
    <w:rsid w:val="00BD69B3"/>
    <w:rsid w:val="00BD6C3B"/>
    <w:rsid w:val="00BD6E12"/>
    <w:rsid w:val="00BE013F"/>
    <w:rsid w:val="00BE1338"/>
    <w:rsid w:val="00BE154B"/>
    <w:rsid w:val="00BE188D"/>
    <w:rsid w:val="00BE190D"/>
    <w:rsid w:val="00BE230C"/>
    <w:rsid w:val="00BE24E5"/>
    <w:rsid w:val="00BE2E14"/>
    <w:rsid w:val="00BE3120"/>
    <w:rsid w:val="00BE3198"/>
    <w:rsid w:val="00BE39B1"/>
    <w:rsid w:val="00BE4AEB"/>
    <w:rsid w:val="00BE5676"/>
    <w:rsid w:val="00BE597A"/>
    <w:rsid w:val="00BE59DF"/>
    <w:rsid w:val="00BE5EEC"/>
    <w:rsid w:val="00BE6603"/>
    <w:rsid w:val="00BE7448"/>
    <w:rsid w:val="00BE757A"/>
    <w:rsid w:val="00BE7F90"/>
    <w:rsid w:val="00BF044C"/>
    <w:rsid w:val="00BF0CC1"/>
    <w:rsid w:val="00BF0D86"/>
    <w:rsid w:val="00BF2BF6"/>
    <w:rsid w:val="00BF4A74"/>
    <w:rsid w:val="00BF5287"/>
    <w:rsid w:val="00BF5B4C"/>
    <w:rsid w:val="00BF5BF3"/>
    <w:rsid w:val="00BF6077"/>
    <w:rsid w:val="00BF65DE"/>
    <w:rsid w:val="00C00D48"/>
    <w:rsid w:val="00C02392"/>
    <w:rsid w:val="00C02DB5"/>
    <w:rsid w:val="00C03278"/>
    <w:rsid w:val="00C03BAD"/>
    <w:rsid w:val="00C042C0"/>
    <w:rsid w:val="00C04378"/>
    <w:rsid w:val="00C0455A"/>
    <w:rsid w:val="00C0577F"/>
    <w:rsid w:val="00C05B7C"/>
    <w:rsid w:val="00C06694"/>
    <w:rsid w:val="00C10A36"/>
    <w:rsid w:val="00C11655"/>
    <w:rsid w:val="00C11FEF"/>
    <w:rsid w:val="00C12405"/>
    <w:rsid w:val="00C12817"/>
    <w:rsid w:val="00C1315C"/>
    <w:rsid w:val="00C135BA"/>
    <w:rsid w:val="00C13D0A"/>
    <w:rsid w:val="00C13F78"/>
    <w:rsid w:val="00C14044"/>
    <w:rsid w:val="00C14875"/>
    <w:rsid w:val="00C1581D"/>
    <w:rsid w:val="00C15D14"/>
    <w:rsid w:val="00C1683F"/>
    <w:rsid w:val="00C16A0F"/>
    <w:rsid w:val="00C17595"/>
    <w:rsid w:val="00C17A96"/>
    <w:rsid w:val="00C17DD5"/>
    <w:rsid w:val="00C204E5"/>
    <w:rsid w:val="00C20F98"/>
    <w:rsid w:val="00C20FC1"/>
    <w:rsid w:val="00C21B1B"/>
    <w:rsid w:val="00C2225D"/>
    <w:rsid w:val="00C22CA6"/>
    <w:rsid w:val="00C231D2"/>
    <w:rsid w:val="00C248B9"/>
    <w:rsid w:val="00C2490A"/>
    <w:rsid w:val="00C24BA1"/>
    <w:rsid w:val="00C24FC5"/>
    <w:rsid w:val="00C25103"/>
    <w:rsid w:val="00C251F2"/>
    <w:rsid w:val="00C2564B"/>
    <w:rsid w:val="00C256A9"/>
    <w:rsid w:val="00C256EC"/>
    <w:rsid w:val="00C26524"/>
    <w:rsid w:val="00C268BF"/>
    <w:rsid w:val="00C26AB4"/>
    <w:rsid w:val="00C26B31"/>
    <w:rsid w:val="00C26F60"/>
    <w:rsid w:val="00C27090"/>
    <w:rsid w:val="00C2762C"/>
    <w:rsid w:val="00C27C9A"/>
    <w:rsid w:val="00C27C9D"/>
    <w:rsid w:val="00C30230"/>
    <w:rsid w:val="00C30C66"/>
    <w:rsid w:val="00C3136E"/>
    <w:rsid w:val="00C31C03"/>
    <w:rsid w:val="00C31F5F"/>
    <w:rsid w:val="00C32E1B"/>
    <w:rsid w:val="00C33601"/>
    <w:rsid w:val="00C3390A"/>
    <w:rsid w:val="00C34409"/>
    <w:rsid w:val="00C34611"/>
    <w:rsid w:val="00C353ED"/>
    <w:rsid w:val="00C357A9"/>
    <w:rsid w:val="00C3622A"/>
    <w:rsid w:val="00C36BD1"/>
    <w:rsid w:val="00C37374"/>
    <w:rsid w:val="00C37BD7"/>
    <w:rsid w:val="00C37C0E"/>
    <w:rsid w:val="00C37C66"/>
    <w:rsid w:val="00C37E85"/>
    <w:rsid w:val="00C401E6"/>
    <w:rsid w:val="00C40227"/>
    <w:rsid w:val="00C408B4"/>
    <w:rsid w:val="00C40FE0"/>
    <w:rsid w:val="00C41EBE"/>
    <w:rsid w:val="00C4257F"/>
    <w:rsid w:val="00C42DBD"/>
    <w:rsid w:val="00C43BC2"/>
    <w:rsid w:val="00C44AE6"/>
    <w:rsid w:val="00C45FE4"/>
    <w:rsid w:val="00C4679E"/>
    <w:rsid w:val="00C4699A"/>
    <w:rsid w:val="00C46AA3"/>
    <w:rsid w:val="00C47A1E"/>
    <w:rsid w:val="00C50048"/>
    <w:rsid w:val="00C5076F"/>
    <w:rsid w:val="00C5089F"/>
    <w:rsid w:val="00C51AFD"/>
    <w:rsid w:val="00C51E61"/>
    <w:rsid w:val="00C52006"/>
    <w:rsid w:val="00C528C3"/>
    <w:rsid w:val="00C538E4"/>
    <w:rsid w:val="00C53ADB"/>
    <w:rsid w:val="00C54D59"/>
    <w:rsid w:val="00C561F7"/>
    <w:rsid w:val="00C56324"/>
    <w:rsid w:val="00C56B53"/>
    <w:rsid w:val="00C57140"/>
    <w:rsid w:val="00C5781F"/>
    <w:rsid w:val="00C611A3"/>
    <w:rsid w:val="00C616CD"/>
    <w:rsid w:val="00C616EE"/>
    <w:rsid w:val="00C620EF"/>
    <w:rsid w:val="00C623F8"/>
    <w:rsid w:val="00C62442"/>
    <w:rsid w:val="00C62B85"/>
    <w:rsid w:val="00C62DC4"/>
    <w:rsid w:val="00C63F33"/>
    <w:rsid w:val="00C64280"/>
    <w:rsid w:val="00C6433A"/>
    <w:rsid w:val="00C643A2"/>
    <w:rsid w:val="00C64D02"/>
    <w:rsid w:val="00C64D81"/>
    <w:rsid w:val="00C650CA"/>
    <w:rsid w:val="00C65E6C"/>
    <w:rsid w:val="00C6659C"/>
    <w:rsid w:val="00C665E8"/>
    <w:rsid w:val="00C6715D"/>
    <w:rsid w:val="00C67799"/>
    <w:rsid w:val="00C677BC"/>
    <w:rsid w:val="00C67EFA"/>
    <w:rsid w:val="00C701E4"/>
    <w:rsid w:val="00C710ED"/>
    <w:rsid w:val="00C71A18"/>
    <w:rsid w:val="00C726A9"/>
    <w:rsid w:val="00C7507C"/>
    <w:rsid w:val="00C752EA"/>
    <w:rsid w:val="00C75D6E"/>
    <w:rsid w:val="00C7712B"/>
    <w:rsid w:val="00C77728"/>
    <w:rsid w:val="00C77A2D"/>
    <w:rsid w:val="00C83736"/>
    <w:rsid w:val="00C840AE"/>
    <w:rsid w:val="00C84842"/>
    <w:rsid w:val="00C84C39"/>
    <w:rsid w:val="00C84E2B"/>
    <w:rsid w:val="00C85FB3"/>
    <w:rsid w:val="00C87AEA"/>
    <w:rsid w:val="00C9049F"/>
    <w:rsid w:val="00C904DC"/>
    <w:rsid w:val="00C90EB3"/>
    <w:rsid w:val="00C91EB6"/>
    <w:rsid w:val="00C921ED"/>
    <w:rsid w:val="00C92287"/>
    <w:rsid w:val="00C9398B"/>
    <w:rsid w:val="00C93CA6"/>
    <w:rsid w:val="00C93F0F"/>
    <w:rsid w:val="00C9433A"/>
    <w:rsid w:val="00C94D8D"/>
    <w:rsid w:val="00C9575E"/>
    <w:rsid w:val="00C9587B"/>
    <w:rsid w:val="00CA037C"/>
    <w:rsid w:val="00CA146D"/>
    <w:rsid w:val="00CA288F"/>
    <w:rsid w:val="00CA2AFE"/>
    <w:rsid w:val="00CA3AAE"/>
    <w:rsid w:val="00CA4B05"/>
    <w:rsid w:val="00CA4BC4"/>
    <w:rsid w:val="00CA4C6E"/>
    <w:rsid w:val="00CA4E1F"/>
    <w:rsid w:val="00CA599B"/>
    <w:rsid w:val="00CA614F"/>
    <w:rsid w:val="00CA61FE"/>
    <w:rsid w:val="00CA6FBA"/>
    <w:rsid w:val="00CA71F3"/>
    <w:rsid w:val="00CA7466"/>
    <w:rsid w:val="00CA7CA3"/>
    <w:rsid w:val="00CB00D8"/>
    <w:rsid w:val="00CB10FA"/>
    <w:rsid w:val="00CB3134"/>
    <w:rsid w:val="00CB318C"/>
    <w:rsid w:val="00CB3458"/>
    <w:rsid w:val="00CB345B"/>
    <w:rsid w:val="00CB3814"/>
    <w:rsid w:val="00CB45B7"/>
    <w:rsid w:val="00CB4FE2"/>
    <w:rsid w:val="00CB5BD9"/>
    <w:rsid w:val="00CB6C76"/>
    <w:rsid w:val="00CB73F6"/>
    <w:rsid w:val="00CC0C85"/>
    <w:rsid w:val="00CC181E"/>
    <w:rsid w:val="00CC182F"/>
    <w:rsid w:val="00CC1B3C"/>
    <w:rsid w:val="00CC204D"/>
    <w:rsid w:val="00CC2485"/>
    <w:rsid w:val="00CC24A0"/>
    <w:rsid w:val="00CC26F5"/>
    <w:rsid w:val="00CC2734"/>
    <w:rsid w:val="00CC2924"/>
    <w:rsid w:val="00CC30BC"/>
    <w:rsid w:val="00CC30F7"/>
    <w:rsid w:val="00CC3996"/>
    <w:rsid w:val="00CC3E5C"/>
    <w:rsid w:val="00CC4463"/>
    <w:rsid w:val="00CC4C42"/>
    <w:rsid w:val="00CC5309"/>
    <w:rsid w:val="00CC56AB"/>
    <w:rsid w:val="00CC60A1"/>
    <w:rsid w:val="00CC65E5"/>
    <w:rsid w:val="00CC6717"/>
    <w:rsid w:val="00CC6C80"/>
    <w:rsid w:val="00CC6D76"/>
    <w:rsid w:val="00CC6F84"/>
    <w:rsid w:val="00CC719C"/>
    <w:rsid w:val="00CC71B6"/>
    <w:rsid w:val="00CC7771"/>
    <w:rsid w:val="00CC7AD3"/>
    <w:rsid w:val="00CD0284"/>
    <w:rsid w:val="00CD060D"/>
    <w:rsid w:val="00CD08F2"/>
    <w:rsid w:val="00CD13C2"/>
    <w:rsid w:val="00CD1760"/>
    <w:rsid w:val="00CD1776"/>
    <w:rsid w:val="00CD198B"/>
    <w:rsid w:val="00CD1997"/>
    <w:rsid w:val="00CD1D09"/>
    <w:rsid w:val="00CD1E3A"/>
    <w:rsid w:val="00CD302E"/>
    <w:rsid w:val="00CD3EFD"/>
    <w:rsid w:val="00CD4ADC"/>
    <w:rsid w:val="00CD5D16"/>
    <w:rsid w:val="00CD6DDB"/>
    <w:rsid w:val="00CD7FCD"/>
    <w:rsid w:val="00CE0657"/>
    <w:rsid w:val="00CE0A6F"/>
    <w:rsid w:val="00CE1526"/>
    <w:rsid w:val="00CE17FB"/>
    <w:rsid w:val="00CE27A4"/>
    <w:rsid w:val="00CE2A3B"/>
    <w:rsid w:val="00CE3085"/>
    <w:rsid w:val="00CE362F"/>
    <w:rsid w:val="00CE367C"/>
    <w:rsid w:val="00CE3FB1"/>
    <w:rsid w:val="00CE4A5D"/>
    <w:rsid w:val="00CE520E"/>
    <w:rsid w:val="00CE5396"/>
    <w:rsid w:val="00CE56D0"/>
    <w:rsid w:val="00CE6B50"/>
    <w:rsid w:val="00CE6B93"/>
    <w:rsid w:val="00CE73E6"/>
    <w:rsid w:val="00CE77E9"/>
    <w:rsid w:val="00CE783E"/>
    <w:rsid w:val="00CE7896"/>
    <w:rsid w:val="00CE792E"/>
    <w:rsid w:val="00CF0014"/>
    <w:rsid w:val="00CF0355"/>
    <w:rsid w:val="00CF03FF"/>
    <w:rsid w:val="00CF051C"/>
    <w:rsid w:val="00CF0587"/>
    <w:rsid w:val="00CF1301"/>
    <w:rsid w:val="00CF147A"/>
    <w:rsid w:val="00CF1AF3"/>
    <w:rsid w:val="00CF26BA"/>
    <w:rsid w:val="00CF2D3B"/>
    <w:rsid w:val="00CF38CD"/>
    <w:rsid w:val="00CF3FAF"/>
    <w:rsid w:val="00CF513F"/>
    <w:rsid w:val="00CF5767"/>
    <w:rsid w:val="00CF5D7A"/>
    <w:rsid w:val="00CF5E83"/>
    <w:rsid w:val="00CF6555"/>
    <w:rsid w:val="00CF65F8"/>
    <w:rsid w:val="00CF7BB6"/>
    <w:rsid w:val="00CF7D7B"/>
    <w:rsid w:val="00D00038"/>
    <w:rsid w:val="00D004A9"/>
    <w:rsid w:val="00D0062A"/>
    <w:rsid w:val="00D00C25"/>
    <w:rsid w:val="00D0154F"/>
    <w:rsid w:val="00D01FCD"/>
    <w:rsid w:val="00D023D8"/>
    <w:rsid w:val="00D0264F"/>
    <w:rsid w:val="00D033AB"/>
    <w:rsid w:val="00D0425F"/>
    <w:rsid w:val="00D0479C"/>
    <w:rsid w:val="00D05111"/>
    <w:rsid w:val="00D05AAF"/>
    <w:rsid w:val="00D060CE"/>
    <w:rsid w:val="00D0665F"/>
    <w:rsid w:val="00D0718D"/>
    <w:rsid w:val="00D071DF"/>
    <w:rsid w:val="00D0762C"/>
    <w:rsid w:val="00D07CED"/>
    <w:rsid w:val="00D07F00"/>
    <w:rsid w:val="00D10058"/>
    <w:rsid w:val="00D11049"/>
    <w:rsid w:val="00D1133D"/>
    <w:rsid w:val="00D11378"/>
    <w:rsid w:val="00D1167C"/>
    <w:rsid w:val="00D11782"/>
    <w:rsid w:val="00D11DD1"/>
    <w:rsid w:val="00D11E5B"/>
    <w:rsid w:val="00D123CD"/>
    <w:rsid w:val="00D12665"/>
    <w:rsid w:val="00D1283C"/>
    <w:rsid w:val="00D12A2F"/>
    <w:rsid w:val="00D12A62"/>
    <w:rsid w:val="00D13400"/>
    <w:rsid w:val="00D1456A"/>
    <w:rsid w:val="00D1459C"/>
    <w:rsid w:val="00D14788"/>
    <w:rsid w:val="00D14ABA"/>
    <w:rsid w:val="00D14D7B"/>
    <w:rsid w:val="00D15395"/>
    <w:rsid w:val="00D15AD6"/>
    <w:rsid w:val="00D15C92"/>
    <w:rsid w:val="00D16C32"/>
    <w:rsid w:val="00D176AF"/>
    <w:rsid w:val="00D20134"/>
    <w:rsid w:val="00D2031A"/>
    <w:rsid w:val="00D22C76"/>
    <w:rsid w:val="00D22EDB"/>
    <w:rsid w:val="00D234AB"/>
    <w:rsid w:val="00D252ED"/>
    <w:rsid w:val="00D25555"/>
    <w:rsid w:val="00D259AF"/>
    <w:rsid w:val="00D25E8C"/>
    <w:rsid w:val="00D265E3"/>
    <w:rsid w:val="00D26B82"/>
    <w:rsid w:val="00D26CC6"/>
    <w:rsid w:val="00D26D52"/>
    <w:rsid w:val="00D27CFB"/>
    <w:rsid w:val="00D27DD2"/>
    <w:rsid w:val="00D307EF"/>
    <w:rsid w:val="00D309BB"/>
    <w:rsid w:val="00D30D4E"/>
    <w:rsid w:val="00D30F2A"/>
    <w:rsid w:val="00D3149E"/>
    <w:rsid w:val="00D31690"/>
    <w:rsid w:val="00D318AE"/>
    <w:rsid w:val="00D31B1B"/>
    <w:rsid w:val="00D31F65"/>
    <w:rsid w:val="00D3248F"/>
    <w:rsid w:val="00D32A82"/>
    <w:rsid w:val="00D3337F"/>
    <w:rsid w:val="00D33481"/>
    <w:rsid w:val="00D34026"/>
    <w:rsid w:val="00D3439E"/>
    <w:rsid w:val="00D348D6"/>
    <w:rsid w:val="00D34E3F"/>
    <w:rsid w:val="00D34F49"/>
    <w:rsid w:val="00D34F4B"/>
    <w:rsid w:val="00D354EC"/>
    <w:rsid w:val="00D355E5"/>
    <w:rsid w:val="00D35ABA"/>
    <w:rsid w:val="00D36646"/>
    <w:rsid w:val="00D368D1"/>
    <w:rsid w:val="00D36CE5"/>
    <w:rsid w:val="00D400CA"/>
    <w:rsid w:val="00D4088D"/>
    <w:rsid w:val="00D409CD"/>
    <w:rsid w:val="00D40D97"/>
    <w:rsid w:val="00D411E8"/>
    <w:rsid w:val="00D4128F"/>
    <w:rsid w:val="00D413A4"/>
    <w:rsid w:val="00D418D5"/>
    <w:rsid w:val="00D4296A"/>
    <w:rsid w:val="00D42DE4"/>
    <w:rsid w:val="00D434BC"/>
    <w:rsid w:val="00D4350B"/>
    <w:rsid w:val="00D43582"/>
    <w:rsid w:val="00D437B4"/>
    <w:rsid w:val="00D43C6E"/>
    <w:rsid w:val="00D448CD"/>
    <w:rsid w:val="00D44908"/>
    <w:rsid w:val="00D4616C"/>
    <w:rsid w:val="00D46710"/>
    <w:rsid w:val="00D467C7"/>
    <w:rsid w:val="00D472C4"/>
    <w:rsid w:val="00D47BB3"/>
    <w:rsid w:val="00D47BBA"/>
    <w:rsid w:val="00D47BFC"/>
    <w:rsid w:val="00D47CF1"/>
    <w:rsid w:val="00D47F54"/>
    <w:rsid w:val="00D50C29"/>
    <w:rsid w:val="00D51DE9"/>
    <w:rsid w:val="00D51E49"/>
    <w:rsid w:val="00D51E4F"/>
    <w:rsid w:val="00D525D8"/>
    <w:rsid w:val="00D52DD5"/>
    <w:rsid w:val="00D535A2"/>
    <w:rsid w:val="00D53C95"/>
    <w:rsid w:val="00D53F39"/>
    <w:rsid w:val="00D540BA"/>
    <w:rsid w:val="00D54C52"/>
    <w:rsid w:val="00D55D43"/>
    <w:rsid w:val="00D55D9A"/>
    <w:rsid w:val="00D55FB8"/>
    <w:rsid w:val="00D56136"/>
    <w:rsid w:val="00D564CF"/>
    <w:rsid w:val="00D565AE"/>
    <w:rsid w:val="00D567EF"/>
    <w:rsid w:val="00D575F1"/>
    <w:rsid w:val="00D5773F"/>
    <w:rsid w:val="00D57C5A"/>
    <w:rsid w:val="00D602C2"/>
    <w:rsid w:val="00D60622"/>
    <w:rsid w:val="00D60878"/>
    <w:rsid w:val="00D61C56"/>
    <w:rsid w:val="00D62A4B"/>
    <w:rsid w:val="00D640DB"/>
    <w:rsid w:val="00D64B7E"/>
    <w:rsid w:val="00D64D33"/>
    <w:rsid w:val="00D65057"/>
    <w:rsid w:val="00D6537A"/>
    <w:rsid w:val="00D65465"/>
    <w:rsid w:val="00D65C85"/>
    <w:rsid w:val="00D65D63"/>
    <w:rsid w:val="00D66E29"/>
    <w:rsid w:val="00D671E2"/>
    <w:rsid w:val="00D7005E"/>
    <w:rsid w:val="00D706E9"/>
    <w:rsid w:val="00D71111"/>
    <w:rsid w:val="00D71344"/>
    <w:rsid w:val="00D716A2"/>
    <w:rsid w:val="00D71BB4"/>
    <w:rsid w:val="00D7255A"/>
    <w:rsid w:val="00D726BF"/>
    <w:rsid w:val="00D73C85"/>
    <w:rsid w:val="00D740E2"/>
    <w:rsid w:val="00D740FC"/>
    <w:rsid w:val="00D745F7"/>
    <w:rsid w:val="00D74EE5"/>
    <w:rsid w:val="00D7563F"/>
    <w:rsid w:val="00D76610"/>
    <w:rsid w:val="00D766C8"/>
    <w:rsid w:val="00D769AA"/>
    <w:rsid w:val="00D778EB"/>
    <w:rsid w:val="00D77B9B"/>
    <w:rsid w:val="00D802DC"/>
    <w:rsid w:val="00D805F5"/>
    <w:rsid w:val="00D807D3"/>
    <w:rsid w:val="00D82153"/>
    <w:rsid w:val="00D82C62"/>
    <w:rsid w:val="00D82F37"/>
    <w:rsid w:val="00D82FBC"/>
    <w:rsid w:val="00D8327E"/>
    <w:rsid w:val="00D837F6"/>
    <w:rsid w:val="00D841EC"/>
    <w:rsid w:val="00D84F59"/>
    <w:rsid w:val="00D85494"/>
    <w:rsid w:val="00D8569D"/>
    <w:rsid w:val="00D85BDC"/>
    <w:rsid w:val="00D85D05"/>
    <w:rsid w:val="00D874C1"/>
    <w:rsid w:val="00D90304"/>
    <w:rsid w:val="00D90A27"/>
    <w:rsid w:val="00D9124E"/>
    <w:rsid w:val="00D9141C"/>
    <w:rsid w:val="00D91511"/>
    <w:rsid w:val="00D91B0D"/>
    <w:rsid w:val="00D91EF2"/>
    <w:rsid w:val="00D9208F"/>
    <w:rsid w:val="00D920AF"/>
    <w:rsid w:val="00D9226C"/>
    <w:rsid w:val="00D9242F"/>
    <w:rsid w:val="00D92DC9"/>
    <w:rsid w:val="00D92DF2"/>
    <w:rsid w:val="00D938DA"/>
    <w:rsid w:val="00D93CCF"/>
    <w:rsid w:val="00D93D02"/>
    <w:rsid w:val="00D942B1"/>
    <w:rsid w:val="00D944EF"/>
    <w:rsid w:val="00D94EE9"/>
    <w:rsid w:val="00D94F03"/>
    <w:rsid w:val="00D95004"/>
    <w:rsid w:val="00D95173"/>
    <w:rsid w:val="00D95811"/>
    <w:rsid w:val="00D95D37"/>
    <w:rsid w:val="00D95DF3"/>
    <w:rsid w:val="00D960DE"/>
    <w:rsid w:val="00D96FD6"/>
    <w:rsid w:val="00D97D06"/>
    <w:rsid w:val="00DA0688"/>
    <w:rsid w:val="00DA0CB9"/>
    <w:rsid w:val="00DA111E"/>
    <w:rsid w:val="00DA2128"/>
    <w:rsid w:val="00DA2D2F"/>
    <w:rsid w:val="00DA31E8"/>
    <w:rsid w:val="00DA366A"/>
    <w:rsid w:val="00DA37C8"/>
    <w:rsid w:val="00DA3808"/>
    <w:rsid w:val="00DA5350"/>
    <w:rsid w:val="00DA5F7A"/>
    <w:rsid w:val="00DA67CF"/>
    <w:rsid w:val="00DA6BD2"/>
    <w:rsid w:val="00DA6E1F"/>
    <w:rsid w:val="00DB069C"/>
    <w:rsid w:val="00DB0947"/>
    <w:rsid w:val="00DB160A"/>
    <w:rsid w:val="00DB4167"/>
    <w:rsid w:val="00DB4260"/>
    <w:rsid w:val="00DB569D"/>
    <w:rsid w:val="00DB56A1"/>
    <w:rsid w:val="00DB5A0A"/>
    <w:rsid w:val="00DB6453"/>
    <w:rsid w:val="00DB672B"/>
    <w:rsid w:val="00DB6E39"/>
    <w:rsid w:val="00DB7128"/>
    <w:rsid w:val="00DB71D5"/>
    <w:rsid w:val="00DB7912"/>
    <w:rsid w:val="00DC034A"/>
    <w:rsid w:val="00DC0933"/>
    <w:rsid w:val="00DC0D82"/>
    <w:rsid w:val="00DC1000"/>
    <w:rsid w:val="00DC156C"/>
    <w:rsid w:val="00DC1A24"/>
    <w:rsid w:val="00DC20B5"/>
    <w:rsid w:val="00DC30A2"/>
    <w:rsid w:val="00DC3154"/>
    <w:rsid w:val="00DC33C8"/>
    <w:rsid w:val="00DC3C22"/>
    <w:rsid w:val="00DC3FF0"/>
    <w:rsid w:val="00DC61A2"/>
    <w:rsid w:val="00DC6955"/>
    <w:rsid w:val="00DC69FA"/>
    <w:rsid w:val="00DC6A83"/>
    <w:rsid w:val="00DC7782"/>
    <w:rsid w:val="00DC7CC2"/>
    <w:rsid w:val="00DD040C"/>
    <w:rsid w:val="00DD1003"/>
    <w:rsid w:val="00DD188A"/>
    <w:rsid w:val="00DD1A42"/>
    <w:rsid w:val="00DD1B2F"/>
    <w:rsid w:val="00DD20F6"/>
    <w:rsid w:val="00DD2B9E"/>
    <w:rsid w:val="00DD2DE2"/>
    <w:rsid w:val="00DD2F47"/>
    <w:rsid w:val="00DD375B"/>
    <w:rsid w:val="00DD4ADE"/>
    <w:rsid w:val="00DD515A"/>
    <w:rsid w:val="00DD51E8"/>
    <w:rsid w:val="00DD53A8"/>
    <w:rsid w:val="00DD54BB"/>
    <w:rsid w:val="00DD5835"/>
    <w:rsid w:val="00DD584F"/>
    <w:rsid w:val="00DD623F"/>
    <w:rsid w:val="00DD6745"/>
    <w:rsid w:val="00DD6AFA"/>
    <w:rsid w:val="00DD6D72"/>
    <w:rsid w:val="00DD71D2"/>
    <w:rsid w:val="00DD789D"/>
    <w:rsid w:val="00DD7BF6"/>
    <w:rsid w:val="00DE0F26"/>
    <w:rsid w:val="00DE2180"/>
    <w:rsid w:val="00DE2824"/>
    <w:rsid w:val="00DE3B85"/>
    <w:rsid w:val="00DE3E33"/>
    <w:rsid w:val="00DE43F1"/>
    <w:rsid w:val="00DE4AEF"/>
    <w:rsid w:val="00DE5006"/>
    <w:rsid w:val="00DE5B30"/>
    <w:rsid w:val="00DE6659"/>
    <w:rsid w:val="00DE7199"/>
    <w:rsid w:val="00DF0339"/>
    <w:rsid w:val="00DF065F"/>
    <w:rsid w:val="00DF0BFA"/>
    <w:rsid w:val="00DF1621"/>
    <w:rsid w:val="00DF1EE8"/>
    <w:rsid w:val="00DF2046"/>
    <w:rsid w:val="00DF28E4"/>
    <w:rsid w:val="00DF3510"/>
    <w:rsid w:val="00DF37D3"/>
    <w:rsid w:val="00DF3A7A"/>
    <w:rsid w:val="00DF4519"/>
    <w:rsid w:val="00DF4DB3"/>
    <w:rsid w:val="00DF538D"/>
    <w:rsid w:val="00DF59A1"/>
    <w:rsid w:val="00DF60D8"/>
    <w:rsid w:val="00DF6D54"/>
    <w:rsid w:val="00DF7C4A"/>
    <w:rsid w:val="00E001E8"/>
    <w:rsid w:val="00E0028A"/>
    <w:rsid w:val="00E004C3"/>
    <w:rsid w:val="00E00575"/>
    <w:rsid w:val="00E00D24"/>
    <w:rsid w:val="00E0118B"/>
    <w:rsid w:val="00E0141C"/>
    <w:rsid w:val="00E0180C"/>
    <w:rsid w:val="00E01E5F"/>
    <w:rsid w:val="00E02562"/>
    <w:rsid w:val="00E02E91"/>
    <w:rsid w:val="00E03757"/>
    <w:rsid w:val="00E03F6C"/>
    <w:rsid w:val="00E045FB"/>
    <w:rsid w:val="00E04C41"/>
    <w:rsid w:val="00E05241"/>
    <w:rsid w:val="00E057FB"/>
    <w:rsid w:val="00E05FA0"/>
    <w:rsid w:val="00E061DA"/>
    <w:rsid w:val="00E0735B"/>
    <w:rsid w:val="00E07973"/>
    <w:rsid w:val="00E07F13"/>
    <w:rsid w:val="00E104E0"/>
    <w:rsid w:val="00E104E3"/>
    <w:rsid w:val="00E104F5"/>
    <w:rsid w:val="00E11917"/>
    <w:rsid w:val="00E11B80"/>
    <w:rsid w:val="00E131A4"/>
    <w:rsid w:val="00E1330B"/>
    <w:rsid w:val="00E134F0"/>
    <w:rsid w:val="00E13857"/>
    <w:rsid w:val="00E13919"/>
    <w:rsid w:val="00E13C8F"/>
    <w:rsid w:val="00E14096"/>
    <w:rsid w:val="00E142A8"/>
    <w:rsid w:val="00E14678"/>
    <w:rsid w:val="00E14A5B"/>
    <w:rsid w:val="00E14A6A"/>
    <w:rsid w:val="00E150E0"/>
    <w:rsid w:val="00E15D15"/>
    <w:rsid w:val="00E16C0D"/>
    <w:rsid w:val="00E17715"/>
    <w:rsid w:val="00E17E36"/>
    <w:rsid w:val="00E20F4A"/>
    <w:rsid w:val="00E20F9A"/>
    <w:rsid w:val="00E219BB"/>
    <w:rsid w:val="00E21C04"/>
    <w:rsid w:val="00E226C1"/>
    <w:rsid w:val="00E22A64"/>
    <w:rsid w:val="00E2329B"/>
    <w:rsid w:val="00E25AB3"/>
    <w:rsid w:val="00E25BAB"/>
    <w:rsid w:val="00E25CCE"/>
    <w:rsid w:val="00E26090"/>
    <w:rsid w:val="00E265C1"/>
    <w:rsid w:val="00E26A47"/>
    <w:rsid w:val="00E27DFF"/>
    <w:rsid w:val="00E27F0A"/>
    <w:rsid w:val="00E3007E"/>
    <w:rsid w:val="00E3021F"/>
    <w:rsid w:val="00E30766"/>
    <w:rsid w:val="00E3084D"/>
    <w:rsid w:val="00E30981"/>
    <w:rsid w:val="00E30AE9"/>
    <w:rsid w:val="00E30EE7"/>
    <w:rsid w:val="00E31121"/>
    <w:rsid w:val="00E31882"/>
    <w:rsid w:val="00E31A4D"/>
    <w:rsid w:val="00E31F4D"/>
    <w:rsid w:val="00E32172"/>
    <w:rsid w:val="00E323FC"/>
    <w:rsid w:val="00E32AD2"/>
    <w:rsid w:val="00E32E4D"/>
    <w:rsid w:val="00E33A60"/>
    <w:rsid w:val="00E33D02"/>
    <w:rsid w:val="00E33E74"/>
    <w:rsid w:val="00E3420D"/>
    <w:rsid w:val="00E352EC"/>
    <w:rsid w:val="00E3585B"/>
    <w:rsid w:val="00E35866"/>
    <w:rsid w:val="00E35C36"/>
    <w:rsid w:val="00E35CD8"/>
    <w:rsid w:val="00E365F6"/>
    <w:rsid w:val="00E36E07"/>
    <w:rsid w:val="00E36E10"/>
    <w:rsid w:val="00E3784C"/>
    <w:rsid w:val="00E40011"/>
    <w:rsid w:val="00E415BA"/>
    <w:rsid w:val="00E42541"/>
    <w:rsid w:val="00E434FB"/>
    <w:rsid w:val="00E43C9E"/>
    <w:rsid w:val="00E43D1A"/>
    <w:rsid w:val="00E442CB"/>
    <w:rsid w:val="00E4510B"/>
    <w:rsid w:val="00E453E7"/>
    <w:rsid w:val="00E45705"/>
    <w:rsid w:val="00E457EF"/>
    <w:rsid w:val="00E46349"/>
    <w:rsid w:val="00E468C6"/>
    <w:rsid w:val="00E46F91"/>
    <w:rsid w:val="00E4704A"/>
    <w:rsid w:val="00E474E3"/>
    <w:rsid w:val="00E47616"/>
    <w:rsid w:val="00E47AD4"/>
    <w:rsid w:val="00E47D7D"/>
    <w:rsid w:val="00E47E7F"/>
    <w:rsid w:val="00E50122"/>
    <w:rsid w:val="00E50494"/>
    <w:rsid w:val="00E518B3"/>
    <w:rsid w:val="00E51BA2"/>
    <w:rsid w:val="00E51FC2"/>
    <w:rsid w:val="00E52490"/>
    <w:rsid w:val="00E525E8"/>
    <w:rsid w:val="00E52D27"/>
    <w:rsid w:val="00E52FB4"/>
    <w:rsid w:val="00E538E5"/>
    <w:rsid w:val="00E53B9B"/>
    <w:rsid w:val="00E53E02"/>
    <w:rsid w:val="00E53ED4"/>
    <w:rsid w:val="00E55225"/>
    <w:rsid w:val="00E555A6"/>
    <w:rsid w:val="00E55907"/>
    <w:rsid w:val="00E55ADE"/>
    <w:rsid w:val="00E564C6"/>
    <w:rsid w:val="00E56BFD"/>
    <w:rsid w:val="00E56C4A"/>
    <w:rsid w:val="00E56D47"/>
    <w:rsid w:val="00E5719F"/>
    <w:rsid w:val="00E57434"/>
    <w:rsid w:val="00E575D0"/>
    <w:rsid w:val="00E577A3"/>
    <w:rsid w:val="00E57AA1"/>
    <w:rsid w:val="00E57CB3"/>
    <w:rsid w:val="00E57E2B"/>
    <w:rsid w:val="00E6085A"/>
    <w:rsid w:val="00E61098"/>
    <w:rsid w:val="00E61CE3"/>
    <w:rsid w:val="00E630D3"/>
    <w:rsid w:val="00E6314E"/>
    <w:rsid w:val="00E6376F"/>
    <w:rsid w:val="00E637FD"/>
    <w:rsid w:val="00E63E0C"/>
    <w:rsid w:val="00E63F96"/>
    <w:rsid w:val="00E643D8"/>
    <w:rsid w:val="00E662ED"/>
    <w:rsid w:val="00E6687D"/>
    <w:rsid w:val="00E67020"/>
    <w:rsid w:val="00E67A87"/>
    <w:rsid w:val="00E67B04"/>
    <w:rsid w:val="00E67DA4"/>
    <w:rsid w:val="00E72381"/>
    <w:rsid w:val="00E72677"/>
    <w:rsid w:val="00E7350B"/>
    <w:rsid w:val="00E73B57"/>
    <w:rsid w:val="00E742A3"/>
    <w:rsid w:val="00E7471E"/>
    <w:rsid w:val="00E747EB"/>
    <w:rsid w:val="00E7489B"/>
    <w:rsid w:val="00E75578"/>
    <w:rsid w:val="00E76AA8"/>
    <w:rsid w:val="00E76DA1"/>
    <w:rsid w:val="00E77476"/>
    <w:rsid w:val="00E77A6B"/>
    <w:rsid w:val="00E77E40"/>
    <w:rsid w:val="00E809BA"/>
    <w:rsid w:val="00E81109"/>
    <w:rsid w:val="00E815F7"/>
    <w:rsid w:val="00E81C89"/>
    <w:rsid w:val="00E81CAC"/>
    <w:rsid w:val="00E826E5"/>
    <w:rsid w:val="00E82F32"/>
    <w:rsid w:val="00E831D9"/>
    <w:rsid w:val="00E8353E"/>
    <w:rsid w:val="00E84367"/>
    <w:rsid w:val="00E84E3B"/>
    <w:rsid w:val="00E851B8"/>
    <w:rsid w:val="00E873BE"/>
    <w:rsid w:val="00E874AB"/>
    <w:rsid w:val="00E90269"/>
    <w:rsid w:val="00E90366"/>
    <w:rsid w:val="00E90383"/>
    <w:rsid w:val="00E90E57"/>
    <w:rsid w:val="00E90EBD"/>
    <w:rsid w:val="00E90F0A"/>
    <w:rsid w:val="00E91246"/>
    <w:rsid w:val="00E919B9"/>
    <w:rsid w:val="00E91CFF"/>
    <w:rsid w:val="00E92212"/>
    <w:rsid w:val="00E9278A"/>
    <w:rsid w:val="00E927DE"/>
    <w:rsid w:val="00E9343E"/>
    <w:rsid w:val="00E936DD"/>
    <w:rsid w:val="00E9399F"/>
    <w:rsid w:val="00E93B44"/>
    <w:rsid w:val="00E950E2"/>
    <w:rsid w:val="00E95873"/>
    <w:rsid w:val="00E9594C"/>
    <w:rsid w:val="00E95E48"/>
    <w:rsid w:val="00E963E8"/>
    <w:rsid w:val="00E96923"/>
    <w:rsid w:val="00E97329"/>
    <w:rsid w:val="00E9753C"/>
    <w:rsid w:val="00E97C27"/>
    <w:rsid w:val="00E97D7D"/>
    <w:rsid w:val="00EA0AEE"/>
    <w:rsid w:val="00EA1DF0"/>
    <w:rsid w:val="00EA1FD0"/>
    <w:rsid w:val="00EA2D36"/>
    <w:rsid w:val="00EA31F6"/>
    <w:rsid w:val="00EA33B0"/>
    <w:rsid w:val="00EA34BC"/>
    <w:rsid w:val="00EA3E2D"/>
    <w:rsid w:val="00EA4D68"/>
    <w:rsid w:val="00EA4DFD"/>
    <w:rsid w:val="00EA5607"/>
    <w:rsid w:val="00EA60EC"/>
    <w:rsid w:val="00EA6836"/>
    <w:rsid w:val="00EA734A"/>
    <w:rsid w:val="00EA772A"/>
    <w:rsid w:val="00EB1277"/>
    <w:rsid w:val="00EB203A"/>
    <w:rsid w:val="00EB2341"/>
    <w:rsid w:val="00EB2B2D"/>
    <w:rsid w:val="00EB31D2"/>
    <w:rsid w:val="00EB34DA"/>
    <w:rsid w:val="00EB4662"/>
    <w:rsid w:val="00EB4DE5"/>
    <w:rsid w:val="00EB56CF"/>
    <w:rsid w:val="00EB5949"/>
    <w:rsid w:val="00EC0480"/>
    <w:rsid w:val="00EC0A3F"/>
    <w:rsid w:val="00EC0C81"/>
    <w:rsid w:val="00EC174C"/>
    <w:rsid w:val="00EC2450"/>
    <w:rsid w:val="00EC25F4"/>
    <w:rsid w:val="00EC265B"/>
    <w:rsid w:val="00EC2A6C"/>
    <w:rsid w:val="00EC2AB0"/>
    <w:rsid w:val="00EC34B2"/>
    <w:rsid w:val="00EC4382"/>
    <w:rsid w:val="00EC5619"/>
    <w:rsid w:val="00EC65CD"/>
    <w:rsid w:val="00ED0690"/>
    <w:rsid w:val="00ED1031"/>
    <w:rsid w:val="00ED108D"/>
    <w:rsid w:val="00ED1787"/>
    <w:rsid w:val="00ED2081"/>
    <w:rsid w:val="00ED496C"/>
    <w:rsid w:val="00ED60C4"/>
    <w:rsid w:val="00ED6718"/>
    <w:rsid w:val="00ED68FC"/>
    <w:rsid w:val="00ED7153"/>
    <w:rsid w:val="00ED7577"/>
    <w:rsid w:val="00ED79EC"/>
    <w:rsid w:val="00ED7A2A"/>
    <w:rsid w:val="00ED7B45"/>
    <w:rsid w:val="00ED7E3A"/>
    <w:rsid w:val="00EE02B9"/>
    <w:rsid w:val="00EE043B"/>
    <w:rsid w:val="00EE0850"/>
    <w:rsid w:val="00EE0C3D"/>
    <w:rsid w:val="00EE188F"/>
    <w:rsid w:val="00EE1ABD"/>
    <w:rsid w:val="00EE22FE"/>
    <w:rsid w:val="00EE356E"/>
    <w:rsid w:val="00EE3C3F"/>
    <w:rsid w:val="00EE3C71"/>
    <w:rsid w:val="00EE46B3"/>
    <w:rsid w:val="00EE48AB"/>
    <w:rsid w:val="00EE52D7"/>
    <w:rsid w:val="00EE57F2"/>
    <w:rsid w:val="00EE6051"/>
    <w:rsid w:val="00EE6692"/>
    <w:rsid w:val="00EE6FA0"/>
    <w:rsid w:val="00EE708C"/>
    <w:rsid w:val="00EE78AE"/>
    <w:rsid w:val="00EE7D69"/>
    <w:rsid w:val="00EF01C8"/>
    <w:rsid w:val="00EF044F"/>
    <w:rsid w:val="00EF0EBF"/>
    <w:rsid w:val="00EF103E"/>
    <w:rsid w:val="00EF1F04"/>
    <w:rsid w:val="00EF1F70"/>
    <w:rsid w:val="00EF363A"/>
    <w:rsid w:val="00EF4796"/>
    <w:rsid w:val="00EF4CBD"/>
    <w:rsid w:val="00EF58C4"/>
    <w:rsid w:val="00EF5A67"/>
    <w:rsid w:val="00EF5D67"/>
    <w:rsid w:val="00EF60C9"/>
    <w:rsid w:val="00EF734D"/>
    <w:rsid w:val="00EF7441"/>
    <w:rsid w:val="00EF7D8A"/>
    <w:rsid w:val="00F00F22"/>
    <w:rsid w:val="00F020BC"/>
    <w:rsid w:val="00F0223C"/>
    <w:rsid w:val="00F02387"/>
    <w:rsid w:val="00F02692"/>
    <w:rsid w:val="00F028A0"/>
    <w:rsid w:val="00F028CD"/>
    <w:rsid w:val="00F036EB"/>
    <w:rsid w:val="00F04CAF"/>
    <w:rsid w:val="00F04CB6"/>
    <w:rsid w:val="00F05A8D"/>
    <w:rsid w:val="00F06438"/>
    <w:rsid w:val="00F0648A"/>
    <w:rsid w:val="00F075E4"/>
    <w:rsid w:val="00F10173"/>
    <w:rsid w:val="00F108DF"/>
    <w:rsid w:val="00F10BFB"/>
    <w:rsid w:val="00F10FF4"/>
    <w:rsid w:val="00F114BC"/>
    <w:rsid w:val="00F1157F"/>
    <w:rsid w:val="00F1196E"/>
    <w:rsid w:val="00F119B6"/>
    <w:rsid w:val="00F11EFB"/>
    <w:rsid w:val="00F120F9"/>
    <w:rsid w:val="00F121FC"/>
    <w:rsid w:val="00F12A76"/>
    <w:rsid w:val="00F12F80"/>
    <w:rsid w:val="00F13D0C"/>
    <w:rsid w:val="00F145B8"/>
    <w:rsid w:val="00F14C67"/>
    <w:rsid w:val="00F154CF"/>
    <w:rsid w:val="00F156B9"/>
    <w:rsid w:val="00F15C24"/>
    <w:rsid w:val="00F15F34"/>
    <w:rsid w:val="00F160B8"/>
    <w:rsid w:val="00F163E8"/>
    <w:rsid w:val="00F16A6D"/>
    <w:rsid w:val="00F16A6E"/>
    <w:rsid w:val="00F16BEF"/>
    <w:rsid w:val="00F17925"/>
    <w:rsid w:val="00F179F9"/>
    <w:rsid w:val="00F17EB7"/>
    <w:rsid w:val="00F20385"/>
    <w:rsid w:val="00F2092A"/>
    <w:rsid w:val="00F213BB"/>
    <w:rsid w:val="00F2259A"/>
    <w:rsid w:val="00F22EAE"/>
    <w:rsid w:val="00F231B2"/>
    <w:rsid w:val="00F23F8E"/>
    <w:rsid w:val="00F242C4"/>
    <w:rsid w:val="00F25133"/>
    <w:rsid w:val="00F2561F"/>
    <w:rsid w:val="00F25D11"/>
    <w:rsid w:val="00F26889"/>
    <w:rsid w:val="00F26EB7"/>
    <w:rsid w:val="00F26F43"/>
    <w:rsid w:val="00F27050"/>
    <w:rsid w:val="00F2750B"/>
    <w:rsid w:val="00F27E82"/>
    <w:rsid w:val="00F301EF"/>
    <w:rsid w:val="00F303D3"/>
    <w:rsid w:val="00F315EE"/>
    <w:rsid w:val="00F3168B"/>
    <w:rsid w:val="00F31BDD"/>
    <w:rsid w:val="00F32276"/>
    <w:rsid w:val="00F32E79"/>
    <w:rsid w:val="00F33743"/>
    <w:rsid w:val="00F33858"/>
    <w:rsid w:val="00F33C13"/>
    <w:rsid w:val="00F33CDC"/>
    <w:rsid w:val="00F33D42"/>
    <w:rsid w:val="00F33E41"/>
    <w:rsid w:val="00F342D1"/>
    <w:rsid w:val="00F34E1B"/>
    <w:rsid w:val="00F35B40"/>
    <w:rsid w:val="00F36265"/>
    <w:rsid w:val="00F369B7"/>
    <w:rsid w:val="00F36DCB"/>
    <w:rsid w:val="00F36E20"/>
    <w:rsid w:val="00F37085"/>
    <w:rsid w:val="00F37479"/>
    <w:rsid w:val="00F37C42"/>
    <w:rsid w:val="00F406E7"/>
    <w:rsid w:val="00F4135E"/>
    <w:rsid w:val="00F41481"/>
    <w:rsid w:val="00F41A04"/>
    <w:rsid w:val="00F41F13"/>
    <w:rsid w:val="00F41FB6"/>
    <w:rsid w:val="00F421D2"/>
    <w:rsid w:val="00F42264"/>
    <w:rsid w:val="00F42C58"/>
    <w:rsid w:val="00F42DA0"/>
    <w:rsid w:val="00F432F8"/>
    <w:rsid w:val="00F43548"/>
    <w:rsid w:val="00F43B47"/>
    <w:rsid w:val="00F44E12"/>
    <w:rsid w:val="00F44F80"/>
    <w:rsid w:val="00F4602B"/>
    <w:rsid w:val="00F46BA4"/>
    <w:rsid w:val="00F46F72"/>
    <w:rsid w:val="00F4717C"/>
    <w:rsid w:val="00F50067"/>
    <w:rsid w:val="00F5044F"/>
    <w:rsid w:val="00F51BDC"/>
    <w:rsid w:val="00F52AC0"/>
    <w:rsid w:val="00F52FA7"/>
    <w:rsid w:val="00F52FC3"/>
    <w:rsid w:val="00F53449"/>
    <w:rsid w:val="00F53490"/>
    <w:rsid w:val="00F54157"/>
    <w:rsid w:val="00F54898"/>
    <w:rsid w:val="00F54DFA"/>
    <w:rsid w:val="00F5551F"/>
    <w:rsid w:val="00F55720"/>
    <w:rsid w:val="00F56787"/>
    <w:rsid w:val="00F56DC1"/>
    <w:rsid w:val="00F57462"/>
    <w:rsid w:val="00F57A45"/>
    <w:rsid w:val="00F6005E"/>
    <w:rsid w:val="00F60C81"/>
    <w:rsid w:val="00F6100E"/>
    <w:rsid w:val="00F611C3"/>
    <w:rsid w:val="00F61FA4"/>
    <w:rsid w:val="00F63521"/>
    <w:rsid w:val="00F63C41"/>
    <w:rsid w:val="00F63CCC"/>
    <w:rsid w:val="00F63F8C"/>
    <w:rsid w:val="00F64BC5"/>
    <w:rsid w:val="00F6535F"/>
    <w:rsid w:val="00F65BA9"/>
    <w:rsid w:val="00F65E33"/>
    <w:rsid w:val="00F65F9E"/>
    <w:rsid w:val="00F65FF6"/>
    <w:rsid w:val="00F66A2A"/>
    <w:rsid w:val="00F66BE7"/>
    <w:rsid w:val="00F66D0E"/>
    <w:rsid w:val="00F67A4C"/>
    <w:rsid w:val="00F700C4"/>
    <w:rsid w:val="00F70D93"/>
    <w:rsid w:val="00F70E0C"/>
    <w:rsid w:val="00F71983"/>
    <w:rsid w:val="00F71C2E"/>
    <w:rsid w:val="00F71F80"/>
    <w:rsid w:val="00F726BE"/>
    <w:rsid w:val="00F73592"/>
    <w:rsid w:val="00F73844"/>
    <w:rsid w:val="00F7446D"/>
    <w:rsid w:val="00F75DC6"/>
    <w:rsid w:val="00F7662E"/>
    <w:rsid w:val="00F7700F"/>
    <w:rsid w:val="00F77331"/>
    <w:rsid w:val="00F775B0"/>
    <w:rsid w:val="00F777EA"/>
    <w:rsid w:val="00F809E6"/>
    <w:rsid w:val="00F8193B"/>
    <w:rsid w:val="00F8226D"/>
    <w:rsid w:val="00F828B2"/>
    <w:rsid w:val="00F83528"/>
    <w:rsid w:val="00F837D8"/>
    <w:rsid w:val="00F844FF"/>
    <w:rsid w:val="00F84BFF"/>
    <w:rsid w:val="00F85748"/>
    <w:rsid w:val="00F85F59"/>
    <w:rsid w:val="00F90306"/>
    <w:rsid w:val="00F907A3"/>
    <w:rsid w:val="00F90B79"/>
    <w:rsid w:val="00F90EA0"/>
    <w:rsid w:val="00F91A84"/>
    <w:rsid w:val="00F92F5E"/>
    <w:rsid w:val="00F93EB6"/>
    <w:rsid w:val="00F94893"/>
    <w:rsid w:val="00F9493C"/>
    <w:rsid w:val="00F94C70"/>
    <w:rsid w:val="00F94E52"/>
    <w:rsid w:val="00F960A0"/>
    <w:rsid w:val="00F9637B"/>
    <w:rsid w:val="00F975C5"/>
    <w:rsid w:val="00FA1450"/>
    <w:rsid w:val="00FA149C"/>
    <w:rsid w:val="00FA24A6"/>
    <w:rsid w:val="00FA29A8"/>
    <w:rsid w:val="00FA2A5B"/>
    <w:rsid w:val="00FA3041"/>
    <w:rsid w:val="00FA3119"/>
    <w:rsid w:val="00FA346B"/>
    <w:rsid w:val="00FA3BFE"/>
    <w:rsid w:val="00FA4C43"/>
    <w:rsid w:val="00FA4CB3"/>
    <w:rsid w:val="00FA4D4F"/>
    <w:rsid w:val="00FA4E0E"/>
    <w:rsid w:val="00FA525C"/>
    <w:rsid w:val="00FA52DC"/>
    <w:rsid w:val="00FA570E"/>
    <w:rsid w:val="00FA65E3"/>
    <w:rsid w:val="00FA6B43"/>
    <w:rsid w:val="00FA6CC1"/>
    <w:rsid w:val="00FA771A"/>
    <w:rsid w:val="00FA7AFE"/>
    <w:rsid w:val="00FA7D88"/>
    <w:rsid w:val="00FB1EC7"/>
    <w:rsid w:val="00FB1F83"/>
    <w:rsid w:val="00FB21A9"/>
    <w:rsid w:val="00FB3A3B"/>
    <w:rsid w:val="00FB3E64"/>
    <w:rsid w:val="00FB4BD8"/>
    <w:rsid w:val="00FB4E8A"/>
    <w:rsid w:val="00FB5901"/>
    <w:rsid w:val="00FB600B"/>
    <w:rsid w:val="00FB610C"/>
    <w:rsid w:val="00FB6372"/>
    <w:rsid w:val="00FB6AC1"/>
    <w:rsid w:val="00FB6C4D"/>
    <w:rsid w:val="00FB7294"/>
    <w:rsid w:val="00FB74E0"/>
    <w:rsid w:val="00FB7998"/>
    <w:rsid w:val="00FC074E"/>
    <w:rsid w:val="00FC17E5"/>
    <w:rsid w:val="00FC1AF1"/>
    <w:rsid w:val="00FC1F5E"/>
    <w:rsid w:val="00FC23CD"/>
    <w:rsid w:val="00FC29EA"/>
    <w:rsid w:val="00FC2AF1"/>
    <w:rsid w:val="00FC3F98"/>
    <w:rsid w:val="00FC401A"/>
    <w:rsid w:val="00FC5493"/>
    <w:rsid w:val="00FC674A"/>
    <w:rsid w:val="00FC6D3D"/>
    <w:rsid w:val="00FC7901"/>
    <w:rsid w:val="00FC7945"/>
    <w:rsid w:val="00FC7965"/>
    <w:rsid w:val="00FC7BC4"/>
    <w:rsid w:val="00FC7EE0"/>
    <w:rsid w:val="00FD0F39"/>
    <w:rsid w:val="00FD1742"/>
    <w:rsid w:val="00FD20E4"/>
    <w:rsid w:val="00FD30F6"/>
    <w:rsid w:val="00FD3E8B"/>
    <w:rsid w:val="00FD4E57"/>
    <w:rsid w:val="00FD5598"/>
    <w:rsid w:val="00FD5A39"/>
    <w:rsid w:val="00FD5CD3"/>
    <w:rsid w:val="00FD618D"/>
    <w:rsid w:val="00FD61E6"/>
    <w:rsid w:val="00FD6503"/>
    <w:rsid w:val="00FD6519"/>
    <w:rsid w:val="00FD6685"/>
    <w:rsid w:val="00FD679F"/>
    <w:rsid w:val="00FD7EE7"/>
    <w:rsid w:val="00FE0381"/>
    <w:rsid w:val="00FE1FF2"/>
    <w:rsid w:val="00FE25F5"/>
    <w:rsid w:val="00FE2A4E"/>
    <w:rsid w:val="00FE2B64"/>
    <w:rsid w:val="00FE2C50"/>
    <w:rsid w:val="00FE2FB3"/>
    <w:rsid w:val="00FE3AC5"/>
    <w:rsid w:val="00FE413A"/>
    <w:rsid w:val="00FE429A"/>
    <w:rsid w:val="00FE4DAA"/>
    <w:rsid w:val="00FE5263"/>
    <w:rsid w:val="00FE52FF"/>
    <w:rsid w:val="00FE553D"/>
    <w:rsid w:val="00FE57C1"/>
    <w:rsid w:val="00FE5A20"/>
    <w:rsid w:val="00FE5B1D"/>
    <w:rsid w:val="00FE5BC2"/>
    <w:rsid w:val="00FE6003"/>
    <w:rsid w:val="00FE60D7"/>
    <w:rsid w:val="00FE6204"/>
    <w:rsid w:val="00FE7B3A"/>
    <w:rsid w:val="00FE7C69"/>
    <w:rsid w:val="00FF02BD"/>
    <w:rsid w:val="00FF068B"/>
    <w:rsid w:val="00FF09B4"/>
    <w:rsid w:val="00FF0ACC"/>
    <w:rsid w:val="00FF15FE"/>
    <w:rsid w:val="00FF2398"/>
    <w:rsid w:val="00FF3391"/>
    <w:rsid w:val="00FF3FEE"/>
    <w:rsid w:val="00FF63C0"/>
    <w:rsid w:val="00FF6998"/>
    <w:rsid w:val="00FF69AA"/>
    <w:rsid w:val="00FF700D"/>
    <w:rsid w:val="00FF7339"/>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40F68"/>
  <w15:chartTrackingRefBased/>
  <w15:docId w15:val="{C15A2947-F77B-4C57-A3AF-987BAEBC1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33D9"/>
    <w:pPr>
      <w:widowControl w:val="0"/>
      <w:jc w:val="both"/>
    </w:pPr>
    <w:rPr>
      <w:rFonts w:ascii="Times New Roman" w:hAnsi="Times New Roman"/>
    </w:rPr>
  </w:style>
  <w:style w:type="paragraph" w:styleId="1">
    <w:name w:val="heading 1"/>
    <w:basedOn w:val="a"/>
    <w:next w:val="a"/>
    <w:link w:val="10"/>
    <w:uiPriority w:val="9"/>
    <w:qFormat/>
    <w:rsid w:val="00474D49"/>
    <w:pPr>
      <w:keepNext/>
      <w:keepLines/>
      <w:numPr>
        <w:numId w:val="6"/>
      </w:numPr>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74D49"/>
    <w:pPr>
      <w:keepNext/>
      <w:keepLines/>
      <w:numPr>
        <w:ilvl w:val="1"/>
        <w:numId w:val="6"/>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D34026"/>
    <w:pPr>
      <w:keepNext/>
      <w:keepLines/>
      <w:numPr>
        <w:ilvl w:val="2"/>
        <w:numId w:val="6"/>
      </w:numPr>
      <w:spacing w:before="260" w:after="260" w:line="416" w:lineRule="auto"/>
      <w:outlineLvl w:val="2"/>
    </w:pPr>
    <w:rPr>
      <w:b/>
      <w:bCs/>
      <w:sz w:val="32"/>
      <w:szCs w:val="32"/>
    </w:rPr>
  </w:style>
  <w:style w:type="paragraph" w:styleId="4">
    <w:name w:val="heading 4"/>
    <w:basedOn w:val="a"/>
    <w:next w:val="a"/>
    <w:link w:val="41"/>
    <w:uiPriority w:val="9"/>
    <w:unhideWhenUsed/>
    <w:qFormat/>
    <w:rsid w:val="00CA2AFE"/>
    <w:pPr>
      <w:widowControl/>
      <w:numPr>
        <w:numId w:val="7"/>
      </w:numPr>
      <w:overflowPunct w:val="0"/>
      <w:autoSpaceDE w:val="0"/>
      <w:autoSpaceDN w:val="0"/>
      <w:adjustRightInd w:val="0"/>
      <w:snapToGrid w:val="0"/>
      <w:spacing w:after="120"/>
      <w:textAlignment w:val="baseline"/>
      <w:outlineLvl w:val="3"/>
    </w:pPr>
    <w:rPr>
      <w:rFonts w:ascii="Arial" w:eastAsia="Yu Mincho"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5G">
    <w:name w:val="5G"/>
    <w:uiPriority w:val="99"/>
    <w:rsid w:val="00421D7E"/>
    <w:pPr>
      <w:numPr>
        <w:numId w:val="1"/>
      </w:numPr>
    </w:pPr>
  </w:style>
  <w:style w:type="paragraph" w:styleId="a3">
    <w:name w:val="header"/>
    <w:basedOn w:val="a"/>
    <w:link w:val="a4"/>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74D49"/>
    <w:rPr>
      <w:sz w:val="18"/>
      <w:szCs w:val="18"/>
    </w:rPr>
  </w:style>
  <w:style w:type="paragraph" w:styleId="a5">
    <w:name w:val="footer"/>
    <w:basedOn w:val="a"/>
    <w:link w:val="a6"/>
    <w:uiPriority w:val="99"/>
    <w:unhideWhenUsed/>
    <w:rsid w:val="00474D49"/>
    <w:pPr>
      <w:tabs>
        <w:tab w:val="center" w:pos="4153"/>
        <w:tab w:val="right" w:pos="8306"/>
      </w:tabs>
      <w:snapToGrid w:val="0"/>
      <w:jc w:val="left"/>
    </w:pPr>
    <w:rPr>
      <w:sz w:val="18"/>
      <w:szCs w:val="18"/>
    </w:rPr>
  </w:style>
  <w:style w:type="character" w:customStyle="1" w:styleId="a6">
    <w:name w:val="页脚 字符"/>
    <w:basedOn w:val="a0"/>
    <w:link w:val="a5"/>
    <w:uiPriority w:val="99"/>
    <w:rsid w:val="00474D49"/>
    <w:rPr>
      <w:sz w:val="18"/>
      <w:szCs w:val="18"/>
    </w:rPr>
  </w:style>
  <w:style w:type="character" w:customStyle="1" w:styleId="10">
    <w:name w:val="标题 1 字符"/>
    <w:basedOn w:val="a0"/>
    <w:link w:val="1"/>
    <w:uiPriority w:val="9"/>
    <w:rsid w:val="00474D49"/>
    <w:rPr>
      <w:rFonts w:ascii="Times New Roman" w:hAnsi="Times New Roman"/>
      <w:b/>
      <w:bCs/>
      <w:kern w:val="44"/>
      <w:sz w:val="44"/>
      <w:szCs w:val="44"/>
    </w:rPr>
  </w:style>
  <w:style w:type="character" w:customStyle="1" w:styleId="20">
    <w:name w:val="标题 2 字符"/>
    <w:basedOn w:val="a0"/>
    <w:link w:val="2"/>
    <w:uiPriority w:val="9"/>
    <w:rsid w:val="00474D49"/>
    <w:rPr>
      <w:rFonts w:asciiTheme="majorHAnsi" w:eastAsiaTheme="majorEastAsia" w:hAnsiTheme="majorHAnsi" w:cstheme="majorBidi"/>
      <w:b/>
      <w:bCs/>
      <w:sz w:val="32"/>
      <w:szCs w:val="32"/>
    </w:rPr>
  </w:style>
  <w:style w:type="table" w:styleId="a7">
    <w:name w:val="Table Grid"/>
    <w:aliases w:val="TableGrid"/>
    <w:basedOn w:val="a1"/>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목록 단락,—ñ弌,列出段落,列出段落2"/>
    <w:basedOn w:val="a"/>
    <w:uiPriority w:val="34"/>
    <w:qFormat/>
    <w:rsid w:val="00486864"/>
    <w:pPr>
      <w:ind w:firstLineChars="200" w:firstLine="420"/>
    </w:pPr>
  </w:style>
  <w:style w:type="table" w:customStyle="1" w:styleId="11">
    <w:name w:val="网格型1"/>
    <w:basedOn w:val="a1"/>
    <w:next w:val="a7"/>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iPriority w:val="35"/>
    <w:unhideWhenUsed/>
    <w:qFormat/>
    <w:rsid w:val="00B3005A"/>
    <w:rPr>
      <w:rFonts w:asciiTheme="majorHAnsi" w:eastAsia="黑体" w:hAnsiTheme="majorHAnsi" w:cstheme="majorBidi"/>
      <w:sz w:val="20"/>
      <w:szCs w:val="20"/>
    </w:rPr>
  </w:style>
  <w:style w:type="character" w:customStyle="1" w:styleId="30">
    <w:name w:val="标题 3 字符"/>
    <w:basedOn w:val="a0"/>
    <w:link w:val="3"/>
    <w:uiPriority w:val="9"/>
    <w:rsid w:val="00D34026"/>
    <w:rPr>
      <w:rFonts w:ascii="Times New Roman" w:hAnsi="Times New Roman"/>
      <w:b/>
      <w:bCs/>
      <w:sz w:val="32"/>
      <w:szCs w:val="32"/>
    </w:rPr>
  </w:style>
  <w:style w:type="paragraph" w:customStyle="1" w:styleId="MTDisplayEquation">
    <w:name w:val="MTDisplayEquation"/>
    <w:basedOn w:val="a"/>
    <w:next w:val="a"/>
    <w:link w:val="MTDisplayEquation0"/>
    <w:rsid w:val="00C726A9"/>
    <w:pPr>
      <w:tabs>
        <w:tab w:val="center" w:pos="4560"/>
        <w:tab w:val="right" w:pos="9120"/>
      </w:tabs>
      <w:autoSpaceDE w:val="0"/>
      <w:autoSpaceDN w:val="0"/>
      <w:adjustRightInd w:val="0"/>
      <w:spacing w:line="360" w:lineRule="auto"/>
      <w:jc w:val="left"/>
    </w:pPr>
    <w:rPr>
      <w:rFonts w:ascii="宋体" w:eastAsia="宋体" w:cs="Times New Roman"/>
      <w:kern w:val="0"/>
      <w:sz w:val="24"/>
      <w:szCs w:val="20"/>
    </w:rPr>
  </w:style>
  <w:style w:type="character" w:customStyle="1" w:styleId="MTDisplayEquation0">
    <w:name w:val="MTDisplayEquation 字符"/>
    <w:basedOn w:val="a0"/>
    <w:link w:val="MTDisplayEquation"/>
    <w:rsid w:val="00C726A9"/>
    <w:rPr>
      <w:rFonts w:ascii="宋体" w:eastAsia="宋体" w:hAnsi="Times New Roman" w:cs="Times New Roman"/>
      <w:kern w:val="0"/>
      <w:sz w:val="24"/>
      <w:szCs w:val="20"/>
    </w:rPr>
  </w:style>
  <w:style w:type="paragraph" w:customStyle="1" w:styleId="ab">
    <w:name w:val="缺省文本"/>
    <w:basedOn w:val="a"/>
    <w:rsid w:val="00345DBD"/>
    <w:pPr>
      <w:autoSpaceDE w:val="0"/>
      <w:autoSpaceDN w:val="0"/>
      <w:adjustRightInd w:val="0"/>
      <w:spacing w:line="360" w:lineRule="auto"/>
      <w:jc w:val="left"/>
    </w:pPr>
    <w:rPr>
      <w:rFonts w:eastAsia="宋体" w:cs="Times New Roman"/>
      <w:kern w:val="0"/>
      <w:szCs w:val="20"/>
    </w:rPr>
  </w:style>
  <w:style w:type="character" w:styleId="ac">
    <w:name w:val="Placeholder Text"/>
    <w:basedOn w:val="a0"/>
    <w:uiPriority w:val="99"/>
    <w:semiHidden/>
    <w:rsid w:val="00761537"/>
    <w:rPr>
      <w:color w:val="808080"/>
    </w:rPr>
  </w:style>
  <w:style w:type="paragraph" w:styleId="ad">
    <w:name w:val="Balloon Text"/>
    <w:basedOn w:val="a"/>
    <w:link w:val="ae"/>
    <w:uiPriority w:val="99"/>
    <w:semiHidden/>
    <w:unhideWhenUsed/>
    <w:rsid w:val="001D74DF"/>
    <w:rPr>
      <w:sz w:val="18"/>
      <w:szCs w:val="18"/>
    </w:rPr>
  </w:style>
  <w:style w:type="character" w:customStyle="1" w:styleId="ae">
    <w:name w:val="批注框文本 字符"/>
    <w:basedOn w:val="a0"/>
    <w:link w:val="ad"/>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f"/>
    <w:uiPriority w:val="34"/>
    <w:qFormat/>
    <w:rsid w:val="00AD6090"/>
    <w:pPr>
      <w:widowControl/>
      <w:ind w:leftChars="400" w:left="840"/>
      <w:jc w:val="left"/>
    </w:pPr>
    <w:rPr>
      <w:rFonts w:ascii="Times" w:eastAsia="Batang" w:hAnsi="Times"/>
      <w:szCs w:val="24"/>
      <w:lang w:val="en-GB" w:eastAsia="x-none"/>
    </w:rPr>
  </w:style>
  <w:style w:type="character" w:customStyle="1" w:styleId="a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0"/>
    <w:next w:val="a"/>
    <w:qFormat/>
    <w:rsid w:val="00AD6090"/>
    <w:pPr>
      <w:widowControl/>
      <w:numPr>
        <w:numId w:val="3"/>
      </w:numPr>
      <w:spacing w:beforeLines="50" w:before="120" w:afterLines="50"/>
    </w:pPr>
    <w:rPr>
      <w:rFonts w:eastAsia="宋体" w:cs="Times New Roman"/>
      <w:b/>
      <w:kern w:val="0"/>
      <w:sz w:val="20"/>
      <w:szCs w:val="20"/>
    </w:rPr>
  </w:style>
  <w:style w:type="paragraph" w:styleId="af0">
    <w:name w:val="Body Text"/>
    <w:basedOn w:val="a"/>
    <w:link w:val="af1"/>
    <w:uiPriority w:val="99"/>
    <w:semiHidden/>
    <w:unhideWhenUsed/>
    <w:rsid w:val="00AD6090"/>
    <w:pPr>
      <w:spacing w:after="120"/>
    </w:pPr>
  </w:style>
  <w:style w:type="character" w:customStyle="1" w:styleId="af1">
    <w:name w:val="正文文本 字符"/>
    <w:basedOn w:val="a0"/>
    <w:link w:val="af0"/>
    <w:uiPriority w:val="99"/>
    <w:semiHidden/>
    <w:rsid w:val="00AD6090"/>
  </w:style>
  <w:style w:type="character" w:customStyle="1" w:styleId="41">
    <w:name w:val="标题 4 字符"/>
    <w:basedOn w:val="a0"/>
    <w:link w:val="4"/>
    <w:uiPriority w:val="9"/>
    <w:rsid w:val="00CA2AFE"/>
    <w:rPr>
      <w:rFonts w:ascii="Arial" w:eastAsia="Yu Mincho" w:hAnsi="Arial" w:cs="Arial"/>
      <w:kern w:val="0"/>
      <w:sz w:val="22"/>
      <w:lang w:eastAsia="ja-JP"/>
    </w:rPr>
  </w:style>
  <w:style w:type="character" w:customStyle="1" w:styleId="aa">
    <w:name w:val="题注 字符"/>
    <w:link w:val="a9"/>
    <w:uiPriority w:val="35"/>
    <w:qFormat/>
    <w:rsid w:val="00D55FB8"/>
    <w:rPr>
      <w:rFonts w:asciiTheme="majorHAnsi" w:eastAsia="黑体" w:hAnsiTheme="majorHAnsi" w:cstheme="majorBidi"/>
      <w:sz w:val="20"/>
      <w:szCs w:val="20"/>
    </w:rPr>
  </w:style>
  <w:style w:type="character" w:styleId="af2">
    <w:name w:val="annotation reference"/>
    <w:basedOn w:val="a0"/>
    <w:unhideWhenUsed/>
    <w:qFormat/>
    <w:rsid w:val="00884DAB"/>
    <w:rPr>
      <w:sz w:val="21"/>
      <w:szCs w:val="21"/>
    </w:rPr>
  </w:style>
  <w:style w:type="paragraph" w:styleId="af3">
    <w:name w:val="annotation text"/>
    <w:basedOn w:val="a"/>
    <w:link w:val="af4"/>
    <w:unhideWhenUsed/>
    <w:qFormat/>
    <w:rsid w:val="00884DAB"/>
    <w:pPr>
      <w:jc w:val="left"/>
    </w:pPr>
  </w:style>
  <w:style w:type="character" w:customStyle="1" w:styleId="af4">
    <w:name w:val="批注文字 字符"/>
    <w:basedOn w:val="a0"/>
    <w:link w:val="af3"/>
    <w:uiPriority w:val="99"/>
    <w:rsid w:val="00884DAB"/>
  </w:style>
  <w:style w:type="paragraph" w:styleId="af5">
    <w:name w:val="annotation subject"/>
    <w:basedOn w:val="af3"/>
    <w:next w:val="af3"/>
    <w:link w:val="af6"/>
    <w:uiPriority w:val="99"/>
    <w:semiHidden/>
    <w:unhideWhenUsed/>
    <w:rsid w:val="00884DAB"/>
    <w:rPr>
      <w:b/>
      <w:bCs/>
    </w:rPr>
  </w:style>
  <w:style w:type="character" w:customStyle="1" w:styleId="af6">
    <w:name w:val="批注主题 字符"/>
    <w:basedOn w:val="af4"/>
    <w:link w:val="af5"/>
    <w:uiPriority w:val="99"/>
    <w:semiHidden/>
    <w:rsid w:val="00884DAB"/>
    <w:rPr>
      <w:b/>
      <w:bCs/>
    </w:rPr>
  </w:style>
  <w:style w:type="paragraph" w:customStyle="1" w:styleId="Default">
    <w:name w:val="Default"/>
    <w:rsid w:val="001577DB"/>
    <w:pPr>
      <w:widowControl w:val="0"/>
      <w:autoSpaceDE w:val="0"/>
      <w:autoSpaceDN w:val="0"/>
      <w:adjustRightInd w:val="0"/>
    </w:pPr>
    <w:rPr>
      <w:rFonts w:ascii="Times New Roman" w:hAnsi="Times New Roman" w:cs="Times New Roman"/>
      <w:color w:val="000000"/>
      <w:kern w:val="0"/>
      <w:sz w:val="24"/>
      <w:szCs w:val="24"/>
    </w:rPr>
  </w:style>
  <w:style w:type="paragraph" w:customStyle="1" w:styleId="0Maintext">
    <w:name w:val="0 Main text"/>
    <w:basedOn w:val="a"/>
    <w:link w:val="0MaintextChar"/>
    <w:qFormat/>
    <w:rsid w:val="00F7700F"/>
    <w:pPr>
      <w:widowControl/>
      <w:spacing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0"/>
    <w:link w:val="0Maintext"/>
    <w:qFormat/>
    <w:rsid w:val="00F7700F"/>
    <w:rPr>
      <w:rFonts w:ascii="Times New Roman" w:eastAsia="Times New Roman" w:hAnsi="Times New Roman" w:cs="Batang"/>
      <w:kern w:val="0"/>
      <w:sz w:val="20"/>
      <w:szCs w:val="20"/>
      <w:lang w:val="en-GB" w:eastAsia="en-US"/>
    </w:rPr>
  </w:style>
  <w:style w:type="paragraph" w:customStyle="1" w:styleId="40">
    <w:name w:val="样式4"/>
    <w:basedOn w:val="4"/>
    <w:link w:val="43"/>
    <w:qFormat/>
    <w:rsid w:val="006E1645"/>
    <w:pPr>
      <w:numPr>
        <w:numId w:val="5"/>
      </w:numPr>
    </w:pPr>
  </w:style>
  <w:style w:type="character" w:customStyle="1" w:styleId="43">
    <w:name w:val="样式4 字符"/>
    <w:basedOn w:val="41"/>
    <w:link w:val="40"/>
    <w:rsid w:val="006E1645"/>
    <w:rPr>
      <w:rFonts w:ascii="Arial" w:eastAsia="Yu Mincho" w:hAnsi="Arial" w:cs="Arial"/>
      <w:kern w:val="0"/>
      <w:sz w:val="22"/>
      <w:lang w:eastAsia="ja-JP"/>
    </w:rPr>
  </w:style>
  <w:style w:type="paragraph" w:customStyle="1" w:styleId="EQ">
    <w:name w:val="EQ"/>
    <w:basedOn w:val="a"/>
    <w:next w:val="a"/>
    <w:qFormat/>
    <w:rsid w:val="00205BF7"/>
    <w:pPr>
      <w:keepLines/>
      <w:widowControl/>
      <w:tabs>
        <w:tab w:val="center" w:pos="4536"/>
        <w:tab w:val="right" w:pos="9639"/>
      </w:tabs>
      <w:spacing w:after="180"/>
      <w:jc w:val="left"/>
    </w:pPr>
    <w:rPr>
      <w:rFonts w:eastAsia="Malgun Gothic" w:cs="Times New Roman"/>
      <w:noProof/>
      <w:kern w:val="0"/>
      <w:sz w:val="20"/>
      <w:szCs w:val="20"/>
      <w:lang w:val="en-GB" w:eastAsia="en-US"/>
    </w:rPr>
  </w:style>
  <w:style w:type="paragraph" w:styleId="af7">
    <w:name w:val="Revision"/>
    <w:hidden/>
    <w:uiPriority w:val="99"/>
    <w:semiHidden/>
    <w:rsid w:val="00A97108"/>
    <w:rPr>
      <w:rFonts w:ascii="Times New Roman" w:hAnsi="Times New Roman"/>
    </w:rPr>
  </w:style>
  <w:style w:type="table" w:customStyle="1" w:styleId="TableGrid1">
    <w:name w:val="TableGrid1"/>
    <w:basedOn w:val="a1"/>
    <w:next w:val="a7"/>
    <w:qFormat/>
    <w:rsid w:val="008A6355"/>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7"/>
    <w:qFormat/>
    <w:rsid w:val="00BD2F2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7"/>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next w:val="a7"/>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713934"/>
  </w:style>
  <w:style w:type="table" w:customStyle="1" w:styleId="TableGrid4">
    <w:name w:val="TableGrid4"/>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2"/>
    <w:uiPriority w:val="99"/>
    <w:semiHidden/>
    <w:unhideWhenUsed/>
    <w:rsid w:val="00713934"/>
  </w:style>
  <w:style w:type="table" w:customStyle="1" w:styleId="6">
    <w:name w:val="网格型6"/>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rsid w:val="00713934"/>
    <w:rPr>
      <w:rFonts w:ascii="Times New Roman" w:hAnsi="Times New Roman"/>
    </w:rPr>
  </w:style>
  <w:style w:type="character" w:customStyle="1" w:styleId="Char">
    <w:name w:val="批注文字 Char"/>
    <w:basedOn w:val="a0"/>
    <w:rsid w:val="00521226"/>
    <w:rPr>
      <w:rFonts w:ascii="Times New Roman" w:hAnsi="Times New Roman"/>
    </w:rPr>
  </w:style>
  <w:style w:type="table" w:customStyle="1" w:styleId="7">
    <w:name w:val="网格型7"/>
    <w:basedOn w:val="a1"/>
    <w:next w:val="a7"/>
    <w:uiPriority w:val="39"/>
    <w:qFormat/>
    <w:rsid w:val="00AB6437"/>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itle"/>
    <w:basedOn w:val="a"/>
    <w:next w:val="a"/>
    <w:link w:val="af9"/>
    <w:uiPriority w:val="10"/>
    <w:qFormat/>
    <w:rsid w:val="00F70D93"/>
    <w:pPr>
      <w:spacing w:before="240" w:after="60"/>
      <w:jc w:val="center"/>
      <w:outlineLvl w:val="0"/>
    </w:pPr>
    <w:rPr>
      <w:rFonts w:ascii="黑体" w:eastAsia="黑体" w:hAnsi="黑体" w:cstheme="majorBidi"/>
      <w:bCs/>
      <w:sz w:val="72"/>
      <w:szCs w:val="32"/>
    </w:rPr>
  </w:style>
  <w:style w:type="character" w:customStyle="1" w:styleId="af9">
    <w:name w:val="标题 字符"/>
    <w:basedOn w:val="a0"/>
    <w:link w:val="af8"/>
    <w:uiPriority w:val="10"/>
    <w:qFormat/>
    <w:rsid w:val="00F70D93"/>
    <w:rPr>
      <w:rFonts w:ascii="黑体" w:eastAsia="黑体" w:hAnsi="黑体" w:cstheme="majorBidi"/>
      <w:bCs/>
      <w:sz w:val="72"/>
      <w:szCs w:val="32"/>
    </w:rPr>
  </w:style>
  <w:style w:type="numbering" w:customStyle="1" w:styleId="22">
    <w:name w:val="无列表2"/>
    <w:next w:val="a2"/>
    <w:uiPriority w:val="99"/>
    <w:semiHidden/>
    <w:unhideWhenUsed/>
    <w:rsid w:val="00E8353E"/>
  </w:style>
  <w:style w:type="numbering" w:customStyle="1" w:styleId="120">
    <w:name w:val="无列表12"/>
    <w:next w:val="a2"/>
    <w:uiPriority w:val="99"/>
    <w:semiHidden/>
    <w:unhideWhenUsed/>
    <w:rsid w:val="00E8353E"/>
  </w:style>
  <w:style w:type="numbering" w:customStyle="1" w:styleId="1111">
    <w:name w:val="无列表111"/>
    <w:next w:val="a2"/>
    <w:uiPriority w:val="99"/>
    <w:semiHidden/>
    <w:unhideWhenUsed/>
    <w:rsid w:val="00E8353E"/>
  </w:style>
  <w:style w:type="numbering" w:customStyle="1" w:styleId="32">
    <w:name w:val="无列表3"/>
    <w:next w:val="a2"/>
    <w:uiPriority w:val="99"/>
    <w:semiHidden/>
    <w:unhideWhenUsed/>
    <w:rsid w:val="002A2560"/>
  </w:style>
  <w:style w:type="numbering" w:customStyle="1" w:styleId="130">
    <w:name w:val="无列表13"/>
    <w:next w:val="a2"/>
    <w:uiPriority w:val="99"/>
    <w:semiHidden/>
    <w:unhideWhenUsed/>
    <w:rsid w:val="002A2560"/>
  </w:style>
  <w:style w:type="numbering" w:customStyle="1" w:styleId="112">
    <w:name w:val="无列表112"/>
    <w:next w:val="a2"/>
    <w:uiPriority w:val="99"/>
    <w:semiHidden/>
    <w:unhideWhenUsed/>
    <w:rsid w:val="002A2560"/>
  </w:style>
  <w:style w:type="table" w:customStyle="1" w:styleId="TableGrid5">
    <w:name w:val="TableGrid5"/>
    <w:basedOn w:val="a1"/>
    <w:qFormat/>
    <w:rsid w:val="008A55DC"/>
    <w:pPr>
      <w:suppressAutoHyphens/>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21366392">
      <w:bodyDiv w:val="1"/>
      <w:marLeft w:val="0"/>
      <w:marRight w:val="0"/>
      <w:marTop w:val="0"/>
      <w:marBottom w:val="0"/>
      <w:divBdr>
        <w:top w:val="none" w:sz="0" w:space="0" w:color="auto"/>
        <w:left w:val="none" w:sz="0" w:space="0" w:color="auto"/>
        <w:bottom w:val="none" w:sz="0" w:space="0" w:color="auto"/>
        <w:right w:val="none" w:sz="0" w:space="0" w:color="auto"/>
      </w:divBdr>
      <w:divsChild>
        <w:div w:id="634407075">
          <w:marLeft w:val="1411"/>
          <w:marRight w:val="0"/>
          <w:marTop w:val="120"/>
          <w:marBottom w:val="0"/>
          <w:divBdr>
            <w:top w:val="none" w:sz="0" w:space="0" w:color="auto"/>
            <w:left w:val="none" w:sz="0" w:space="0" w:color="auto"/>
            <w:bottom w:val="none" w:sz="0" w:space="0" w:color="auto"/>
            <w:right w:val="none" w:sz="0" w:space="0" w:color="auto"/>
          </w:divBdr>
        </w:div>
        <w:div w:id="1159617846">
          <w:marLeft w:val="1411"/>
          <w:marRight w:val="0"/>
          <w:marTop w:val="120"/>
          <w:marBottom w:val="0"/>
          <w:divBdr>
            <w:top w:val="none" w:sz="0" w:space="0" w:color="auto"/>
            <w:left w:val="none" w:sz="0" w:space="0" w:color="auto"/>
            <w:bottom w:val="none" w:sz="0" w:space="0" w:color="auto"/>
            <w:right w:val="none" w:sz="0" w:space="0" w:color="auto"/>
          </w:divBdr>
        </w:div>
        <w:div w:id="1165589403">
          <w:marLeft w:val="1138"/>
          <w:marRight w:val="0"/>
          <w:marTop w:val="120"/>
          <w:marBottom w:val="0"/>
          <w:divBdr>
            <w:top w:val="none" w:sz="0" w:space="0" w:color="auto"/>
            <w:left w:val="none" w:sz="0" w:space="0" w:color="auto"/>
            <w:bottom w:val="none" w:sz="0" w:space="0" w:color="auto"/>
            <w:right w:val="none" w:sz="0" w:space="0" w:color="auto"/>
          </w:divBdr>
        </w:div>
        <w:div w:id="1997998707">
          <w:marLeft w:val="1411"/>
          <w:marRight w:val="0"/>
          <w:marTop w:val="120"/>
          <w:marBottom w:val="0"/>
          <w:divBdr>
            <w:top w:val="none" w:sz="0" w:space="0" w:color="auto"/>
            <w:left w:val="none" w:sz="0" w:space="0" w:color="auto"/>
            <w:bottom w:val="none" w:sz="0" w:space="0" w:color="auto"/>
            <w:right w:val="none" w:sz="0" w:space="0" w:color="auto"/>
          </w:divBdr>
        </w:div>
        <w:div w:id="2018847760">
          <w:marLeft w:val="1699"/>
          <w:marRight w:val="0"/>
          <w:marTop w:val="120"/>
          <w:marBottom w:val="0"/>
          <w:divBdr>
            <w:top w:val="none" w:sz="0" w:space="0" w:color="auto"/>
            <w:left w:val="none" w:sz="0" w:space="0" w:color="auto"/>
            <w:bottom w:val="none" w:sz="0" w:space="0" w:color="auto"/>
            <w:right w:val="none" w:sz="0" w:space="0" w:color="auto"/>
          </w:divBdr>
        </w:div>
        <w:div w:id="2022194112">
          <w:marLeft w:val="1411"/>
          <w:marRight w:val="0"/>
          <w:marTop w:val="120"/>
          <w:marBottom w:val="0"/>
          <w:divBdr>
            <w:top w:val="none" w:sz="0" w:space="0" w:color="auto"/>
            <w:left w:val="none" w:sz="0" w:space="0" w:color="auto"/>
            <w:bottom w:val="none" w:sz="0" w:space="0" w:color="auto"/>
            <w:right w:val="none" w:sz="0" w:space="0" w:color="auto"/>
          </w:divBdr>
        </w:div>
      </w:divsChild>
    </w:div>
    <w:div w:id="30419769">
      <w:bodyDiv w:val="1"/>
      <w:marLeft w:val="0"/>
      <w:marRight w:val="0"/>
      <w:marTop w:val="0"/>
      <w:marBottom w:val="0"/>
      <w:divBdr>
        <w:top w:val="none" w:sz="0" w:space="0" w:color="auto"/>
        <w:left w:val="none" w:sz="0" w:space="0" w:color="auto"/>
        <w:bottom w:val="none" w:sz="0" w:space="0" w:color="auto"/>
        <w:right w:val="none" w:sz="0" w:space="0" w:color="auto"/>
      </w:divBdr>
      <w:divsChild>
        <w:div w:id="39330687">
          <w:marLeft w:val="1238"/>
          <w:marRight w:val="0"/>
          <w:marTop w:val="120"/>
          <w:marBottom w:val="0"/>
          <w:divBdr>
            <w:top w:val="none" w:sz="0" w:space="0" w:color="auto"/>
            <w:left w:val="none" w:sz="0" w:space="0" w:color="auto"/>
            <w:bottom w:val="none" w:sz="0" w:space="0" w:color="auto"/>
            <w:right w:val="none" w:sz="0" w:space="0" w:color="auto"/>
          </w:divBdr>
        </w:div>
        <w:div w:id="154028707">
          <w:marLeft w:val="893"/>
          <w:marRight w:val="0"/>
          <w:marTop w:val="120"/>
          <w:marBottom w:val="0"/>
          <w:divBdr>
            <w:top w:val="none" w:sz="0" w:space="0" w:color="auto"/>
            <w:left w:val="none" w:sz="0" w:space="0" w:color="auto"/>
            <w:bottom w:val="none" w:sz="0" w:space="0" w:color="auto"/>
            <w:right w:val="none" w:sz="0" w:space="0" w:color="auto"/>
          </w:divBdr>
        </w:div>
        <w:div w:id="806237547">
          <w:marLeft w:val="1238"/>
          <w:marRight w:val="0"/>
          <w:marTop w:val="120"/>
          <w:marBottom w:val="0"/>
          <w:divBdr>
            <w:top w:val="none" w:sz="0" w:space="0" w:color="auto"/>
            <w:left w:val="none" w:sz="0" w:space="0" w:color="auto"/>
            <w:bottom w:val="none" w:sz="0" w:space="0" w:color="auto"/>
            <w:right w:val="none" w:sz="0" w:space="0" w:color="auto"/>
          </w:divBdr>
        </w:div>
        <w:div w:id="1302272449">
          <w:marLeft w:val="1166"/>
          <w:marRight w:val="0"/>
          <w:marTop w:val="120"/>
          <w:marBottom w:val="0"/>
          <w:divBdr>
            <w:top w:val="none" w:sz="0" w:space="0" w:color="auto"/>
            <w:left w:val="none" w:sz="0" w:space="0" w:color="auto"/>
            <w:bottom w:val="none" w:sz="0" w:space="0" w:color="auto"/>
            <w:right w:val="none" w:sz="0" w:space="0" w:color="auto"/>
          </w:divBdr>
        </w:div>
        <w:div w:id="1524513913">
          <w:marLeft w:val="893"/>
          <w:marRight w:val="0"/>
          <w:marTop w:val="120"/>
          <w:marBottom w:val="0"/>
          <w:divBdr>
            <w:top w:val="none" w:sz="0" w:space="0" w:color="auto"/>
            <w:left w:val="none" w:sz="0" w:space="0" w:color="auto"/>
            <w:bottom w:val="none" w:sz="0" w:space="0" w:color="auto"/>
            <w:right w:val="none" w:sz="0" w:space="0" w:color="auto"/>
          </w:divBdr>
        </w:div>
        <w:div w:id="1575311801">
          <w:marLeft w:val="1238"/>
          <w:marRight w:val="0"/>
          <w:marTop w:val="120"/>
          <w:marBottom w:val="0"/>
          <w:divBdr>
            <w:top w:val="none" w:sz="0" w:space="0" w:color="auto"/>
            <w:left w:val="none" w:sz="0" w:space="0" w:color="auto"/>
            <w:bottom w:val="none" w:sz="0" w:space="0" w:color="auto"/>
            <w:right w:val="none" w:sz="0" w:space="0" w:color="auto"/>
          </w:divBdr>
        </w:div>
        <w:div w:id="1611208300">
          <w:marLeft w:val="893"/>
          <w:marRight w:val="0"/>
          <w:marTop w:val="120"/>
          <w:marBottom w:val="0"/>
          <w:divBdr>
            <w:top w:val="none" w:sz="0" w:space="0" w:color="auto"/>
            <w:left w:val="none" w:sz="0" w:space="0" w:color="auto"/>
            <w:bottom w:val="none" w:sz="0" w:space="0" w:color="auto"/>
            <w:right w:val="none" w:sz="0" w:space="0" w:color="auto"/>
          </w:divBdr>
        </w:div>
        <w:div w:id="2067607608">
          <w:marLeft w:val="547"/>
          <w:marRight w:val="0"/>
          <w:marTop w:val="120"/>
          <w:marBottom w:val="0"/>
          <w:divBdr>
            <w:top w:val="none" w:sz="0" w:space="0" w:color="auto"/>
            <w:left w:val="none" w:sz="0" w:space="0" w:color="auto"/>
            <w:bottom w:val="none" w:sz="0" w:space="0" w:color="auto"/>
            <w:right w:val="none" w:sz="0" w:space="0" w:color="auto"/>
          </w:divBdr>
        </w:div>
      </w:divsChild>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49306806">
      <w:bodyDiv w:val="1"/>
      <w:marLeft w:val="0"/>
      <w:marRight w:val="0"/>
      <w:marTop w:val="0"/>
      <w:marBottom w:val="0"/>
      <w:divBdr>
        <w:top w:val="none" w:sz="0" w:space="0" w:color="auto"/>
        <w:left w:val="none" w:sz="0" w:space="0" w:color="auto"/>
        <w:bottom w:val="none" w:sz="0" w:space="0" w:color="auto"/>
        <w:right w:val="none" w:sz="0" w:space="0" w:color="auto"/>
      </w:divBdr>
      <w:divsChild>
        <w:div w:id="797648058">
          <w:marLeft w:val="0"/>
          <w:marRight w:val="0"/>
          <w:marTop w:val="0"/>
          <w:marBottom w:val="0"/>
          <w:divBdr>
            <w:top w:val="none" w:sz="0" w:space="0" w:color="auto"/>
            <w:left w:val="none" w:sz="0" w:space="0" w:color="auto"/>
            <w:bottom w:val="none" w:sz="0" w:space="0" w:color="auto"/>
            <w:right w:val="none" w:sz="0" w:space="0" w:color="auto"/>
          </w:divBdr>
        </w:div>
      </w:divsChild>
    </w:div>
    <w:div w:id="71781868">
      <w:bodyDiv w:val="1"/>
      <w:marLeft w:val="0"/>
      <w:marRight w:val="0"/>
      <w:marTop w:val="0"/>
      <w:marBottom w:val="0"/>
      <w:divBdr>
        <w:top w:val="none" w:sz="0" w:space="0" w:color="auto"/>
        <w:left w:val="none" w:sz="0" w:space="0" w:color="auto"/>
        <w:bottom w:val="none" w:sz="0" w:space="0" w:color="auto"/>
        <w:right w:val="none" w:sz="0" w:space="0" w:color="auto"/>
      </w:divBdr>
      <w:divsChild>
        <w:div w:id="996692781">
          <w:marLeft w:val="562"/>
          <w:marRight w:val="0"/>
          <w:marTop w:val="120"/>
          <w:marBottom w:val="0"/>
          <w:divBdr>
            <w:top w:val="none" w:sz="0" w:space="0" w:color="auto"/>
            <w:left w:val="none" w:sz="0" w:space="0" w:color="auto"/>
            <w:bottom w:val="none" w:sz="0" w:space="0" w:color="auto"/>
            <w:right w:val="none" w:sz="0" w:space="0" w:color="auto"/>
          </w:divBdr>
        </w:div>
      </w:divsChild>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23162352">
      <w:bodyDiv w:val="1"/>
      <w:marLeft w:val="0"/>
      <w:marRight w:val="0"/>
      <w:marTop w:val="0"/>
      <w:marBottom w:val="0"/>
      <w:divBdr>
        <w:top w:val="none" w:sz="0" w:space="0" w:color="auto"/>
        <w:left w:val="none" w:sz="0" w:space="0" w:color="auto"/>
        <w:bottom w:val="none" w:sz="0" w:space="0" w:color="auto"/>
        <w:right w:val="none" w:sz="0" w:space="0" w:color="auto"/>
      </w:divBdr>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55608441">
      <w:bodyDiv w:val="1"/>
      <w:marLeft w:val="0"/>
      <w:marRight w:val="0"/>
      <w:marTop w:val="0"/>
      <w:marBottom w:val="0"/>
      <w:divBdr>
        <w:top w:val="none" w:sz="0" w:space="0" w:color="auto"/>
        <w:left w:val="none" w:sz="0" w:space="0" w:color="auto"/>
        <w:bottom w:val="none" w:sz="0" w:space="0" w:color="auto"/>
        <w:right w:val="none" w:sz="0" w:space="0" w:color="auto"/>
      </w:divBdr>
      <w:divsChild>
        <w:div w:id="129786858">
          <w:marLeft w:val="562"/>
          <w:marRight w:val="0"/>
          <w:marTop w:val="120"/>
          <w:marBottom w:val="0"/>
          <w:divBdr>
            <w:top w:val="none" w:sz="0" w:space="0" w:color="auto"/>
            <w:left w:val="none" w:sz="0" w:space="0" w:color="auto"/>
            <w:bottom w:val="none" w:sz="0" w:space="0" w:color="auto"/>
            <w:right w:val="none" w:sz="0" w:space="0" w:color="auto"/>
          </w:divBdr>
        </w:div>
        <w:div w:id="831065761">
          <w:marLeft w:val="850"/>
          <w:marRight w:val="0"/>
          <w:marTop w:val="120"/>
          <w:marBottom w:val="0"/>
          <w:divBdr>
            <w:top w:val="none" w:sz="0" w:space="0" w:color="auto"/>
            <w:left w:val="none" w:sz="0" w:space="0" w:color="auto"/>
            <w:bottom w:val="none" w:sz="0" w:space="0" w:color="auto"/>
            <w:right w:val="none" w:sz="0" w:space="0" w:color="auto"/>
          </w:divBdr>
        </w:div>
        <w:div w:id="78715511">
          <w:marLeft w:val="850"/>
          <w:marRight w:val="0"/>
          <w:marTop w:val="120"/>
          <w:marBottom w:val="0"/>
          <w:divBdr>
            <w:top w:val="none" w:sz="0" w:space="0" w:color="auto"/>
            <w:left w:val="none" w:sz="0" w:space="0" w:color="auto"/>
            <w:bottom w:val="none" w:sz="0" w:space="0" w:color="auto"/>
            <w:right w:val="none" w:sz="0" w:space="0" w:color="auto"/>
          </w:divBdr>
        </w:div>
        <w:div w:id="2044282950">
          <w:marLeft w:val="1138"/>
          <w:marRight w:val="0"/>
          <w:marTop w:val="120"/>
          <w:marBottom w:val="0"/>
          <w:divBdr>
            <w:top w:val="none" w:sz="0" w:space="0" w:color="auto"/>
            <w:left w:val="none" w:sz="0" w:space="0" w:color="auto"/>
            <w:bottom w:val="none" w:sz="0" w:space="0" w:color="auto"/>
            <w:right w:val="none" w:sz="0" w:space="0" w:color="auto"/>
          </w:divBdr>
        </w:div>
        <w:div w:id="315039427">
          <w:marLeft w:val="1138"/>
          <w:marRight w:val="0"/>
          <w:marTop w:val="120"/>
          <w:marBottom w:val="0"/>
          <w:divBdr>
            <w:top w:val="none" w:sz="0" w:space="0" w:color="auto"/>
            <w:left w:val="none" w:sz="0" w:space="0" w:color="auto"/>
            <w:bottom w:val="none" w:sz="0" w:space="0" w:color="auto"/>
            <w:right w:val="none" w:sz="0" w:space="0" w:color="auto"/>
          </w:divBdr>
        </w:div>
        <w:div w:id="660080957">
          <w:marLeft w:val="1138"/>
          <w:marRight w:val="0"/>
          <w:marTop w:val="120"/>
          <w:marBottom w:val="0"/>
          <w:divBdr>
            <w:top w:val="none" w:sz="0" w:space="0" w:color="auto"/>
            <w:left w:val="none" w:sz="0" w:space="0" w:color="auto"/>
            <w:bottom w:val="none" w:sz="0" w:space="0" w:color="auto"/>
            <w:right w:val="none" w:sz="0" w:space="0" w:color="auto"/>
          </w:divBdr>
        </w:div>
        <w:div w:id="1578787702">
          <w:marLeft w:val="1138"/>
          <w:marRight w:val="0"/>
          <w:marTop w:val="120"/>
          <w:marBottom w:val="0"/>
          <w:divBdr>
            <w:top w:val="none" w:sz="0" w:space="0" w:color="auto"/>
            <w:left w:val="none" w:sz="0" w:space="0" w:color="auto"/>
            <w:bottom w:val="none" w:sz="0" w:space="0" w:color="auto"/>
            <w:right w:val="none" w:sz="0" w:space="0" w:color="auto"/>
          </w:divBdr>
        </w:div>
        <w:div w:id="1828747346">
          <w:marLeft w:val="562"/>
          <w:marRight w:val="0"/>
          <w:marTop w:val="120"/>
          <w:marBottom w:val="0"/>
          <w:divBdr>
            <w:top w:val="none" w:sz="0" w:space="0" w:color="auto"/>
            <w:left w:val="none" w:sz="0" w:space="0" w:color="auto"/>
            <w:bottom w:val="none" w:sz="0" w:space="0" w:color="auto"/>
            <w:right w:val="none" w:sz="0" w:space="0" w:color="auto"/>
          </w:divBdr>
        </w:div>
      </w:divsChild>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07374094">
      <w:bodyDiv w:val="1"/>
      <w:marLeft w:val="0"/>
      <w:marRight w:val="0"/>
      <w:marTop w:val="0"/>
      <w:marBottom w:val="0"/>
      <w:divBdr>
        <w:top w:val="none" w:sz="0" w:space="0" w:color="auto"/>
        <w:left w:val="none" w:sz="0" w:space="0" w:color="auto"/>
        <w:bottom w:val="none" w:sz="0" w:space="0" w:color="auto"/>
        <w:right w:val="none" w:sz="0" w:space="0" w:color="auto"/>
      </w:divBdr>
      <w:divsChild>
        <w:div w:id="398284069">
          <w:marLeft w:val="850"/>
          <w:marRight w:val="0"/>
          <w:marTop w:val="120"/>
          <w:marBottom w:val="0"/>
          <w:divBdr>
            <w:top w:val="none" w:sz="0" w:space="0" w:color="auto"/>
            <w:left w:val="none" w:sz="0" w:space="0" w:color="auto"/>
            <w:bottom w:val="none" w:sz="0" w:space="0" w:color="auto"/>
            <w:right w:val="none" w:sz="0" w:space="0" w:color="auto"/>
          </w:divBdr>
        </w:div>
        <w:div w:id="541018438">
          <w:marLeft w:val="1138"/>
          <w:marRight w:val="0"/>
          <w:marTop w:val="120"/>
          <w:marBottom w:val="0"/>
          <w:divBdr>
            <w:top w:val="none" w:sz="0" w:space="0" w:color="auto"/>
            <w:left w:val="none" w:sz="0" w:space="0" w:color="auto"/>
            <w:bottom w:val="none" w:sz="0" w:space="0" w:color="auto"/>
            <w:right w:val="none" w:sz="0" w:space="0" w:color="auto"/>
          </w:divBdr>
        </w:div>
        <w:div w:id="1109089008">
          <w:marLeft w:val="850"/>
          <w:marRight w:val="0"/>
          <w:marTop w:val="120"/>
          <w:marBottom w:val="0"/>
          <w:divBdr>
            <w:top w:val="none" w:sz="0" w:space="0" w:color="auto"/>
            <w:left w:val="none" w:sz="0" w:space="0" w:color="auto"/>
            <w:bottom w:val="none" w:sz="0" w:space="0" w:color="auto"/>
            <w:right w:val="none" w:sz="0" w:space="0" w:color="auto"/>
          </w:divBdr>
        </w:div>
        <w:div w:id="1358041717">
          <w:marLeft w:val="562"/>
          <w:marRight w:val="0"/>
          <w:marTop w:val="120"/>
          <w:marBottom w:val="0"/>
          <w:divBdr>
            <w:top w:val="none" w:sz="0" w:space="0" w:color="auto"/>
            <w:left w:val="none" w:sz="0" w:space="0" w:color="auto"/>
            <w:bottom w:val="none" w:sz="0" w:space="0" w:color="auto"/>
            <w:right w:val="none" w:sz="0" w:space="0" w:color="auto"/>
          </w:divBdr>
        </w:div>
        <w:div w:id="1867479936">
          <w:marLeft w:val="850"/>
          <w:marRight w:val="0"/>
          <w:marTop w:val="120"/>
          <w:marBottom w:val="0"/>
          <w:divBdr>
            <w:top w:val="none" w:sz="0" w:space="0" w:color="auto"/>
            <w:left w:val="none" w:sz="0" w:space="0" w:color="auto"/>
            <w:bottom w:val="none" w:sz="0" w:space="0" w:color="auto"/>
            <w:right w:val="none" w:sz="0" w:space="0" w:color="auto"/>
          </w:divBdr>
        </w:div>
      </w:divsChild>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0310625">
      <w:bodyDiv w:val="1"/>
      <w:marLeft w:val="0"/>
      <w:marRight w:val="0"/>
      <w:marTop w:val="0"/>
      <w:marBottom w:val="0"/>
      <w:divBdr>
        <w:top w:val="none" w:sz="0" w:space="0" w:color="auto"/>
        <w:left w:val="none" w:sz="0" w:space="0" w:color="auto"/>
        <w:bottom w:val="none" w:sz="0" w:space="0" w:color="auto"/>
        <w:right w:val="none" w:sz="0" w:space="0" w:color="auto"/>
      </w:divBdr>
      <w:divsChild>
        <w:div w:id="594749520">
          <w:marLeft w:val="850"/>
          <w:marRight w:val="0"/>
          <w:marTop w:val="120"/>
          <w:marBottom w:val="0"/>
          <w:divBdr>
            <w:top w:val="none" w:sz="0" w:space="0" w:color="auto"/>
            <w:left w:val="none" w:sz="0" w:space="0" w:color="auto"/>
            <w:bottom w:val="none" w:sz="0" w:space="0" w:color="auto"/>
            <w:right w:val="none" w:sz="0" w:space="0" w:color="auto"/>
          </w:divBdr>
        </w:div>
      </w:divsChild>
    </w:div>
    <w:div w:id="283731726">
      <w:bodyDiv w:val="1"/>
      <w:marLeft w:val="0"/>
      <w:marRight w:val="0"/>
      <w:marTop w:val="0"/>
      <w:marBottom w:val="0"/>
      <w:divBdr>
        <w:top w:val="none" w:sz="0" w:space="0" w:color="auto"/>
        <w:left w:val="none" w:sz="0" w:space="0" w:color="auto"/>
        <w:bottom w:val="none" w:sz="0" w:space="0" w:color="auto"/>
        <w:right w:val="none" w:sz="0" w:space="0" w:color="auto"/>
      </w:divBdr>
      <w:divsChild>
        <w:div w:id="199171705">
          <w:marLeft w:val="1138"/>
          <w:marRight w:val="0"/>
          <w:marTop w:val="120"/>
          <w:marBottom w:val="0"/>
          <w:divBdr>
            <w:top w:val="none" w:sz="0" w:space="0" w:color="auto"/>
            <w:left w:val="none" w:sz="0" w:space="0" w:color="auto"/>
            <w:bottom w:val="none" w:sz="0" w:space="0" w:color="auto"/>
            <w:right w:val="none" w:sz="0" w:space="0" w:color="auto"/>
          </w:divBdr>
        </w:div>
      </w:divsChild>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292904702">
      <w:bodyDiv w:val="1"/>
      <w:marLeft w:val="0"/>
      <w:marRight w:val="0"/>
      <w:marTop w:val="0"/>
      <w:marBottom w:val="0"/>
      <w:divBdr>
        <w:top w:val="none" w:sz="0" w:space="0" w:color="auto"/>
        <w:left w:val="none" w:sz="0" w:space="0" w:color="auto"/>
        <w:bottom w:val="none" w:sz="0" w:space="0" w:color="auto"/>
        <w:right w:val="none" w:sz="0" w:space="0" w:color="auto"/>
      </w:divBdr>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15399788">
      <w:bodyDiv w:val="1"/>
      <w:marLeft w:val="0"/>
      <w:marRight w:val="0"/>
      <w:marTop w:val="0"/>
      <w:marBottom w:val="0"/>
      <w:divBdr>
        <w:top w:val="none" w:sz="0" w:space="0" w:color="auto"/>
        <w:left w:val="none" w:sz="0" w:space="0" w:color="auto"/>
        <w:bottom w:val="none" w:sz="0" w:space="0" w:color="auto"/>
        <w:right w:val="none" w:sz="0" w:space="0" w:color="auto"/>
      </w:divBdr>
      <w:divsChild>
        <w:div w:id="2140805620">
          <w:marLeft w:val="562"/>
          <w:marRight w:val="0"/>
          <w:marTop w:val="120"/>
          <w:marBottom w:val="0"/>
          <w:divBdr>
            <w:top w:val="none" w:sz="0" w:space="0" w:color="auto"/>
            <w:left w:val="none" w:sz="0" w:space="0" w:color="auto"/>
            <w:bottom w:val="none" w:sz="0" w:space="0" w:color="auto"/>
            <w:right w:val="none" w:sz="0" w:space="0" w:color="auto"/>
          </w:divBdr>
        </w:div>
        <w:div w:id="1507555213">
          <w:marLeft w:val="850"/>
          <w:marRight w:val="0"/>
          <w:marTop w:val="120"/>
          <w:marBottom w:val="0"/>
          <w:divBdr>
            <w:top w:val="none" w:sz="0" w:space="0" w:color="auto"/>
            <w:left w:val="none" w:sz="0" w:space="0" w:color="auto"/>
            <w:bottom w:val="none" w:sz="0" w:space="0" w:color="auto"/>
            <w:right w:val="none" w:sz="0" w:space="0" w:color="auto"/>
          </w:divBdr>
        </w:div>
        <w:div w:id="815024598">
          <w:marLeft w:val="1138"/>
          <w:marRight w:val="0"/>
          <w:marTop w:val="120"/>
          <w:marBottom w:val="0"/>
          <w:divBdr>
            <w:top w:val="none" w:sz="0" w:space="0" w:color="auto"/>
            <w:left w:val="none" w:sz="0" w:space="0" w:color="auto"/>
            <w:bottom w:val="none" w:sz="0" w:space="0" w:color="auto"/>
            <w:right w:val="none" w:sz="0" w:space="0" w:color="auto"/>
          </w:divBdr>
        </w:div>
        <w:div w:id="73013739">
          <w:marLeft w:val="1138"/>
          <w:marRight w:val="0"/>
          <w:marTop w:val="120"/>
          <w:marBottom w:val="0"/>
          <w:divBdr>
            <w:top w:val="none" w:sz="0" w:space="0" w:color="auto"/>
            <w:left w:val="none" w:sz="0" w:space="0" w:color="auto"/>
            <w:bottom w:val="none" w:sz="0" w:space="0" w:color="auto"/>
            <w:right w:val="none" w:sz="0" w:space="0" w:color="auto"/>
          </w:divBdr>
        </w:div>
        <w:div w:id="1331908648">
          <w:marLeft w:val="850"/>
          <w:marRight w:val="0"/>
          <w:marTop w:val="120"/>
          <w:marBottom w:val="0"/>
          <w:divBdr>
            <w:top w:val="none" w:sz="0" w:space="0" w:color="auto"/>
            <w:left w:val="none" w:sz="0" w:space="0" w:color="auto"/>
            <w:bottom w:val="none" w:sz="0" w:space="0" w:color="auto"/>
            <w:right w:val="none" w:sz="0" w:space="0" w:color="auto"/>
          </w:divBdr>
        </w:div>
        <w:div w:id="1790853932">
          <w:marLeft w:val="1138"/>
          <w:marRight w:val="0"/>
          <w:marTop w:val="120"/>
          <w:marBottom w:val="0"/>
          <w:divBdr>
            <w:top w:val="none" w:sz="0" w:space="0" w:color="auto"/>
            <w:left w:val="none" w:sz="0" w:space="0" w:color="auto"/>
            <w:bottom w:val="none" w:sz="0" w:space="0" w:color="auto"/>
            <w:right w:val="none" w:sz="0" w:space="0" w:color="auto"/>
          </w:divBdr>
        </w:div>
        <w:div w:id="1064990268">
          <w:marLeft w:val="1138"/>
          <w:marRight w:val="0"/>
          <w:marTop w:val="120"/>
          <w:marBottom w:val="0"/>
          <w:divBdr>
            <w:top w:val="none" w:sz="0" w:space="0" w:color="auto"/>
            <w:left w:val="none" w:sz="0" w:space="0" w:color="auto"/>
            <w:bottom w:val="none" w:sz="0" w:space="0" w:color="auto"/>
            <w:right w:val="none" w:sz="0" w:space="0" w:color="auto"/>
          </w:divBdr>
        </w:div>
        <w:div w:id="1557466856">
          <w:marLeft w:val="1138"/>
          <w:marRight w:val="0"/>
          <w:marTop w:val="120"/>
          <w:marBottom w:val="0"/>
          <w:divBdr>
            <w:top w:val="none" w:sz="0" w:space="0" w:color="auto"/>
            <w:left w:val="none" w:sz="0" w:space="0" w:color="auto"/>
            <w:bottom w:val="none" w:sz="0" w:space="0" w:color="auto"/>
            <w:right w:val="none" w:sz="0" w:space="0" w:color="auto"/>
          </w:divBdr>
        </w:div>
        <w:div w:id="405805361">
          <w:marLeft w:val="1138"/>
          <w:marRight w:val="0"/>
          <w:marTop w:val="120"/>
          <w:marBottom w:val="0"/>
          <w:divBdr>
            <w:top w:val="none" w:sz="0" w:space="0" w:color="auto"/>
            <w:left w:val="none" w:sz="0" w:space="0" w:color="auto"/>
            <w:bottom w:val="none" w:sz="0" w:space="0" w:color="auto"/>
            <w:right w:val="none" w:sz="0" w:space="0" w:color="auto"/>
          </w:divBdr>
        </w:div>
        <w:div w:id="1158228051">
          <w:marLeft w:val="850"/>
          <w:marRight w:val="0"/>
          <w:marTop w:val="120"/>
          <w:marBottom w:val="0"/>
          <w:divBdr>
            <w:top w:val="none" w:sz="0" w:space="0" w:color="auto"/>
            <w:left w:val="none" w:sz="0" w:space="0" w:color="auto"/>
            <w:bottom w:val="none" w:sz="0" w:space="0" w:color="auto"/>
            <w:right w:val="none" w:sz="0" w:space="0" w:color="auto"/>
          </w:divBdr>
        </w:div>
        <w:div w:id="1223515943">
          <w:marLeft w:val="1138"/>
          <w:marRight w:val="0"/>
          <w:marTop w:val="120"/>
          <w:marBottom w:val="0"/>
          <w:divBdr>
            <w:top w:val="none" w:sz="0" w:space="0" w:color="auto"/>
            <w:left w:val="none" w:sz="0" w:space="0" w:color="auto"/>
            <w:bottom w:val="none" w:sz="0" w:space="0" w:color="auto"/>
            <w:right w:val="none" w:sz="0" w:space="0" w:color="auto"/>
          </w:divBdr>
        </w:div>
        <w:div w:id="486212839">
          <w:marLeft w:val="562"/>
          <w:marRight w:val="0"/>
          <w:marTop w:val="120"/>
          <w:marBottom w:val="0"/>
          <w:divBdr>
            <w:top w:val="none" w:sz="0" w:space="0" w:color="auto"/>
            <w:left w:val="none" w:sz="0" w:space="0" w:color="auto"/>
            <w:bottom w:val="none" w:sz="0" w:space="0" w:color="auto"/>
            <w:right w:val="none" w:sz="0" w:space="0" w:color="auto"/>
          </w:divBdr>
        </w:div>
        <w:div w:id="1362362680">
          <w:marLeft w:val="850"/>
          <w:marRight w:val="0"/>
          <w:marTop w:val="120"/>
          <w:marBottom w:val="0"/>
          <w:divBdr>
            <w:top w:val="none" w:sz="0" w:space="0" w:color="auto"/>
            <w:left w:val="none" w:sz="0" w:space="0" w:color="auto"/>
            <w:bottom w:val="none" w:sz="0" w:space="0" w:color="auto"/>
            <w:right w:val="none" w:sz="0" w:space="0" w:color="auto"/>
          </w:divBdr>
        </w:div>
        <w:div w:id="1854567871">
          <w:marLeft w:val="850"/>
          <w:marRight w:val="0"/>
          <w:marTop w:val="120"/>
          <w:marBottom w:val="0"/>
          <w:divBdr>
            <w:top w:val="none" w:sz="0" w:space="0" w:color="auto"/>
            <w:left w:val="none" w:sz="0" w:space="0" w:color="auto"/>
            <w:bottom w:val="none" w:sz="0" w:space="0" w:color="auto"/>
            <w:right w:val="none" w:sz="0" w:space="0" w:color="auto"/>
          </w:divBdr>
        </w:div>
        <w:div w:id="1709602331">
          <w:marLeft w:val="850"/>
          <w:marRight w:val="0"/>
          <w:marTop w:val="120"/>
          <w:marBottom w:val="0"/>
          <w:divBdr>
            <w:top w:val="none" w:sz="0" w:space="0" w:color="auto"/>
            <w:left w:val="none" w:sz="0" w:space="0" w:color="auto"/>
            <w:bottom w:val="none" w:sz="0" w:space="0" w:color="auto"/>
            <w:right w:val="none" w:sz="0" w:space="0" w:color="auto"/>
          </w:divBdr>
        </w:div>
      </w:divsChild>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32939754">
      <w:bodyDiv w:val="1"/>
      <w:marLeft w:val="0"/>
      <w:marRight w:val="0"/>
      <w:marTop w:val="0"/>
      <w:marBottom w:val="0"/>
      <w:divBdr>
        <w:top w:val="none" w:sz="0" w:space="0" w:color="auto"/>
        <w:left w:val="none" w:sz="0" w:space="0" w:color="auto"/>
        <w:bottom w:val="none" w:sz="0" w:space="0" w:color="auto"/>
        <w:right w:val="none" w:sz="0" w:space="0" w:color="auto"/>
      </w:divBdr>
      <w:divsChild>
        <w:div w:id="1311404441">
          <w:marLeft w:val="0"/>
          <w:marRight w:val="0"/>
          <w:marTop w:val="0"/>
          <w:marBottom w:val="0"/>
          <w:divBdr>
            <w:top w:val="none" w:sz="0" w:space="0" w:color="auto"/>
            <w:left w:val="none" w:sz="0" w:space="0" w:color="auto"/>
            <w:bottom w:val="none" w:sz="0" w:space="0" w:color="auto"/>
            <w:right w:val="none" w:sz="0" w:space="0" w:color="auto"/>
          </w:divBdr>
        </w:div>
      </w:divsChild>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494535108">
      <w:bodyDiv w:val="1"/>
      <w:marLeft w:val="0"/>
      <w:marRight w:val="0"/>
      <w:marTop w:val="0"/>
      <w:marBottom w:val="0"/>
      <w:divBdr>
        <w:top w:val="none" w:sz="0" w:space="0" w:color="auto"/>
        <w:left w:val="none" w:sz="0" w:space="0" w:color="auto"/>
        <w:bottom w:val="none" w:sz="0" w:space="0" w:color="auto"/>
        <w:right w:val="none" w:sz="0" w:space="0" w:color="auto"/>
      </w:divBdr>
      <w:divsChild>
        <w:div w:id="1977489804">
          <w:marLeft w:val="1138"/>
          <w:marRight w:val="0"/>
          <w:marTop w:val="120"/>
          <w:marBottom w:val="0"/>
          <w:divBdr>
            <w:top w:val="none" w:sz="0" w:space="0" w:color="auto"/>
            <w:left w:val="none" w:sz="0" w:space="0" w:color="auto"/>
            <w:bottom w:val="none" w:sz="0" w:space="0" w:color="auto"/>
            <w:right w:val="none" w:sz="0" w:space="0" w:color="auto"/>
          </w:divBdr>
        </w:div>
      </w:divsChild>
    </w:div>
    <w:div w:id="501624699">
      <w:bodyDiv w:val="1"/>
      <w:marLeft w:val="0"/>
      <w:marRight w:val="0"/>
      <w:marTop w:val="0"/>
      <w:marBottom w:val="0"/>
      <w:divBdr>
        <w:top w:val="none" w:sz="0" w:space="0" w:color="auto"/>
        <w:left w:val="none" w:sz="0" w:space="0" w:color="auto"/>
        <w:bottom w:val="none" w:sz="0" w:space="0" w:color="auto"/>
        <w:right w:val="none" w:sz="0" w:space="0" w:color="auto"/>
      </w:divBdr>
      <w:divsChild>
        <w:div w:id="1769037548">
          <w:marLeft w:val="0"/>
          <w:marRight w:val="0"/>
          <w:marTop w:val="0"/>
          <w:marBottom w:val="0"/>
          <w:divBdr>
            <w:top w:val="none" w:sz="0" w:space="0" w:color="auto"/>
            <w:left w:val="none" w:sz="0" w:space="0" w:color="auto"/>
            <w:bottom w:val="none" w:sz="0" w:space="0" w:color="auto"/>
            <w:right w:val="none" w:sz="0" w:space="0" w:color="auto"/>
          </w:divBdr>
        </w:div>
      </w:divsChild>
    </w:div>
    <w:div w:id="502743971">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17545060">
      <w:bodyDiv w:val="1"/>
      <w:marLeft w:val="0"/>
      <w:marRight w:val="0"/>
      <w:marTop w:val="0"/>
      <w:marBottom w:val="0"/>
      <w:divBdr>
        <w:top w:val="none" w:sz="0" w:space="0" w:color="auto"/>
        <w:left w:val="none" w:sz="0" w:space="0" w:color="auto"/>
        <w:bottom w:val="none" w:sz="0" w:space="0" w:color="auto"/>
        <w:right w:val="none" w:sz="0" w:space="0" w:color="auto"/>
      </w:divBdr>
      <w:divsChild>
        <w:div w:id="112217154">
          <w:marLeft w:val="562"/>
          <w:marRight w:val="0"/>
          <w:marTop w:val="120"/>
          <w:marBottom w:val="0"/>
          <w:divBdr>
            <w:top w:val="none" w:sz="0" w:space="0" w:color="auto"/>
            <w:left w:val="none" w:sz="0" w:space="0" w:color="auto"/>
            <w:bottom w:val="none" w:sz="0" w:space="0" w:color="auto"/>
            <w:right w:val="none" w:sz="0" w:space="0" w:color="auto"/>
          </w:divBdr>
        </w:div>
        <w:div w:id="1519125585">
          <w:marLeft w:val="850"/>
          <w:marRight w:val="0"/>
          <w:marTop w:val="120"/>
          <w:marBottom w:val="0"/>
          <w:divBdr>
            <w:top w:val="none" w:sz="0" w:space="0" w:color="auto"/>
            <w:left w:val="none" w:sz="0" w:space="0" w:color="auto"/>
            <w:bottom w:val="none" w:sz="0" w:space="0" w:color="auto"/>
            <w:right w:val="none" w:sz="0" w:space="0" w:color="auto"/>
          </w:divBdr>
        </w:div>
        <w:div w:id="772745668">
          <w:marLeft w:val="850"/>
          <w:marRight w:val="0"/>
          <w:marTop w:val="120"/>
          <w:marBottom w:val="0"/>
          <w:divBdr>
            <w:top w:val="none" w:sz="0" w:space="0" w:color="auto"/>
            <w:left w:val="none" w:sz="0" w:space="0" w:color="auto"/>
            <w:bottom w:val="none" w:sz="0" w:space="0" w:color="auto"/>
            <w:right w:val="none" w:sz="0" w:space="0" w:color="auto"/>
          </w:divBdr>
        </w:div>
        <w:div w:id="957104070">
          <w:marLeft w:val="850"/>
          <w:marRight w:val="0"/>
          <w:marTop w:val="120"/>
          <w:marBottom w:val="0"/>
          <w:divBdr>
            <w:top w:val="none" w:sz="0" w:space="0" w:color="auto"/>
            <w:left w:val="none" w:sz="0" w:space="0" w:color="auto"/>
            <w:bottom w:val="none" w:sz="0" w:space="0" w:color="auto"/>
            <w:right w:val="none" w:sz="0" w:space="0" w:color="auto"/>
          </w:divBdr>
        </w:div>
        <w:div w:id="1694650057">
          <w:marLeft w:val="850"/>
          <w:marRight w:val="0"/>
          <w:marTop w:val="120"/>
          <w:marBottom w:val="0"/>
          <w:divBdr>
            <w:top w:val="none" w:sz="0" w:space="0" w:color="auto"/>
            <w:left w:val="none" w:sz="0" w:space="0" w:color="auto"/>
            <w:bottom w:val="none" w:sz="0" w:space="0" w:color="auto"/>
            <w:right w:val="none" w:sz="0" w:space="0" w:color="auto"/>
          </w:divBdr>
        </w:div>
      </w:divsChild>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572354302">
      <w:bodyDiv w:val="1"/>
      <w:marLeft w:val="0"/>
      <w:marRight w:val="0"/>
      <w:marTop w:val="0"/>
      <w:marBottom w:val="0"/>
      <w:divBdr>
        <w:top w:val="none" w:sz="0" w:space="0" w:color="auto"/>
        <w:left w:val="none" w:sz="0" w:space="0" w:color="auto"/>
        <w:bottom w:val="none" w:sz="0" w:space="0" w:color="auto"/>
        <w:right w:val="none" w:sz="0" w:space="0" w:color="auto"/>
      </w:divBdr>
      <w:divsChild>
        <w:div w:id="549728857">
          <w:marLeft w:val="850"/>
          <w:marRight w:val="0"/>
          <w:marTop w:val="120"/>
          <w:marBottom w:val="0"/>
          <w:divBdr>
            <w:top w:val="none" w:sz="0" w:space="0" w:color="auto"/>
            <w:left w:val="none" w:sz="0" w:space="0" w:color="auto"/>
            <w:bottom w:val="none" w:sz="0" w:space="0" w:color="auto"/>
            <w:right w:val="none" w:sz="0" w:space="0" w:color="auto"/>
          </w:divBdr>
        </w:div>
      </w:divsChild>
    </w:div>
    <w:div w:id="594169295">
      <w:bodyDiv w:val="1"/>
      <w:marLeft w:val="0"/>
      <w:marRight w:val="0"/>
      <w:marTop w:val="0"/>
      <w:marBottom w:val="0"/>
      <w:divBdr>
        <w:top w:val="none" w:sz="0" w:space="0" w:color="auto"/>
        <w:left w:val="none" w:sz="0" w:space="0" w:color="auto"/>
        <w:bottom w:val="none" w:sz="0" w:space="0" w:color="auto"/>
        <w:right w:val="none" w:sz="0" w:space="0" w:color="auto"/>
      </w:divBdr>
      <w:divsChild>
        <w:div w:id="841821715">
          <w:marLeft w:val="1181"/>
          <w:marRight w:val="0"/>
          <w:marTop w:val="40"/>
          <w:marBottom w:val="80"/>
          <w:divBdr>
            <w:top w:val="none" w:sz="0" w:space="0" w:color="auto"/>
            <w:left w:val="none" w:sz="0" w:space="0" w:color="auto"/>
            <w:bottom w:val="none" w:sz="0" w:space="0" w:color="auto"/>
            <w:right w:val="none" w:sz="0" w:space="0" w:color="auto"/>
          </w:divBdr>
        </w:div>
        <w:div w:id="1091924609">
          <w:marLeft w:val="1181"/>
          <w:marRight w:val="0"/>
          <w:marTop w:val="40"/>
          <w:marBottom w:val="80"/>
          <w:divBdr>
            <w:top w:val="none" w:sz="0" w:space="0" w:color="auto"/>
            <w:left w:val="none" w:sz="0" w:space="0" w:color="auto"/>
            <w:bottom w:val="none" w:sz="0" w:space="0" w:color="auto"/>
            <w:right w:val="none" w:sz="0" w:space="0" w:color="auto"/>
          </w:divBdr>
        </w:div>
        <w:div w:id="1840845248">
          <w:marLeft w:val="1181"/>
          <w:marRight w:val="0"/>
          <w:marTop w:val="40"/>
          <w:marBottom w:val="80"/>
          <w:divBdr>
            <w:top w:val="none" w:sz="0" w:space="0" w:color="auto"/>
            <w:left w:val="none" w:sz="0" w:space="0" w:color="auto"/>
            <w:bottom w:val="none" w:sz="0" w:space="0" w:color="auto"/>
            <w:right w:val="none" w:sz="0" w:space="0" w:color="auto"/>
          </w:divBdr>
        </w:div>
      </w:divsChild>
    </w:div>
    <w:div w:id="594362998">
      <w:bodyDiv w:val="1"/>
      <w:marLeft w:val="0"/>
      <w:marRight w:val="0"/>
      <w:marTop w:val="0"/>
      <w:marBottom w:val="0"/>
      <w:divBdr>
        <w:top w:val="none" w:sz="0" w:space="0" w:color="auto"/>
        <w:left w:val="none" w:sz="0" w:space="0" w:color="auto"/>
        <w:bottom w:val="none" w:sz="0" w:space="0" w:color="auto"/>
        <w:right w:val="none" w:sz="0" w:space="0" w:color="auto"/>
      </w:divBdr>
      <w:divsChild>
        <w:div w:id="359010713">
          <w:marLeft w:val="0"/>
          <w:marRight w:val="0"/>
          <w:marTop w:val="0"/>
          <w:marBottom w:val="0"/>
          <w:divBdr>
            <w:top w:val="none" w:sz="0" w:space="0" w:color="auto"/>
            <w:left w:val="none" w:sz="0" w:space="0" w:color="auto"/>
            <w:bottom w:val="none" w:sz="0" w:space="0" w:color="auto"/>
            <w:right w:val="none" w:sz="0" w:space="0" w:color="auto"/>
          </w:divBdr>
        </w:div>
      </w:divsChild>
    </w:div>
    <w:div w:id="599988462">
      <w:bodyDiv w:val="1"/>
      <w:marLeft w:val="0"/>
      <w:marRight w:val="0"/>
      <w:marTop w:val="0"/>
      <w:marBottom w:val="0"/>
      <w:divBdr>
        <w:top w:val="none" w:sz="0" w:space="0" w:color="auto"/>
        <w:left w:val="none" w:sz="0" w:space="0" w:color="auto"/>
        <w:bottom w:val="none" w:sz="0" w:space="0" w:color="auto"/>
        <w:right w:val="none" w:sz="0" w:space="0" w:color="auto"/>
      </w:divBdr>
    </w:div>
    <w:div w:id="618804950">
      <w:bodyDiv w:val="1"/>
      <w:marLeft w:val="0"/>
      <w:marRight w:val="0"/>
      <w:marTop w:val="0"/>
      <w:marBottom w:val="0"/>
      <w:divBdr>
        <w:top w:val="none" w:sz="0" w:space="0" w:color="auto"/>
        <w:left w:val="none" w:sz="0" w:space="0" w:color="auto"/>
        <w:bottom w:val="none" w:sz="0" w:space="0" w:color="auto"/>
        <w:right w:val="none" w:sz="0" w:space="0" w:color="auto"/>
      </w:divBdr>
      <w:divsChild>
        <w:div w:id="174538320">
          <w:marLeft w:val="0"/>
          <w:marRight w:val="0"/>
          <w:marTop w:val="0"/>
          <w:marBottom w:val="0"/>
          <w:divBdr>
            <w:top w:val="none" w:sz="0" w:space="0" w:color="auto"/>
            <w:left w:val="none" w:sz="0" w:space="0" w:color="auto"/>
            <w:bottom w:val="none" w:sz="0" w:space="0" w:color="auto"/>
            <w:right w:val="none" w:sz="0" w:space="0" w:color="auto"/>
          </w:divBdr>
        </w:div>
      </w:divsChild>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32515359">
      <w:bodyDiv w:val="1"/>
      <w:marLeft w:val="0"/>
      <w:marRight w:val="0"/>
      <w:marTop w:val="0"/>
      <w:marBottom w:val="0"/>
      <w:divBdr>
        <w:top w:val="none" w:sz="0" w:space="0" w:color="auto"/>
        <w:left w:val="none" w:sz="0" w:space="0" w:color="auto"/>
        <w:bottom w:val="none" w:sz="0" w:space="0" w:color="auto"/>
        <w:right w:val="none" w:sz="0" w:space="0" w:color="auto"/>
      </w:divBdr>
      <w:divsChild>
        <w:div w:id="2028628316">
          <w:marLeft w:val="0"/>
          <w:marRight w:val="0"/>
          <w:marTop w:val="0"/>
          <w:marBottom w:val="0"/>
          <w:divBdr>
            <w:top w:val="none" w:sz="0" w:space="0" w:color="auto"/>
            <w:left w:val="none" w:sz="0" w:space="0" w:color="auto"/>
            <w:bottom w:val="none" w:sz="0" w:space="0" w:color="auto"/>
            <w:right w:val="none" w:sz="0" w:space="0" w:color="auto"/>
          </w:divBdr>
          <w:divsChild>
            <w:div w:id="2509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906232">
      <w:bodyDiv w:val="1"/>
      <w:marLeft w:val="0"/>
      <w:marRight w:val="0"/>
      <w:marTop w:val="0"/>
      <w:marBottom w:val="0"/>
      <w:divBdr>
        <w:top w:val="none" w:sz="0" w:space="0" w:color="auto"/>
        <w:left w:val="none" w:sz="0" w:space="0" w:color="auto"/>
        <w:bottom w:val="none" w:sz="0" w:space="0" w:color="auto"/>
        <w:right w:val="none" w:sz="0" w:space="0" w:color="auto"/>
      </w:divBdr>
      <w:divsChild>
        <w:div w:id="1572233691">
          <w:marLeft w:val="0"/>
          <w:marRight w:val="0"/>
          <w:marTop w:val="0"/>
          <w:marBottom w:val="0"/>
          <w:divBdr>
            <w:top w:val="none" w:sz="0" w:space="0" w:color="auto"/>
            <w:left w:val="none" w:sz="0" w:space="0" w:color="auto"/>
            <w:bottom w:val="none" w:sz="0" w:space="0" w:color="auto"/>
            <w:right w:val="none" w:sz="0" w:space="0" w:color="auto"/>
          </w:divBdr>
        </w:div>
      </w:divsChild>
    </w:div>
    <w:div w:id="636879474">
      <w:bodyDiv w:val="1"/>
      <w:marLeft w:val="0"/>
      <w:marRight w:val="0"/>
      <w:marTop w:val="0"/>
      <w:marBottom w:val="0"/>
      <w:divBdr>
        <w:top w:val="none" w:sz="0" w:space="0" w:color="auto"/>
        <w:left w:val="none" w:sz="0" w:space="0" w:color="auto"/>
        <w:bottom w:val="none" w:sz="0" w:space="0" w:color="auto"/>
        <w:right w:val="none" w:sz="0" w:space="0" w:color="auto"/>
      </w:divBdr>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4666963">
      <w:bodyDiv w:val="1"/>
      <w:marLeft w:val="0"/>
      <w:marRight w:val="0"/>
      <w:marTop w:val="0"/>
      <w:marBottom w:val="0"/>
      <w:divBdr>
        <w:top w:val="none" w:sz="0" w:space="0" w:color="auto"/>
        <w:left w:val="none" w:sz="0" w:space="0" w:color="auto"/>
        <w:bottom w:val="none" w:sz="0" w:space="0" w:color="auto"/>
        <w:right w:val="none" w:sz="0" w:space="0" w:color="auto"/>
      </w:divBdr>
      <w:divsChild>
        <w:div w:id="880093421">
          <w:marLeft w:val="850"/>
          <w:marRight w:val="0"/>
          <w:marTop w:val="120"/>
          <w:marBottom w:val="0"/>
          <w:divBdr>
            <w:top w:val="none" w:sz="0" w:space="0" w:color="auto"/>
            <w:left w:val="none" w:sz="0" w:space="0" w:color="auto"/>
            <w:bottom w:val="none" w:sz="0" w:space="0" w:color="auto"/>
            <w:right w:val="none" w:sz="0" w:space="0" w:color="auto"/>
          </w:divBdr>
        </w:div>
      </w:divsChild>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171831">
      <w:bodyDiv w:val="1"/>
      <w:marLeft w:val="0"/>
      <w:marRight w:val="0"/>
      <w:marTop w:val="0"/>
      <w:marBottom w:val="0"/>
      <w:divBdr>
        <w:top w:val="none" w:sz="0" w:space="0" w:color="auto"/>
        <w:left w:val="none" w:sz="0" w:space="0" w:color="auto"/>
        <w:bottom w:val="none" w:sz="0" w:space="0" w:color="auto"/>
        <w:right w:val="none" w:sz="0" w:space="0" w:color="auto"/>
      </w:divBdr>
      <w:divsChild>
        <w:div w:id="1874491905">
          <w:marLeft w:val="0"/>
          <w:marRight w:val="0"/>
          <w:marTop w:val="0"/>
          <w:marBottom w:val="0"/>
          <w:divBdr>
            <w:top w:val="none" w:sz="0" w:space="0" w:color="auto"/>
            <w:left w:val="none" w:sz="0" w:space="0" w:color="auto"/>
            <w:bottom w:val="none" w:sz="0" w:space="0" w:color="auto"/>
            <w:right w:val="none" w:sz="0" w:space="0" w:color="auto"/>
          </w:divBdr>
        </w:div>
      </w:divsChild>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04065836">
      <w:bodyDiv w:val="1"/>
      <w:marLeft w:val="0"/>
      <w:marRight w:val="0"/>
      <w:marTop w:val="0"/>
      <w:marBottom w:val="0"/>
      <w:divBdr>
        <w:top w:val="none" w:sz="0" w:space="0" w:color="auto"/>
        <w:left w:val="none" w:sz="0" w:space="0" w:color="auto"/>
        <w:bottom w:val="none" w:sz="0" w:space="0" w:color="auto"/>
        <w:right w:val="none" w:sz="0" w:space="0" w:color="auto"/>
      </w:divBdr>
    </w:div>
    <w:div w:id="726296069">
      <w:bodyDiv w:val="1"/>
      <w:marLeft w:val="0"/>
      <w:marRight w:val="0"/>
      <w:marTop w:val="0"/>
      <w:marBottom w:val="0"/>
      <w:divBdr>
        <w:top w:val="none" w:sz="0" w:space="0" w:color="auto"/>
        <w:left w:val="none" w:sz="0" w:space="0" w:color="auto"/>
        <w:bottom w:val="none" w:sz="0" w:space="0" w:color="auto"/>
        <w:right w:val="none" w:sz="0" w:space="0" w:color="auto"/>
      </w:divBdr>
      <w:divsChild>
        <w:div w:id="1938252881">
          <w:marLeft w:val="562"/>
          <w:marRight w:val="0"/>
          <w:marTop w:val="120"/>
          <w:marBottom w:val="0"/>
          <w:divBdr>
            <w:top w:val="none" w:sz="0" w:space="0" w:color="auto"/>
            <w:left w:val="none" w:sz="0" w:space="0" w:color="auto"/>
            <w:bottom w:val="none" w:sz="0" w:space="0" w:color="auto"/>
            <w:right w:val="none" w:sz="0" w:space="0" w:color="auto"/>
          </w:divBdr>
        </w:div>
        <w:div w:id="687605508">
          <w:marLeft w:val="850"/>
          <w:marRight w:val="0"/>
          <w:marTop w:val="120"/>
          <w:marBottom w:val="0"/>
          <w:divBdr>
            <w:top w:val="none" w:sz="0" w:space="0" w:color="auto"/>
            <w:left w:val="none" w:sz="0" w:space="0" w:color="auto"/>
            <w:bottom w:val="none" w:sz="0" w:space="0" w:color="auto"/>
            <w:right w:val="none" w:sz="0" w:space="0" w:color="auto"/>
          </w:divBdr>
        </w:div>
      </w:divsChild>
    </w:div>
    <w:div w:id="739595164">
      <w:bodyDiv w:val="1"/>
      <w:marLeft w:val="0"/>
      <w:marRight w:val="0"/>
      <w:marTop w:val="0"/>
      <w:marBottom w:val="0"/>
      <w:divBdr>
        <w:top w:val="none" w:sz="0" w:space="0" w:color="auto"/>
        <w:left w:val="none" w:sz="0" w:space="0" w:color="auto"/>
        <w:bottom w:val="none" w:sz="0" w:space="0" w:color="auto"/>
        <w:right w:val="none" w:sz="0" w:space="0" w:color="auto"/>
      </w:divBdr>
    </w:div>
    <w:div w:id="749500080">
      <w:bodyDiv w:val="1"/>
      <w:marLeft w:val="0"/>
      <w:marRight w:val="0"/>
      <w:marTop w:val="0"/>
      <w:marBottom w:val="0"/>
      <w:divBdr>
        <w:top w:val="none" w:sz="0" w:space="0" w:color="auto"/>
        <w:left w:val="none" w:sz="0" w:space="0" w:color="auto"/>
        <w:bottom w:val="none" w:sz="0" w:space="0" w:color="auto"/>
        <w:right w:val="none" w:sz="0" w:space="0" w:color="auto"/>
      </w:divBdr>
      <w:divsChild>
        <w:div w:id="2013026505">
          <w:marLeft w:val="1138"/>
          <w:marRight w:val="0"/>
          <w:marTop w:val="120"/>
          <w:marBottom w:val="0"/>
          <w:divBdr>
            <w:top w:val="none" w:sz="0" w:space="0" w:color="auto"/>
            <w:left w:val="none" w:sz="0" w:space="0" w:color="auto"/>
            <w:bottom w:val="none" w:sz="0" w:space="0" w:color="auto"/>
            <w:right w:val="none" w:sz="0" w:space="0" w:color="auto"/>
          </w:divBdr>
        </w:div>
      </w:divsChild>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798763722">
      <w:bodyDiv w:val="1"/>
      <w:marLeft w:val="0"/>
      <w:marRight w:val="0"/>
      <w:marTop w:val="0"/>
      <w:marBottom w:val="0"/>
      <w:divBdr>
        <w:top w:val="none" w:sz="0" w:space="0" w:color="auto"/>
        <w:left w:val="none" w:sz="0" w:space="0" w:color="auto"/>
        <w:bottom w:val="none" w:sz="0" w:space="0" w:color="auto"/>
        <w:right w:val="none" w:sz="0" w:space="0" w:color="auto"/>
      </w:divBdr>
      <w:divsChild>
        <w:div w:id="671178209">
          <w:marLeft w:val="893"/>
          <w:marRight w:val="0"/>
          <w:marTop w:val="40"/>
          <w:marBottom w:val="80"/>
          <w:divBdr>
            <w:top w:val="none" w:sz="0" w:space="0" w:color="auto"/>
            <w:left w:val="none" w:sz="0" w:space="0" w:color="auto"/>
            <w:bottom w:val="none" w:sz="0" w:space="0" w:color="auto"/>
            <w:right w:val="none" w:sz="0" w:space="0" w:color="auto"/>
          </w:divBdr>
        </w:div>
      </w:divsChild>
    </w:div>
    <w:div w:id="811868779">
      <w:bodyDiv w:val="1"/>
      <w:marLeft w:val="0"/>
      <w:marRight w:val="0"/>
      <w:marTop w:val="0"/>
      <w:marBottom w:val="0"/>
      <w:divBdr>
        <w:top w:val="none" w:sz="0" w:space="0" w:color="auto"/>
        <w:left w:val="none" w:sz="0" w:space="0" w:color="auto"/>
        <w:bottom w:val="none" w:sz="0" w:space="0" w:color="auto"/>
        <w:right w:val="none" w:sz="0" w:space="0" w:color="auto"/>
      </w:divBdr>
      <w:divsChild>
        <w:div w:id="107702124">
          <w:marLeft w:val="0"/>
          <w:marRight w:val="0"/>
          <w:marTop w:val="0"/>
          <w:marBottom w:val="0"/>
          <w:divBdr>
            <w:top w:val="none" w:sz="0" w:space="0" w:color="auto"/>
            <w:left w:val="none" w:sz="0" w:space="0" w:color="auto"/>
            <w:bottom w:val="none" w:sz="0" w:space="0" w:color="auto"/>
            <w:right w:val="none" w:sz="0" w:space="0" w:color="auto"/>
          </w:divBdr>
        </w:div>
      </w:divsChild>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26022039">
      <w:bodyDiv w:val="1"/>
      <w:marLeft w:val="0"/>
      <w:marRight w:val="0"/>
      <w:marTop w:val="0"/>
      <w:marBottom w:val="0"/>
      <w:divBdr>
        <w:top w:val="none" w:sz="0" w:space="0" w:color="auto"/>
        <w:left w:val="none" w:sz="0" w:space="0" w:color="auto"/>
        <w:bottom w:val="none" w:sz="0" w:space="0" w:color="auto"/>
        <w:right w:val="none" w:sz="0" w:space="0" w:color="auto"/>
      </w:divBdr>
      <w:divsChild>
        <w:div w:id="1256013626">
          <w:marLeft w:val="0"/>
          <w:marRight w:val="0"/>
          <w:marTop w:val="0"/>
          <w:marBottom w:val="0"/>
          <w:divBdr>
            <w:top w:val="none" w:sz="0" w:space="0" w:color="auto"/>
            <w:left w:val="none" w:sz="0" w:space="0" w:color="auto"/>
            <w:bottom w:val="none" w:sz="0" w:space="0" w:color="auto"/>
            <w:right w:val="none" w:sz="0" w:space="0" w:color="auto"/>
          </w:divBdr>
        </w:div>
      </w:divsChild>
    </w:div>
    <w:div w:id="856115153">
      <w:bodyDiv w:val="1"/>
      <w:marLeft w:val="0"/>
      <w:marRight w:val="0"/>
      <w:marTop w:val="0"/>
      <w:marBottom w:val="0"/>
      <w:divBdr>
        <w:top w:val="none" w:sz="0" w:space="0" w:color="auto"/>
        <w:left w:val="none" w:sz="0" w:space="0" w:color="auto"/>
        <w:bottom w:val="none" w:sz="0" w:space="0" w:color="auto"/>
        <w:right w:val="none" w:sz="0" w:space="0" w:color="auto"/>
      </w:divBdr>
      <w:divsChild>
        <w:div w:id="347219942">
          <w:marLeft w:val="0"/>
          <w:marRight w:val="0"/>
          <w:marTop w:val="0"/>
          <w:marBottom w:val="0"/>
          <w:divBdr>
            <w:top w:val="none" w:sz="0" w:space="0" w:color="auto"/>
            <w:left w:val="none" w:sz="0" w:space="0" w:color="auto"/>
            <w:bottom w:val="none" w:sz="0" w:space="0" w:color="auto"/>
            <w:right w:val="none" w:sz="0" w:space="0" w:color="auto"/>
          </w:divBdr>
        </w:div>
      </w:divsChild>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213822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890963288">
      <w:bodyDiv w:val="1"/>
      <w:marLeft w:val="0"/>
      <w:marRight w:val="0"/>
      <w:marTop w:val="0"/>
      <w:marBottom w:val="0"/>
      <w:divBdr>
        <w:top w:val="none" w:sz="0" w:space="0" w:color="auto"/>
        <w:left w:val="none" w:sz="0" w:space="0" w:color="auto"/>
        <w:bottom w:val="none" w:sz="0" w:space="0" w:color="auto"/>
        <w:right w:val="none" w:sz="0" w:space="0" w:color="auto"/>
      </w:divBdr>
      <w:divsChild>
        <w:div w:id="507990957">
          <w:marLeft w:val="1238"/>
          <w:marRight w:val="0"/>
          <w:marTop w:val="120"/>
          <w:marBottom w:val="0"/>
          <w:divBdr>
            <w:top w:val="none" w:sz="0" w:space="0" w:color="auto"/>
            <w:left w:val="none" w:sz="0" w:space="0" w:color="auto"/>
            <w:bottom w:val="none" w:sz="0" w:space="0" w:color="auto"/>
            <w:right w:val="none" w:sz="0" w:space="0" w:color="auto"/>
          </w:divBdr>
        </w:div>
        <w:div w:id="714817238">
          <w:marLeft w:val="893"/>
          <w:marRight w:val="0"/>
          <w:marTop w:val="120"/>
          <w:marBottom w:val="0"/>
          <w:divBdr>
            <w:top w:val="none" w:sz="0" w:space="0" w:color="auto"/>
            <w:left w:val="none" w:sz="0" w:space="0" w:color="auto"/>
            <w:bottom w:val="none" w:sz="0" w:space="0" w:color="auto"/>
            <w:right w:val="none" w:sz="0" w:space="0" w:color="auto"/>
          </w:divBdr>
        </w:div>
        <w:div w:id="977222039">
          <w:marLeft w:val="1238"/>
          <w:marRight w:val="0"/>
          <w:marTop w:val="120"/>
          <w:marBottom w:val="0"/>
          <w:divBdr>
            <w:top w:val="none" w:sz="0" w:space="0" w:color="auto"/>
            <w:left w:val="none" w:sz="0" w:space="0" w:color="auto"/>
            <w:bottom w:val="none" w:sz="0" w:space="0" w:color="auto"/>
            <w:right w:val="none" w:sz="0" w:space="0" w:color="auto"/>
          </w:divBdr>
        </w:div>
        <w:div w:id="1102148360">
          <w:marLeft w:val="1166"/>
          <w:marRight w:val="0"/>
          <w:marTop w:val="120"/>
          <w:marBottom w:val="0"/>
          <w:divBdr>
            <w:top w:val="none" w:sz="0" w:space="0" w:color="auto"/>
            <w:left w:val="none" w:sz="0" w:space="0" w:color="auto"/>
            <w:bottom w:val="none" w:sz="0" w:space="0" w:color="auto"/>
            <w:right w:val="none" w:sz="0" w:space="0" w:color="auto"/>
          </w:divBdr>
        </w:div>
        <w:div w:id="1186023452">
          <w:marLeft w:val="547"/>
          <w:marRight w:val="0"/>
          <w:marTop w:val="120"/>
          <w:marBottom w:val="0"/>
          <w:divBdr>
            <w:top w:val="none" w:sz="0" w:space="0" w:color="auto"/>
            <w:left w:val="none" w:sz="0" w:space="0" w:color="auto"/>
            <w:bottom w:val="none" w:sz="0" w:space="0" w:color="auto"/>
            <w:right w:val="none" w:sz="0" w:space="0" w:color="auto"/>
          </w:divBdr>
        </w:div>
        <w:div w:id="1375274403">
          <w:marLeft w:val="893"/>
          <w:marRight w:val="0"/>
          <w:marTop w:val="120"/>
          <w:marBottom w:val="0"/>
          <w:divBdr>
            <w:top w:val="none" w:sz="0" w:space="0" w:color="auto"/>
            <w:left w:val="none" w:sz="0" w:space="0" w:color="auto"/>
            <w:bottom w:val="none" w:sz="0" w:space="0" w:color="auto"/>
            <w:right w:val="none" w:sz="0" w:space="0" w:color="auto"/>
          </w:divBdr>
        </w:div>
        <w:div w:id="1475488426">
          <w:marLeft w:val="893"/>
          <w:marRight w:val="0"/>
          <w:marTop w:val="120"/>
          <w:marBottom w:val="0"/>
          <w:divBdr>
            <w:top w:val="none" w:sz="0" w:space="0" w:color="auto"/>
            <w:left w:val="none" w:sz="0" w:space="0" w:color="auto"/>
            <w:bottom w:val="none" w:sz="0" w:space="0" w:color="auto"/>
            <w:right w:val="none" w:sz="0" w:space="0" w:color="auto"/>
          </w:divBdr>
        </w:div>
        <w:div w:id="1652562226">
          <w:marLeft w:val="1238"/>
          <w:marRight w:val="0"/>
          <w:marTop w:val="120"/>
          <w:marBottom w:val="0"/>
          <w:divBdr>
            <w:top w:val="none" w:sz="0" w:space="0" w:color="auto"/>
            <w:left w:val="none" w:sz="0" w:space="0" w:color="auto"/>
            <w:bottom w:val="none" w:sz="0" w:space="0" w:color="auto"/>
            <w:right w:val="none" w:sz="0" w:space="0" w:color="auto"/>
          </w:divBdr>
        </w:div>
      </w:divsChild>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939146252">
      <w:bodyDiv w:val="1"/>
      <w:marLeft w:val="0"/>
      <w:marRight w:val="0"/>
      <w:marTop w:val="0"/>
      <w:marBottom w:val="0"/>
      <w:divBdr>
        <w:top w:val="none" w:sz="0" w:space="0" w:color="auto"/>
        <w:left w:val="none" w:sz="0" w:space="0" w:color="auto"/>
        <w:bottom w:val="none" w:sz="0" w:space="0" w:color="auto"/>
        <w:right w:val="none" w:sz="0" w:space="0" w:color="auto"/>
      </w:divBdr>
      <w:divsChild>
        <w:div w:id="1310668111">
          <w:marLeft w:val="1411"/>
          <w:marRight w:val="0"/>
          <w:marTop w:val="120"/>
          <w:marBottom w:val="0"/>
          <w:divBdr>
            <w:top w:val="none" w:sz="0" w:space="0" w:color="auto"/>
            <w:left w:val="none" w:sz="0" w:space="0" w:color="auto"/>
            <w:bottom w:val="none" w:sz="0" w:space="0" w:color="auto"/>
            <w:right w:val="none" w:sz="0" w:space="0" w:color="auto"/>
          </w:divBdr>
        </w:div>
      </w:divsChild>
    </w:div>
    <w:div w:id="959651376">
      <w:bodyDiv w:val="1"/>
      <w:marLeft w:val="0"/>
      <w:marRight w:val="0"/>
      <w:marTop w:val="0"/>
      <w:marBottom w:val="0"/>
      <w:divBdr>
        <w:top w:val="none" w:sz="0" w:space="0" w:color="auto"/>
        <w:left w:val="none" w:sz="0" w:space="0" w:color="auto"/>
        <w:bottom w:val="none" w:sz="0" w:space="0" w:color="auto"/>
        <w:right w:val="none" w:sz="0" w:space="0" w:color="auto"/>
      </w:divBdr>
      <w:divsChild>
        <w:div w:id="443505335">
          <w:marLeft w:val="1555"/>
          <w:marRight w:val="0"/>
          <w:marTop w:val="96"/>
          <w:marBottom w:val="0"/>
          <w:divBdr>
            <w:top w:val="none" w:sz="0" w:space="0" w:color="auto"/>
            <w:left w:val="none" w:sz="0" w:space="0" w:color="auto"/>
            <w:bottom w:val="none" w:sz="0" w:space="0" w:color="auto"/>
            <w:right w:val="none" w:sz="0" w:space="0" w:color="auto"/>
          </w:divBdr>
        </w:div>
      </w:divsChild>
    </w:div>
    <w:div w:id="980501128">
      <w:bodyDiv w:val="1"/>
      <w:marLeft w:val="0"/>
      <w:marRight w:val="0"/>
      <w:marTop w:val="0"/>
      <w:marBottom w:val="0"/>
      <w:divBdr>
        <w:top w:val="none" w:sz="0" w:space="0" w:color="auto"/>
        <w:left w:val="none" w:sz="0" w:space="0" w:color="auto"/>
        <w:bottom w:val="none" w:sz="0" w:space="0" w:color="auto"/>
        <w:right w:val="none" w:sz="0" w:space="0" w:color="auto"/>
      </w:divBdr>
    </w:div>
    <w:div w:id="990600175">
      <w:bodyDiv w:val="1"/>
      <w:marLeft w:val="0"/>
      <w:marRight w:val="0"/>
      <w:marTop w:val="0"/>
      <w:marBottom w:val="0"/>
      <w:divBdr>
        <w:top w:val="none" w:sz="0" w:space="0" w:color="auto"/>
        <w:left w:val="none" w:sz="0" w:space="0" w:color="auto"/>
        <w:bottom w:val="none" w:sz="0" w:space="0" w:color="auto"/>
        <w:right w:val="none" w:sz="0" w:space="0" w:color="auto"/>
      </w:divBdr>
      <w:divsChild>
        <w:div w:id="1778020685">
          <w:marLeft w:val="850"/>
          <w:marRight w:val="0"/>
          <w:marTop w:val="120"/>
          <w:marBottom w:val="0"/>
          <w:divBdr>
            <w:top w:val="none" w:sz="0" w:space="0" w:color="auto"/>
            <w:left w:val="none" w:sz="0" w:space="0" w:color="auto"/>
            <w:bottom w:val="none" w:sz="0" w:space="0" w:color="auto"/>
            <w:right w:val="none" w:sz="0" w:space="0" w:color="auto"/>
          </w:divBdr>
        </w:div>
      </w:divsChild>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04743412">
      <w:bodyDiv w:val="1"/>
      <w:marLeft w:val="0"/>
      <w:marRight w:val="0"/>
      <w:marTop w:val="0"/>
      <w:marBottom w:val="0"/>
      <w:divBdr>
        <w:top w:val="none" w:sz="0" w:space="0" w:color="auto"/>
        <w:left w:val="none" w:sz="0" w:space="0" w:color="auto"/>
        <w:bottom w:val="none" w:sz="0" w:space="0" w:color="auto"/>
        <w:right w:val="none" w:sz="0" w:space="0" w:color="auto"/>
      </w:divBdr>
    </w:div>
    <w:div w:id="1011957375">
      <w:bodyDiv w:val="1"/>
      <w:marLeft w:val="0"/>
      <w:marRight w:val="0"/>
      <w:marTop w:val="0"/>
      <w:marBottom w:val="0"/>
      <w:divBdr>
        <w:top w:val="none" w:sz="0" w:space="0" w:color="auto"/>
        <w:left w:val="none" w:sz="0" w:space="0" w:color="auto"/>
        <w:bottom w:val="none" w:sz="0" w:space="0" w:color="auto"/>
        <w:right w:val="none" w:sz="0" w:space="0" w:color="auto"/>
      </w:divBdr>
    </w:div>
    <w:div w:id="1024483895">
      <w:bodyDiv w:val="1"/>
      <w:marLeft w:val="0"/>
      <w:marRight w:val="0"/>
      <w:marTop w:val="0"/>
      <w:marBottom w:val="0"/>
      <w:divBdr>
        <w:top w:val="none" w:sz="0" w:space="0" w:color="auto"/>
        <w:left w:val="none" w:sz="0" w:space="0" w:color="auto"/>
        <w:bottom w:val="none" w:sz="0" w:space="0" w:color="auto"/>
        <w:right w:val="none" w:sz="0" w:space="0" w:color="auto"/>
      </w:divBdr>
      <w:divsChild>
        <w:div w:id="774591924">
          <w:marLeft w:val="1138"/>
          <w:marRight w:val="0"/>
          <w:marTop w:val="120"/>
          <w:marBottom w:val="0"/>
          <w:divBdr>
            <w:top w:val="none" w:sz="0" w:space="0" w:color="auto"/>
            <w:left w:val="none" w:sz="0" w:space="0" w:color="auto"/>
            <w:bottom w:val="none" w:sz="0" w:space="0" w:color="auto"/>
            <w:right w:val="none" w:sz="0" w:space="0" w:color="auto"/>
          </w:divBdr>
        </w:div>
        <w:div w:id="1554317997">
          <w:marLeft w:val="1138"/>
          <w:marRight w:val="0"/>
          <w:marTop w:val="120"/>
          <w:marBottom w:val="0"/>
          <w:divBdr>
            <w:top w:val="none" w:sz="0" w:space="0" w:color="auto"/>
            <w:left w:val="none" w:sz="0" w:space="0" w:color="auto"/>
            <w:bottom w:val="none" w:sz="0" w:space="0" w:color="auto"/>
            <w:right w:val="none" w:sz="0" w:space="0" w:color="auto"/>
          </w:divBdr>
        </w:div>
      </w:divsChild>
    </w:div>
    <w:div w:id="1026562673">
      <w:bodyDiv w:val="1"/>
      <w:marLeft w:val="0"/>
      <w:marRight w:val="0"/>
      <w:marTop w:val="0"/>
      <w:marBottom w:val="0"/>
      <w:divBdr>
        <w:top w:val="none" w:sz="0" w:space="0" w:color="auto"/>
        <w:left w:val="none" w:sz="0" w:space="0" w:color="auto"/>
        <w:bottom w:val="none" w:sz="0" w:space="0" w:color="auto"/>
        <w:right w:val="none" w:sz="0" w:space="0" w:color="auto"/>
      </w:divBdr>
      <w:divsChild>
        <w:div w:id="969627485">
          <w:marLeft w:val="0"/>
          <w:marRight w:val="0"/>
          <w:marTop w:val="0"/>
          <w:marBottom w:val="0"/>
          <w:divBdr>
            <w:top w:val="none" w:sz="0" w:space="0" w:color="auto"/>
            <w:left w:val="none" w:sz="0" w:space="0" w:color="auto"/>
            <w:bottom w:val="none" w:sz="0" w:space="0" w:color="auto"/>
            <w:right w:val="none" w:sz="0" w:space="0" w:color="auto"/>
          </w:divBdr>
          <w:divsChild>
            <w:div w:id="72513699">
              <w:marLeft w:val="0"/>
              <w:marRight w:val="0"/>
              <w:marTop w:val="0"/>
              <w:marBottom w:val="0"/>
              <w:divBdr>
                <w:top w:val="none" w:sz="0" w:space="0" w:color="auto"/>
                <w:left w:val="none" w:sz="0" w:space="0" w:color="auto"/>
                <w:bottom w:val="none" w:sz="0" w:space="0" w:color="auto"/>
                <w:right w:val="none" w:sz="0" w:space="0" w:color="auto"/>
              </w:divBdr>
            </w:div>
            <w:div w:id="219559317">
              <w:marLeft w:val="0"/>
              <w:marRight w:val="0"/>
              <w:marTop w:val="0"/>
              <w:marBottom w:val="0"/>
              <w:divBdr>
                <w:top w:val="none" w:sz="0" w:space="0" w:color="auto"/>
                <w:left w:val="none" w:sz="0" w:space="0" w:color="auto"/>
                <w:bottom w:val="none" w:sz="0" w:space="0" w:color="auto"/>
                <w:right w:val="none" w:sz="0" w:space="0" w:color="auto"/>
              </w:divBdr>
            </w:div>
            <w:div w:id="348601373">
              <w:marLeft w:val="0"/>
              <w:marRight w:val="0"/>
              <w:marTop w:val="0"/>
              <w:marBottom w:val="0"/>
              <w:divBdr>
                <w:top w:val="none" w:sz="0" w:space="0" w:color="auto"/>
                <w:left w:val="none" w:sz="0" w:space="0" w:color="auto"/>
                <w:bottom w:val="none" w:sz="0" w:space="0" w:color="auto"/>
                <w:right w:val="none" w:sz="0" w:space="0" w:color="auto"/>
              </w:divBdr>
            </w:div>
            <w:div w:id="595094905">
              <w:marLeft w:val="0"/>
              <w:marRight w:val="0"/>
              <w:marTop w:val="0"/>
              <w:marBottom w:val="0"/>
              <w:divBdr>
                <w:top w:val="none" w:sz="0" w:space="0" w:color="auto"/>
                <w:left w:val="none" w:sz="0" w:space="0" w:color="auto"/>
                <w:bottom w:val="none" w:sz="0" w:space="0" w:color="auto"/>
                <w:right w:val="none" w:sz="0" w:space="0" w:color="auto"/>
              </w:divBdr>
            </w:div>
            <w:div w:id="666791906">
              <w:marLeft w:val="0"/>
              <w:marRight w:val="0"/>
              <w:marTop w:val="0"/>
              <w:marBottom w:val="0"/>
              <w:divBdr>
                <w:top w:val="none" w:sz="0" w:space="0" w:color="auto"/>
                <w:left w:val="none" w:sz="0" w:space="0" w:color="auto"/>
                <w:bottom w:val="none" w:sz="0" w:space="0" w:color="auto"/>
                <w:right w:val="none" w:sz="0" w:space="0" w:color="auto"/>
              </w:divBdr>
            </w:div>
            <w:div w:id="712389579">
              <w:marLeft w:val="0"/>
              <w:marRight w:val="0"/>
              <w:marTop w:val="0"/>
              <w:marBottom w:val="0"/>
              <w:divBdr>
                <w:top w:val="none" w:sz="0" w:space="0" w:color="auto"/>
                <w:left w:val="none" w:sz="0" w:space="0" w:color="auto"/>
                <w:bottom w:val="none" w:sz="0" w:space="0" w:color="auto"/>
                <w:right w:val="none" w:sz="0" w:space="0" w:color="auto"/>
              </w:divBdr>
            </w:div>
            <w:div w:id="731469037">
              <w:marLeft w:val="0"/>
              <w:marRight w:val="0"/>
              <w:marTop w:val="0"/>
              <w:marBottom w:val="0"/>
              <w:divBdr>
                <w:top w:val="none" w:sz="0" w:space="0" w:color="auto"/>
                <w:left w:val="none" w:sz="0" w:space="0" w:color="auto"/>
                <w:bottom w:val="none" w:sz="0" w:space="0" w:color="auto"/>
                <w:right w:val="none" w:sz="0" w:space="0" w:color="auto"/>
              </w:divBdr>
            </w:div>
            <w:div w:id="777985671">
              <w:marLeft w:val="0"/>
              <w:marRight w:val="0"/>
              <w:marTop w:val="0"/>
              <w:marBottom w:val="0"/>
              <w:divBdr>
                <w:top w:val="none" w:sz="0" w:space="0" w:color="auto"/>
                <w:left w:val="none" w:sz="0" w:space="0" w:color="auto"/>
                <w:bottom w:val="none" w:sz="0" w:space="0" w:color="auto"/>
                <w:right w:val="none" w:sz="0" w:space="0" w:color="auto"/>
              </w:divBdr>
            </w:div>
            <w:div w:id="1070230873">
              <w:marLeft w:val="0"/>
              <w:marRight w:val="0"/>
              <w:marTop w:val="0"/>
              <w:marBottom w:val="0"/>
              <w:divBdr>
                <w:top w:val="none" w:sz="0" w:space="0" w:color="auto"/>
                <w:left w:val="none" w:sz="0" w:space="0" w:color="auto"/>
                <w:bottom w:val="none" w:sz="0" w:space="0" w:color="auto"/>
                <w:right w:val="none" w:sz="0" w:space="0" w:color="auto"/>
              </w:divBdr>
            </w:div>
            <w:div w:id="1299140635">
              <w:marLeft w:val="0"/>
              <w:marRight w:val="0"/>
              <w:marTop w:val="0"/>
              <w:marBottom w:val="0"/>
              <w:divBdr>
                <w:top w:val="none" w:sz="0" w:space="0" w:color="auto"/>
                <w:left w:val="none" w:sz="0" w:space="0" w:color="auto"/>
                <w:bottom w:val="none" w:sz="0" w:space="0" w:color="auto"/>
                <w:right w:val="none" w:sz="0" w:space="0" w:color="auto"/>
              </w:divBdr>
            </w:div>
            <w:div w:id="1473013685">
              <w:marLeft w:val="0"/>
              <w:marRight w:val="0"/>
              <w:marTop w:val="0"/>
              <w:marBottom w:val="0"/>
              <w:divBdr>
                <w:top w:val="none" w:sz="0" w:space="0" w:color="auto"/>
                <w:left w:val="none" w:sz="0" w:space="0" w:color="auto"/>
                <w:bottom w:val="none" w:sz="0" w:space="0" w:color="auto"/>
                <w:right w:val="none" w:sz="0" w:space="0" w:color="auto"/>
              </w:divBdr>
            </w:div>
            <w:div w:id="157234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093354000">
      <w:bodyDiv w:val="1"/>
      <w:marLeft w:val="0"/>
      <w:marRight w:val="0"/>
      <w:marTop w:val="0"/>
      <w:marBottom w:val="0"/>
      <w:divBdr>
        <w:top w:val="none" w:sz="0" w:space="0" w:color="auto"/>
        <w:left w:val="none" w:sz="0" w:space="0" w:color="auto"/>
        <w:bottom w:val="none" w:sz="0" w:space="0" w:color="auto"/>
        <w:right w:val="none" w:sz="0" w:space="0" w:color="auto"/>
      </w:divBdr>
      <w:divsChild>
        <w:div w:id="1030111335">
          <w:marLeft w:val="1138"/>
          <w:marRight w:val="0"/>
          <w:marTop w:val="120"/>
          <w:marBottom w:val="0"/>
          <w:divBdr>
            <w:top w:val="none" w:sz="0" w:space="0" w:color="auto"/>
            <w:left w:val="none" w:sz="0" w:space="0" w:color="auto"/>
            <w:bottom w:val="none" w:sz="0" w:space="0" w:color="auto"/>
            <w:right w:val="none" w:sz="0" w:space="0" w:color="auto"/>
          </w:divBdr>
        </w:div>
      </w:divsChild>
    </w:div>
    <w:div w:id="1106774115">
      <w:bodyDiv w:val="1"/>
      <w:marLeft w:val="0"/>
      <w:marRight w:val="0"/>
      <w:marTop w:val="0"/>
      <w:marBottom w:val="0"/>
      <w:divBdr>
        <w:top w:val="none" w:sz="0" w:space="0" w:color="auto"/>
        <w:left w:val="none" w:sz="0" w:space="0" w:color="auto"/>
        <w:bottom w:val="none" w:sz="0" w:space="0" w:color="auto"/>
        <w:right w:val="none" w:sz="0" w:space="0" w:color="auto"/>
      </w:divBdr>
      <w:divsChild>
        <w:div w:id="1051226031">
          <w:marLeft w:val="1138"/>
          <w:marRight w:val="0"/>
          <w:marTop w:val="120"/>
          <w:marBottom w:val="0"/>
          <w:divBdr>
            <w:top w:val="none" w:sz="0" w:space="0" w:color="auto"/>
            <w:left w:val="none" w:sz="0" w:space="0" w:color="auto"/>
            <w:bottom w:val="none" w:sz="0" w:space="0" w:color="auto"/>
            <w:right w:val="none" w:sz="0" w:space="0" w:color="auto"/>
          </w:divBdr>
        </w:div>
        <w:div w:id="1531263812">
          <w:marLeft w:val="1138"/>
          <w:marRight w:val="0"/>
          <w:marTop w:val="120"/>
          <w:marBottom w:val="0"/>
          <w:divBdr>
            <w:top w:val="none" w:sz="0" w:space="0" w:color="auto"/>
            <w:left w:val="none" w:sz="0" w:space="0" w:color="auto"/>
            <w:bottom w:val="none" w:sz="0" w:space="0" w:color="auto"/>
            <w:right w:val="none" w:sz="0" w:space="0" w:color="auto"/>
          </w:divBdr>
        </w:div>
      </w:divsChild>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33018274">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3127099">
      <w:bodyDiv w:val="1"/>
      <w:marLeft w:val="0"/>
      <w:marRight w:val="0"/>
      <w:marTop w:val="0"/>
      <w:marBottom w:val="0"/>
      <w:divBdr>
        <w:top w:val="none" w:sz="0" w:space="0" w:color="auto"/>
        <w:left w:val="none" w:sz="0" w:space="0" w:color="auto"/>
        <w:bottom w:val="none" w:sz="0" w:space="0" w:color="auto"/>
        <w:right w:val="none" w:sz="0" w:space="0" w:color="auto"/>
      </w:divBdr>
      <w:divsChild>
        <w:div w:id="2047483060">
          <w:marLeft w:val="850"/>
          <w:marRight w:val="0"/>
          <w:marTop w:val="120"/>
          <w:marBottom w:val="0"/>
          <w:divBdr>
            <w:top w:val="none" w:sz="0" w:space="0" w:color="auto"/>
            <w:left w:val="none" w:sz="0" w:space="0" w:color="auto"/>
            <w:bottom w:val="none" w:sz="0" w:space="0" w:color="auto"/>
            <w:right w:val="none" w:sz="0" w:space="0" w:color="auto"/>
          </w:divBdr>
        </w:div>
      </w:divsChild>
    </w:div>
    <w:div w:id="1183741082">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196389058">
      <w:bodyDiv w:val="1"/>
      <w:marLeft w:val="0"/>
      <w:marRight w:val="0"/>
      <w:marTop w:val="0"/>
      <w:marBottom w:val="0"/>
      <w:divBdr>
        <w:top w:val="none" w:sz="0" w:space="0" w:color="auto"/>
        <w:left w:val="none" w:sz="0" w:space="0" w:color="auto"/>
        <w:bottom w:val="none" w:sz="0" w:space="0" w:color="auto"/>
        <w:right w:val="none" w:sz="0" w:space="0" w:color="auto"/>
      </w:divBdr>
      <w:divsChild>
        <w:div w:id="866483718">
          <w:marLeft w:val="0"/>
          <w:marRight w:val="0"/>
          <w:marTop w:val="0"/>
          <w:marBottom w:val="0"/>
          <w:divBdr>
            <w:top w:val="none" w:sz="0" w:space="0" w:color="auto"/>
            <w:left w:val="none" w:sz="0" w:space="0" w:color="auto"/>
            <w:bottom w:val="none" w:sz="0" w:space="0" w:color="auto"/>
            <w:right w:val="none" w:sz="0" w:space="0" w:color="auto"/>
          </w:divBdr>
        </w:div>
      </w:divsChild>
    </w:div>
    <w:div w:id="1208295173">
      <w:bodyDiv w:val="1"/>
      <w:marLeft w:val="0"/>
      <w:marRight w:val="0"/>
      <w:marTop w:val="0"/>
      <w:marBottom w:val="0"/>
      <w:divBdr>
        <w:top w:val="none" w:sz="0" w:space="0" w:color="auto"/>
        <w:left w:val="none" w:sz="0" w:space="0" w:color="auto"/>
        <w:bottom w:val="none" w:sz="0" w:space="0" w:color="auto"/>
        <w:right w:val="none" w:sz="0" w:space="0" w:color="auto"/>
      </w:divBdr>
      <w:divsChild>
        <w:div w:id="2123768509">
          <w:marLeft w:val="0"/>
          <w:marRight w:val="0"/>
          <w:marTop w:val="0"/>
          <w:marBottom w:val="0"/>
          <w:divBdr>
            <w:top w:val="none" w:sz="0" w:space="0" w:color="auto"/>
            <w:left w:val="none" w:sz="0" w:space="0" w:color="auto"/>
            <w:bottom w:val="none" w:sz="0" w:space="0" w:color="auto"/>
            <w:right w:val="none" w:sz="0" w:space="0" w:color="auto"/>
          </w:divBdr>
        </w:div>
      </w:divsChild>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74745809">
      <w:bodyDiv w:val="1"/>
      <w:marLeft w:val="0"/>
      <w:marRight w:val="0"/>
      <w:marTop w:val="0"/>
      <w:marBottom w:val="0"/>
      <w:divBdr>
        <w:top w:val="none" w:sz="0" w:space="0" w:color="auto"/>
        <w:left w:val="none" w:sz="0" w:space="0" w:color="auto"/>
        <w:bottom w:val="none" w:sz="0" w:space="0" w:color="auto"/>
        <w:right w:val="none" w:sz="0" w:space="0" w:color="auto"/>
      </w:divBdr>
      <w:divsChild>
        <w:div w:id="1530727978">
          <w:marLeft w:val="1138"/>
          <w:marRight w:val="0"/>
          <w:marTop w:val="120"/>
          <w:marBottom w:val="0"/>
          <w:divBdr>
            <w:top w:val="none" w:sz="0" w:space="0" w:color="auto"/>
            <w:left w:val="none" w:sz="0" w:space="0" w:color="auto"/>
            <w:bottom w:val="none" w:sz="0" w:space="0" w:color="auto"/>
            <w:right w:val="none" w:sz="0" w:space="0" w:color="auto"/>
          </w:divBdr>
        </w:div>
        <w:div w:id="439569080">
          <w:marLeft w:val="1411"/>
          <w:marRight w:val="0"/>
          <w:marTop w:val="120"/>
          <w:marBottom w:val="0"/>
          <w:divBdr>
            <w:top w:val="none" w:sz="0" w:space="0" w:color="auto"/>
            <w:left w:val="none" w:sz="0" w:space="0" w:color="auto"/>
            <w:bottom w:val="none" w:sz="0" w:space="0" w:color="auto"/>
            <w:right w:val="none" w:sz="0" w:space="0" w:color="auto"/>
          </w:divBdr>
        </w:div>
        <w:div w:id="321665618">
          <w:marLeft w:val="1138"/>
          <w:marRight w:val="0"/>
          <w:marTop w:val="120"/>
          <w:marBottom w:val="0"/>
          <w:divBdr>
            <w:top w:val="none" w:sz="0" w:space="0" w:color="auto"/>
            <w:left w:val="none" w:sz="0" w:space="0" w:color="auto"/>
            <w:bottom w:val="none" w:sz="0" w:space="0" w:color="auto"/>
            <w:right w:val="none" w:sz="0" w:space="0" w:color="auto"/>
          </w:divBdr>
        </w:div>
        <w:div w:id="26836252">
          <w:marLeft w:val="1411"/>
          <w:marRight w:val="0"/>
          <w:marTop w:val="120"/>
          <w:marBottom w:val="0"/>
          <w:divBdr>
            <w:top w:val="none" w:sz="0" w:space="0" w:color="auto"/>
            <w:left w:val="none" w:sz="0" w:space="0" w:color="auto"/>
            <w:bottom w:val="none" w:sz="0" w:space="0" w:color="auto"/>
            <w:right w:val="none" w:sz="0" w:space="0" w:color="auto"/>
          </w:divBdr>
        </w:div>
        <w:div w:id="1047873341">
          <w:marLeft w:val="1699"/>
          <w:marRight w:val="0"/>
          <w:marTop w:val="120"/>
          <w:marBottom w:val="0"/>
          <w:divBdr>
            <w:top w:val="none" w:sz="0" w:space="0" w:color="auto"/>
            <w:left w:val="none" w:sz="0" w:space="0" w:color="auto"/>
            <w:bottom w:val="none" w:sz="0" w:space="0" w:color="auto"/>
            <w:right w:val="none" w:sz="0" w:space="0" w:color="auto"/>
          </w:divBdr>
        </w:div>
        <w:div w:id="1643265018">
          <w:marLeft w:val="1699"/>
          <w:marRight w:val="0"/>
          <w:marTop w:val="120"/>
          <w:marBottom w:val="0"/>
          <w:divBdr>
            <w:top w:val="none" w:sz="0" w:space="0" w:color="auto"/>
            <w:left w:val="none" w:sz="0" w:space="0" w:color="auto"/>
            <w:bottom w:val="none" w:sz="0" w:space="0" w:color="auto"/>
            <w:right w:val="none" w:sz="0" w:space="0" w:color="auto"/>
          </w:divBdr>
        </w:div>
        <w:div w:id="2019697409">
          <w:marLeft w:val="1411"/>
          <w:marRight w:val="0"/>
          <w:marTop w:val="120"/>
          <w:marBottom w:val="0"/>
          <w:divBdr>
            <w:top w:val="none" w:sz="0" w:space="0" w:color="auto"/>
            <w:left w:val="none" w:sz="0" w:space="0" w:color="auto"/>
            <w:bottom w:val="none" w:sz="0" w:space="0" w:color="auto"/>
            <w:right w:val="none" w:sz="0" w:space="0" w:color="auto"/>
          </w:divBdr>
        </w:div>
        <w:div w:id="479999641">
          <w:marLeft w:val="1699"/>
          <w:marRight w:val="0"/>
          <w:marTop w:val="120"/>
          <w:marBottom w:val="0"/>
          <w:divBdr>
            <w:top w:val="none" w:sz="0" w:space="0" w:color="auto"/>
            <w:left w:val="none" w:sz="0" w:space="0" w:color="auto"/>
            <w:bottom w:val="none" w:sz="0" w:space="0" w:color="auto"/>
            <w:right w:val="none" w:sz="0" w:space="0" w:color="auto"/>
          </w:divBdr>
        </w:div>
        <w:div w:id="705757460">
          <w:marLeft w:val="1138"/>
          <w:marRight w:val="0"/>
          <w:marTop w:val="120"/>
          <w:marBottom w:val="0"/>
          <w:divBdr>
            <w:top w:val="none" w:sz="0" w:space="0" w:color="auto"/>
            <w:left w:val="none" w:sz="0" w:space="0" w:color="auto"/>
            <w:bottom w:val="none" w:sz="0" w:space="0" w:color="auto"/>
            <w:right w:val="none" w:sz="0" w:space="0" w:color="auto"/>
          </w:divBdr>
        </w:div>
        <w:div w:id="704865746">
          <w:marLeft w:val="1411"/>
          <w:marRight w:val="0"/>
          <w:marTop w:val="120"/>
          <w:marBottom w:val="0"/>
          <w:divBdr>
            <w:top w:val="none" w:sz="0" w:space="0" w:color="auto"/>
            <w:left w:val="none" w:sz="0" w:space="0" w:color="auto"/>
            <w:bottom w:val="none" w:sz="0" w:space="0" w:color="auto"/>
            <w:right w:val="none" w:sz="0" w:space="0" w:color="auto"/>
          </w:divBdr>
        </w:div>
      </w:divsChild>
    </w:div>
    <w:div w:id="1286042216">
      <w:bodyDiv w:val="1"/>
      <w:marLeft w:val="0"/>
      <w:marRight w:val="0"/>
      <w:marTop w:val="0"/>
      <w:marBottom w:val="0"/>
      <w:divBdr>
        <w:top w:val="none" w:sz="0" w:space="0" w:color="auto"/>
        <w:left w:val="none" w:sz="0" w:space="0" w:color="auto"/>
        <w:bottom w:val="none" w:sz="0" w:space="0" w:color="auto"/>
        <w:right w:val="none" w:sz="0" w:space="0" w:color="auto"/>
      </w:divBdr>
      <w:divsChild>
        <w:div w:id="110636454">
          <w:marLeft w:val="0"/>
          <w:marRight w:val="0"/>
          <w:marTop w:val="0"/>
          <w:marBottom w:val="0"/>
          <w:divBdr>
            <w:top w:val="none" w:sz="0" w:space="0" w:color="auto"/>
            <w:left w:val="none" w:sz="0" w:space="0" w:color="auto"/>
            <w:bottom w:val="none" w:sz="0" w:space="0" w:color="auto"/>
            <w:right w:val="none" w:sz="0" w:space="0" w:color="auto"/>
          </w:divBdr>
        </w:div>
      </w:divsChild>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28820949">
      <w:bodyDiv w:val="1"/>
      <w:marLeft w:val="0"/>
      <w:marRight w:val="0"/>
      <w:marTop w:val="0"/>
      <w:marBottom w:val="0"/>
      <w:divBdr>
        <w:top w:val="none" w:sz="0" w:space="0" w:color="auto"/>
        <w:left w:val="none" w:sz="0" w:space="0" w:color="auto"/>
        <w:bottom w:val="none" w:sz="0" w:space="0" w:color="auto"/>
        <w:right w:val="none" w:sz="0" w:space="0" w:color="auto"/>
      </w:divBdr>
      <w:divsChild>
        <w:div w:id="377358992">
          <w:marLeft w:val="0"/>
          <w:marRight w:val="0"/>
          <w:marTop w:val="0"/>
          <w:marBottom w:val="0"/>
          <w:divBdr>
            <w:top w:val="none" w:sz="0" w:space="0" w:color="auto"/>
            <w:left w:val="none" w:sz="0" w:space="0" w:color="auto"/>
            <w:bottom w:val="none" w:sz="0" w:space="0" w:color="auto"/>
            <w:right w:val="none" w:sz="0" w:space="0" w:color="auto"/>
          </w:divBdr>
          <w:divsChild>
            <w:div w:id="138741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2457959">
      <w:bodyDiv w:val="1"/>
      <w:marLeft w:val="0"/>
      <w:marRight w:val="0"/>
      <w:marTop w:val="0"/>
      <w:marBottom w:val="0"/>
      <w:divBdr>
        <w:top w:val="none" w:sz="0" w:space="0" w:color="auto"/>
        <w:left w:val="none" w:sz="0" w:space="0" w:color="auto"/>
        <w:bottom w:val="none" w:sz="0" w:space="0" w:color="auto"/>
        <w:right w:val="none" w:sz="0" w:space="0" w:color="auto"/>
      </w:divBdr>
      <w:divsChild>
        <w:div w:id="1615094763">
          <w:marLeft w:val="1138"/>
          <w:marRight w:val="0"/>
          <w:marTop w:val="120"/>
          <w:marBottom w:val="0"/>
          <w:divBdr>
            <w:top w:val="none" w:sz="0" w:space="0" w:color="auto"/>
            <w:left w:val="none" w:sz="0" w:space="0" w:color="auto"/>
            <w:bottom w:val="none" w:sz="0" w:space="0" w:color="auto"/>
            <w:right w:val="none" w:sz="0" w:space="0" w:color="auto"/>
          </w:divBdr>
        </w:div>
      </w:divsChild>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85367782">
      <w:bodyDiv w:val="1"/>
      <w:marLeft w:val="0"/>
      <w:marRight w:val="0"/>
      <w:marTop w:val="0"/>
      <w:marBottom w:val="0"/>
      <w:divBdr>
        <w:top w:val="none" w:sz="0" w:space="0" w:color="auto"/>
        <w:left w:val="none" w:sz="0" w:space="0" w:color="auto"/>
        <w:bottom w:val="none" w:sz="0" w:space="0" w:color="auto"/>
        <w:right w:val="none" w:sz="0" w:space="0" w:color="auto"/>
      </w:divBdr>
      <w:divsChild>
        <w:div w:id="640424273">
          <w:marLeft w:val="0"/>
          <w:marRight w:val="0"/>
          <w:marTop w:val="0"/>
          <w:marBottom w:val="0"/>
          <w:divBdr>
            <w:top w:val="none" w:sz="0" w:space="0" w:color="auto"/>
            <w:left w:val="none" w:sz="0" w:space="0" w:color="auto"/>
            <w:bottom w:val="none" w:sz="0" w:space="0" w:color="auto"/>
            <w:right w:val="none" w:sz="0" w:space="0" w:color="auto"/>
          </w:divBdr>
          <w:divsChild>
            <w:div w:id="72837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08309703">
      <w:bodyDiv w:val="1"/>
      <w:marLeft w:val="0"/>
      <w:marRight w:val="0"/>
      <w:marTop w:val="0"/>
      <w:marBottom w:val="0"/>
      <w:divBdr>
        <w:top w:val="none" w:sz="0" w:space="0" w:color="auto"/>
        <w:left w:val="none" w:sz="0" w:space="0" w:color="auto"/>
        <w:bottom w:val="none" w:sz="0" w:space="0" w:color="auto"/>
        <w:right w:val="none" w:sz="0" w:space="0" w:color="auto"/>
      </w:divBdr>
      <w:divsChild>
        <w:div w:id="401408426">
          <w:marLeft w:val="850"/>
          <w:marRight w:val="0"/>
          <w:marTop w:val="120"/>
          <w:marBottom w:val="0"/>
          <w:divBdr>
            <w:top w:val="none" w:sz="0" w:space="0" w:color="auto"/>
            <w:left w:val="none" w:sz="0" w:space="0" w:color="auto"/>
            <w:bottom w:val="none" w:sz="0" w:space="0" w:color="auto"/>
            <w:right w:val="none" w:sz="0" w:space="0" w:color="auto"/>
          </w:divBdr>
        </w:div>
        <w:div w:id="1110704707">
          <w:marLeft w:val="850"/>
          <w:marRight w:val="0"/>
          <w:marTop w:val="120"/>
          <w:marBottom w:val="0"/>
          <w:divBdr>
            <w:top w:val="none" w:sz="0" w:space="0" w:color="auto"/>
            <w:left w:val="none" w:sz="0" w:space="0" w:color="auto"/>
            <w:bottom w:val="none" w:sz="0" w:space="0" w:color="auto"/>
            <w:right w:val="none" w:sz="0" w:space="0" w:color="auto"/>
          </w:divBdr>
        </w:div>
      </w:divsChild>
    </w:div>
    <w:div w:id="1449159208">
      <w:bodyDiv w:val="1"/>
      <w:marLeft w:val="0"/>
      <w:marRight w:val="0"/>
      <w:marTop w:val="0"/>
      <w:marBottom w:val="0"/>
      <w:divBdr>
        <w:top w:val="none" w:sz="0" w:space="0" w:color="auto"/>
        <w:left w:val="none" w:sz="0" w:space="0" w:color="auto"/>
        <w:bottom w:val="none" w:sz="0" w:space="0" w:color="auto"/>
        <w:right w:val="none" w:sz="0" w:space="0" w:color="auto"/>
      </w:divBdr>
      <w:divsChild>
        <w:div w:id="200020825">
          <w:marLeft w:val="850"/>
          <w:marRight w:val="0"/>
          <w:marTop w:val="120"/>
          <w:marBottom w:val="0"/>
          <w:divBdr>
            <w:top w:val="none" w:sz="0" w:space="0" w:color="auto"/>
            <w:left w:val="none" w:sz="0" w:space="0" w:color="auto"/>
            <w:bottom w:val="none" w:sz="0" w:space="0" w:color="auto"/>
            <w:right w:val="none" w:sz="0" w:space="0" w:color="auto"/>
          </w:divBdr>
        </w:div>
      </w:divsChild>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485779059">
      <w:bodyDiv w:val="1"/>
      <w:marLeft w:val="0"/>
      <w:marRight w:val="0"/>
      <w:marTop w:val="0"/>
      <w:marBottom w:val="0"/>
      <w:divBdr>
        <w:top w:val="none" w:sz="0" w:space="0" w:color="auto"/>
        <w:left w:val="none" w:sz="0" w:space="0" w:color="auto"/>
        <w:bottom w:val="none" w:sz="0" w:space="0" w:color="auto"/>
        <w:right w:val="none" w:sz="0" w:space="0" w:color="auto"/>
      </w:divBdr>
      <w:divsChild>
        <w:div w:id="557017488">
          <w:marLeft w:val="1411"/>
          <w:marRight w:val="0"/>
          <w:marTop w:val="120"/>
          <w:marBottom w:val="0"/>
          <w:divBdr>
            <w:top w:val="none" w:sz="0" w:space="0" w:color="auto"/>
            <w:left w:val="none" w:sz="0" w:space="0" w:color="auto"/>
            <w:bottom w:val="none" w:sz="0" w:space="0" w:color="auto"/>
            <w:right w:val="none" w:sz="0" w:space="0" w:color="auto"/>
          </w:divBdr>
        </w:div>
      </w:divsChild>
    </w:div>
    <w:div w:id="1499496116">
      <w:bodyDiv w:val="1"/>
      <w:marLeft w:val="0"/>
      <w:marRight w:val="0"/>
      <w:marTop w:val="0"/>
      <w:marBottom w:val="0"/>
      <w:divBdr>
        <w:top w:val="none" w:sz="0" w:space="0" w:color="auto"/>
        <w:left w:val="none" w:sz="0" w:space="0" w:color="auto"/>
        <w:bottom w:val="none" w:sz="0" w:space="0" w:color="auto"/>
        <w:right w:val="none" w:sz="0" w:space="0" w:color="auto"/>
      </w:divBdr>
      <w:divsChild>
        <w:div w:id="445007359">
          <w:marLeft w:val="0"/>
          <w:marRight w:val="0"/>
          <w:marTop w:val="0"/>
          <w:marBottom w:val="0"/>
          <w:divBdr>
            <w:top w:val="none" w:sz="0" w:space="0" w:color="auto"/>
            <w:left w:val="none" w:sz="0" w:space="0" w:color="auto"/>
            <w:bottom w:val="none" w:sz="0" w:space="0" w:color="auto"/>
            <w:right w:val="none" w:sz="0" w:space="0" w:color="auto"/>
          </w:divBdr>
        </w:div>
      </w:divsChild>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44756408">
      <w:bodyDiv w:val="1"/>
      <w:marLeft w:val="0"/>
      <w:marRight w:val="0"/>
      <w:marTop w:val="0"/>
      <w:marBottom w:val="0"/>
      <w:divBdr>
        <w:top w:val="none" w:sz="0" w:space="0" w:color="auto"/>
        <w:left w:val="none" w:sz="0" w:space="0" w:color="auto"/>
        <w:bottom w:val="none" w:sz="0" w:space="0" w:color="auto"/>
        <w:right w:val="none" w:sz="0" w:space="0" w:color="auto"/>
      </w:divBdr>
      <w:divsChild>
        <w:div w:id="1678573750">
          <w:marLeft w:val="1138"/>
          <w:marRight w:val="0"/>
          <w:marTop w:val="120"/>
          <w:marBottom w:val="0"/>
          <w:divBdr>
            <w:top w:val="none" w:sz="0" w:space="0" w:color="auto"/>
            <w:left w:val="none" w:sz="0" w:space="0" w:color="auto"/>
            <w:bottom w:val="none" w:sz="0" w:space="0" w:color="auto"/>
            <w:right w:val="none" w:sz="0" w:space="0" w:color="auto"/>
          </w:divBdr>
        </w:div>
      </w:divsChild>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584215376">
      <w:bodyDiv w:val="1"/>
      <w:marLeft w:val="0"/>
      <w:marRight w:val="0"/>
      <w:marTop w:val="0"/>
      <w:marBottom w:val="0"/>
      <w:divBdr>
        <w:top w:val="none" w:sz="0" w:space="0" w:color="auto"/>
        <w:left w:val="none" w:sz="0" w:space="0" w:color="auto"/>
        <w:bottom w:val="none" w:sz="0" w:space="0" w:color="auto"/>
        <w:right w:val="none" w:sz="0" w:space="0" w:color="auto"/>
      </w:divBdr>
    </w:div>
    <w:div w:id="1592545302">
      <w:bodyDiv w:val="1"/>
      <w:marLeft w:val="0"/>
      <w:marRight w:val="0"/>
      <w:marTop w:val="0"/>
      <w:marBottom w:val="0"/>
      <w:divBdr>
        <w:top w:val="none" w:sz="0" w:space="0" w:color="auto"/>
        <w:left w:val="none" w:sz="0" w:space="0" w:color="auto"/>
        <w:bottom w:val="none" w:sz="0" w:space="0" w:color="auto"/>
        <w:right w:val="none" w:sz="0" w:space="0" w:color="auto"/>
      </w:divBdr>
      <w:divsChild>
        <w:div w:id="1806971666">
          <w:marLeft w:val="850"/>
          <w:marRight w:val="0"/>
          <w:marTop w:val="120"/>
          <w:marBottom w:val="0"/>
          <w:divBdr>
            <w:top w:val="none" w:sz="0" w:space="0" w:color="auto"/>
            <w:left w:val="none" w:sz="0" w:space="0" w:color="auto"/>
            <w:bottom w:val="none" w:sz="0" w:space="0" w:color="auto"/>
            <w:right w:val="none" w:sz="0" w:space="0" w:color="auto"/>
          </w:divBdr>
        </w:div>
      </w:divsChild>
    </w:div>
    <w:div w:id="1606039625">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18097084">
      <w:bodyDiv w:val="1"/>
      <w:marLeft w:val="0"/>
      <w:marRight w:val="0"/>
      <w:marTop w:val="0"/>
      <w:marBottom w:val="0"/>
      <w:divBdr>
        <w:top w:val="none" w:sz="0" w:space="0" w:color="auto"/>
        <w:left w:val="none" w:sz="0" w:space="0" w:color="auto"/>
        <w:bottom w:val="none" w:sz="0" w:space="0" w:color="auto"/>
        <w:right w:val="none" w:sz="0" w:space="0" w:color="auto"/>
      </w:divBdr>
      <w:divsChild>
        <w:div w:id="1093861802">
          <w:marLeft w:val="0"/>
          <w:marRight w:val="0"/>
          <w:marTop w:val="0"/>
          <w:marBottom w:val="0"/>
          <w:divBdr>
            <w:top w:val="none" w:sz="0" w:space="0" w:color="auto"/>
            <w:left w:val="none" w:sz="0" w:space="0" w:color="auto"/>
            <w:bottom w:val="none" w:sz="0" w:space="0" w:color="auto"/>
            <w:right w:val="none" w:sz="0" w:space="0" w:color="auto"/>
          </w:divBdr>
        </w:div>
      </w:divsChild>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48392018">
      <w:bodyDiv w:val="1"/>
      <w:marLeft w:val="0"/>
      <w:marRight w:val="0"/>
      <w:marTop w:val="0"/>
      <w:marBottom w:val="0"/>
      <w:divBdr>
        <w:top w:val="none" w:sz="0" w:space="0" w:color="auto"/>
        <w:left w:val="none" w:sz="0" w:space="0" w:color="auto"/>
        <w:bottom w:val="none" w:sz="0" w:space="0" w:color="auto"/>
        <w:right w:val="none" w:sz="0" w:space="0" w:color="auto"/>
      </w:divBdr>
      <w:divsChild>
        <w:div w:id="147133364">
          <w:marLeft w:val="562"/>
          <w:marRight w:val="0"/>
          <w:marTop w:val="120"/>
          <w:marBottom w:val="0"/>
          <w:divBdr>
            <w:top w:val="none" w:sz="0" w:space="0" w:color="auto"/>
            <w:left w:val="none" w:sz="0" w:space="0" w:color="auto"/>
            <w:bottom w:val="none" w:sz="0" w:space="0" w:color="auto"/>
            <w:right w:val="none" w:sz="0" w:space="0" w:color="auto"/>
          </w:divBdr>
        </w:div>
      </w:divsChild>
    </w:div>
    <w:div w:id="1650206941">
      <w:bodyDiv w:val="1"/>
      <w:marLeft w:val="0"/>
      <w:marRight w:val="0"/>
      <w:marTop w:val="0"/>
      <w:marBottom w:val="0"/>
      <w:divBdr>
        <w:top w:val="none" w:sz="0" w:space="0" w:color="auto"/>
        <w:left w:val="none" w:sz="0" w:space="0" w:color="auto"/>
        <w:bottom w:val="none" w:sz="0" w:space="0" w:color="auto"/>
        <w:right w:val="none" w:sz="0" w:space="0" w:color="auto"/>
      </w:divBdr>
      <w:divsChild>
        <w:div w:id="176962974">
          <w:marLeft w:val="1138"/>
          <w:marRight w:val="0"/>
          <w:marTop w:val="120"/>
          <w:marBottom w:val="0"/>
          <w:divBdr>
            <w:top w:val="none" w:sz="0" w:space="0" w:color="auto"/>
            <w:left w:val="none" w:sz="0" w:space="0" w:color="auto"/>
            <w:bottom w:val="none" w:sz="0" w:space="0" w:color="auto"/>
            <w:right w:val="none" w:sz="0" w:space="0" w:color="auto"/>
          </w:divBdr>
        </w:div>
        <w:div w:id="560992433">
          <w:marLeft w:val="1138"/>
          <w:marRight w:val="0"/>
          <w:marTop w:val="120"/>
          <w:marBottom w:val="0"/>
          <w:divBdr>
            <w:top w:val="none" w:sz="0" w:space="0" w:color="auto"/>
            <w:left w:val="none" w:sz="0" w:space="0" w:color="auto"/>
            <w:bottom w:val="none" w:sz="0" w:space="0" w:color="auto"/>
            <w:right w:val="none" w:sz="0" w:space="0" w:color="auto"/>
          </w:divBdr>
        </w:div>
        <w:div w:id="625349836">
          <w:marLeft w:val="850"/>
          <w:marRight w:val="0"/>
          <w:marTop w:val="120"/>
          <w:marBottom w:val="0"/>
          <w:divBdr>
            <w:top w:val="none" w:sz="0" w:space="0" w:color="auto"/>
            <w:left w:val="none" w:sz="0" w:space="0" w:color="auto"/>
            <w:bottom w:val="none" w:sz="0" w:space="0" w:color="auto"/>
            <w:right w:val="none" w:sz="0" w:space="0" w:color="auto"/>
          </w:divBdr>
        </w:div>
        <w:div w:id="817960092">
          <w:marLeft w:val="1138"/>
          <w:marRight w:val="0"/>
          <w:marTop w:val="120"/>
          <w:marBottom w:val="0"/>
          <w:divBdr>
            <w:top w:val="none" w:sz="0" w:space="0" w:color="auto"/>
            <w:left w:val="none" w:sz="0" w:space="0" w:color="auto"/>
            <w:bottom w:val="none" w:sz="0" w:space="0" w:color="auto"/>
            <w:right w:val="none" w:sz="0" w:space="0" w:color="auto"/>
          </w:divBdr>
        </w:div>
        <w:div w:id="1396775791">
          <w:marLeft w:val="562"/>
          <w:marRight w:val="0"/>
          <w:marTop w:val="120"/>
          <w:marBottom w:val="0"/>
          <w:divBdr>
            <w:top w:val="none" w:sz="0" w:space="0" w:color="auto"/>
            <w:left w:val="none" w:sz="0" w:space="0" w:color="auto"/>
            <w:bottom w:val="none" w:sz="0" w:space="0" w:color="auto"/>
            <w:right w:val="none" w:sz="0" w:space="0" w:color="auto"/>
          </w:divBdr>
        </w:div>
        <w:div w:id="1505121695">
          <w:marLeft w:val="850"/>
          <w:marRight w:val="0"/>
          <w:marTop w:val="120"/>
          <w:marBottom w:val="0"/>
          <w:divBdr>
            <w:top w:val="none" w:sz="0" w:space="0" w:color="auto"/>
            <w:left w:val="none" w:sz="0" w:space="0" w:color="auto"/>
            <w:bottom w:val="none" w:sz="0" w:space="0" w:color="auto"/>
            <w:right w:val="none" w:sz="0" w:space="0" w:color="auto"/>
          </w:divBdr>
        </w:div>
        <w:div w:id="1729763018">
          <w:marLeft w:val="850"/>
          <w:marRight w:val="0"/>
          <w:marTop w:val="120"/>
          <w:marBottom w:val="0"/>
          <w:divBdr>
            <w:top w:val="none" w:sz="0" w:space="0" w:color="auto"/>
            <w:left w:val="none" w:sz="0" w:space="0" w:color="auto"/>
            <w:bottom w:val="none" w:sz="0" w:space="0" w:color="auto"/>
            <w:right w:val="none" w:sz="0" w:space="0" w:color="auto"/>
          </w:divBdr>
        </w:div>
        <w:div w:id="1998269227">
          <w:marLeft w:val="1138"/>
          <w:marRight w:val="0"/>
          <w:marTop w:val="120"/>
          <w:marBottom w:val="0"/>
          <w:divBdr>
            <w:top w:val="none" w:sz="0" w:space="0" w:color="auto"/>
            <w:left w:val="none" w:sz="0" w:space="0" w:color="auto"/>
            <w:bottom w:val="none" w:sz="0" w:space="0" w:color="auto"/>
            <w:right w:val="none" w:sz="0" w:space="0" w:color="auto"/>
          </w:divBdr>
        </w:div>
        <w:div w:id="2084141200">
          <w:marLeft w:val="850"/>
          <w:marRight w:val="0"/>
          <w:marTop w:val="120"/>
          <w:marBottom w:val="0"/>
          <w:divBdr>
            <w:top w:val="none" w:sz="0" w:space="0" w:color="auto"/>
            <w:left w:val="none" w:sz="0" w:space="0" w:color="auto"/>
            <w:bottom w:val="none" w:sz="0" w:space="0" w:color="auto"/>
            <w:right w:val="none" w:sz="0" w:space="0" w:color="auto"/>
          </w:divBdr>
        </w:div>
        <w:div w:id="2113013421">
          <w:marLeft w:val="1138"/>
          <w:marRight w:val="0"/>
          <w:marTop w:val="120"/>
          <w:marBottom w:val="0"/>
          <w:divBdr>
            <w:top w:val="none" w:sz="0" w:space="0" w:color="auto"/>
            <w:left w:val="none" w:sz="0" w:space="0" w:color="auto"/>
            <w:bottom w:val="none" w:sz="0" w:space="0" w:color="auto"/>
            <w:right w:val="none" w:sz="0" w:space="0" w:color="auto"/>
          </w:divBdr>
        </w:div>
      </w:divsChild>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64703840">
      <w:bodyDiv w:val="1"/>
      <w:marLeft w:val="0"/>
      <w:marRight w:val="0"/>
      <w:marTop w:val="0"/>
      <w:marBottom w:val="0"/>
      <w:divBdr>
        <w:top w:val="none" w:sz="0" w:space="0" w:color="auto"/>
        <w:left w:val="none" w:sz="0" w:space="0" w:color="auto"/>
        <w:bottom w:val="none" w:sz="0" w:space="0" w:color="auto"/>
        <w:right w:val="none" w:sz="0" w:space="0" w:color="auto"/>
      </w:divBdr>
      <w:divsChild>
        <w:div w:id="462387024">
          <w:marLeft w:val="1138"/>
          <w:marRight w:val="0"/>
          <w:marTop w:val="120"/>
          <w:marBottom w:val="0"/>
          <w:divBdr>
            <w:top w:val="none" w:sz="0" w:space="0" w:color="auto"/>
            <w:left w:val="none" w:sz="0" w:space="0" w:color="auto"/>
            <w:bottom w:val="none" w:sz="0" w:space="0" w:color="auto"/>
            <w:right w:val="none" w:sz="0" w:space="0" w:color="auto"/>
          </w:divBdr>
        </w:div>
      </w:divsChild>
    </w:div>
    <w:div w:id="1671593375">
      <w:bodyDiv w:val="1"/>
      <w:marLeft w:val="0"/>
      <w:marRight w:val="0"/>
      <w:marTop w:val="0"/>
      <w:marBottom w:val="0"/>
      <w:divBdr>
        <w:top w:val="none" w:sz="0" w:space="0" w:color="auto"/>
        <w:left w:val="none" w:sz="0" w:space="0" w:color="auto"/>
        <w:bottom w:val="none" w:sz="0" w:space="0" w:color="auto"/>
        <w:right w:val="none" w:sz="0" w:space="0" w:color="auto"/>
      </w:divBdr>
      <w:divsChild>
        <w:div w:id="22830746">
          <w:marLeft w:val="850"/>
          <w:marRight w:val="0"/>
          <w:marTop w:val="120"/>
          <w:marBottom w:val="0"/>
          <w:divBdr>
            <w:top w:val="none" w:sz="0" w:space="0" w:color="auto"/>
            <w:left w:val="none" w:sz="0" w:space="0" w:color="auto"/>
            <w:bottom w:val="none" w:sz="0" w:space="0" w:color="auto"/>
            <w:right w:val="none" w:sz="0" w:space="0" w:color="auto"/>
          </w:divBdr>
        </w:div>
      </w:divsChild>
    </w:div>
    <w:div w:id="1682655917">
      <w:bodyDiv w:val="1"/>
      <w:marLeft w:val="0"/>
      <w:marRight w:val="0"/>
      <w:marTop w:val="0"/>
      <w:marBottom w:val="0"/>
      <w:divBdr>
        <w:top w:val="none" w:sz="0" w:space="0" w:color="auto"/>
        <w:left w:val="none" w:sz="0" w:space="0" w:color="auto"/>
        <w:bottom w:val="none" w:sz="0" w:space="0" w:color="auto"/>
        <w:right w:val="none" w:sz="0" w:space="0" w:color="auto"/>
      </w:divBdr>
      <w:divsChild>
        <w:div w:id="548423592">
          <w:marLeft w:val="1181"/>
          <w:marRight w:val="0"/>
          <w:marTop w:val="40"/>
          <w:marBottom w:val="80"/>
          <w:divBdr>
            <w:top w:val="none" w:sz="0" w:space="0" w:color="auto"/>
            <w:left w:val="none" w:sz="0" w:space="0" w:color="auto"/>
            <w:bottom w:val="none" w:sz="0" w:space="0" w:color="auto"/>
            <w:right w:val="none" w:sz="0" w:space="0" w:color="auto"/>
          </w:divBdr>
        </w:div>
        <w:div w:id="965812432">
          <w:marLeft w:val="1181"/>
          <w:marRight w:val="0"/>
          <w:marTop w:val="40"/>
          <w:marBottom w:val="80"/>
          <w:divBdr>
            <w:top w:val="none" w:sz="0" w:space="0" w:color="auto"/>
            <w:left w:val="none" w:sz="0" w:space="0" w:color="auto"/>
            <w:bottom w:val="none" w:sz="0" w:space="0" w:color="auto"/>
            <w:right w:val="none" w:sz="0" w:space="0" w:color="auto"/>
          </w:divBdr>
        </w:div>
        <w:div w:id="1040324519">
          <w:marLeft w:val="1181"/>
          <w:marRight w:val="0"/>
          <w:marTop w:val="40"/>
          <w:marBottom w:val="80"/>
          <w:divBdr>
            <w:top w:val="none" w:sz="0" w:space="0" w:color="auto"/>
            <w:left w:val="none" w:sz="0" w:space="0" w:color="auto"/>
            <w:bottom w:val="none" w:sz="0" w:space="0" w:color="auto"/>
            <w:right w:val="none" w:sz="0" w:space="0" w:color="auto"/>
          </w:divBdr>
        </w:div>
      </w:divsChild>
    </w:div>
    <w:div w:id="1685355492">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37974270">
      <w:bodyDiv w:val="1"/>
      <w:marLeft w:val="0"/>
      <w:marRight w:val="0"/>
      <w:marTop w:val="0"/>
      <w:marBottom w:val="0"/>
      <w:divBdr>
        <w:top w:val="none" w:sz="0" w:space="0" w:color="auto"/>
        <w:left w:val="none" w:sz="0" w:space="0" w:color="auto"/>
        <w:bottom w:val="none" w:sz="0" w:space="0" w:color="auto"/>
        <w:right w:val="none" w:sz="0" w:space="0" w:color="auto"/>
      </w:divBdr>
    </w:div>
    <w:div w:id="1740403144">
      <w:bodyDiv w:val="1"/>
      <w:marLeft w:val="0"/>
      <w:marRight w:val="0"/>
      <w:marTop w:val="0"/>
      <w:marBottom w:val="0"/>
      <w:divBdr>
        <w:top w:val="none" w:sz="0" w:space="0" w:color="auto"/>
        <w:left w:val="none" w:sz="0" w:space="0" w:color="auto"/>
        <w:bottom w:val="none" w:sz="0" w:space="0" w:color="auto"/>
        <w:right w:val="none" w:sz="0" w:space="0" w:color="auto"/>
      </w:divBdr>
      <w:divsChild>
        <w:div w:id="250239338">
          <w:marLeft w:val="562"/>
          <w:marRight w:val="0"/>
          <w:marTop w:val="120"/>
          <w:marBottom w:val="0"/>
          <w:divBdr>
            <w:top w:val="none" w:sz="0" w:space="0" w:color="auto"/>
            <w:left w:val="none" w:sz="0" w:space="0" w:color="auto"/>
            <w:bottom w:val="none" w:sz="0" w:space="0" w:color="auto"/>
            <w:right w:val="none" w:sz="0" w:space="0" w:color="auto"/>
          </w:divBdr>
        </w:div>
        <w:div w:id="582571053">
          <w:marLeft w:val="850"/>
          <w:marRight w:val="0"/>
          <w:marTop w:val="120"/>
          <w:marBottom w:val="0"/>
          <w:divBdr>
            <w:top w:val="none" w:sz="0" w:space="0" w:color="auto"/>
            <w:left w:val="none" w:sz="0" w:space="0" w:color="auto"/>
            <w:bottom w:val="none" w:sz="0" w:space="0" w:color="auto"/>
            <w:right w:val="none" w:sz="0" w:space="0" w:color="auto"/>
          </w:divBdr>
        </w:div>
        <w:div w:id="663244565">
          <w:marLeft w:val="850"/>
          <w:marRight w:val="0"/>
          <w:marTop w:val="120"/>
          <w:marBottom w:val="0"/>
          <w:divBdr>
            <w:top w:val="none" w:sz="0" w:space="0" w:color="auto"/>
            <w:left w:val="none" w:sz="0" w:space="0" w:color="auto"/>
            <w:bottom w:val="none" w:sz="0" w:space="0" w:color="auto"/>
            <w:right w:val="none" w:sz="0" w:space="0" w:color="auto"/>
          </w:divBdr>
        </w:div>
      </w:divsChild>
    </w:div>
    <w:div w:id="1748766938">
      <w:bodyDiv w:val="1"/>
      <w:marLeft w:val="0"/>
      <w:marRight w:val="0"/>
      <w:marTop w:val="0"/>
      <w:marBottom w:val="0"/>
      <w:divBdr>
        <w:top w:val="none" w:sz="0" w:space="0" w:color="auto"/>
        <w:left w:val="none" w:sz="0" w:space="0" w:color="auto"/>
        <w:bottom w:val="none" w:sz="0" w:space="0" w:color="auto"/>
        <w:right w:val="none" w:sz="0" w:space="0" w:color="auto"/>
      </w:divBdr>
      <w:divsChild>
        <w:div w:id="1736971708">
          <w:marLeft w:val="562"/>
          <w:marRight w:val="0"/>
          <w:marTop w:val="120"/>
          <w:marBottom w:val="0"/>
          <w:divBdr>
            <w:top w:val="none" w:sz="0" w:space="0" w:color="auto"/>
            <w:left w:val="none" w:sz="0" w:space="0" w:color="auto"/>
            <w:bottom w:val="none" w:sz="0" w:space="0" w:color="auto"/>
            <w:right w:val="none" w:sz="0" w:space="0" w:color="auto"/>
          </w:divBdr>
        </w:div>
      </w:divsChild>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794979438">
      <w:bodyDiv w:val="1"/>
      <w:marLeft w:val="0"/>
      <w:marRight w:val="0"/>
      <w:marTop w:val="0"/>
      <w:marBottom w:val="0"/>
      <w:divBdr>
        <w:top w:val="none" w:sz="0" w:space="0" w:color="auto"/>
        <w:left w:val="none" w:sz="0" w:space="0" w:color="auto"/>
        <w:bottom w:val="none" w:sz="0" w:space="0" w:color="auto"/>
        <w:right w:val="none" w:sz="0" w:space="0" w:color="auto"/>
      </w:divBdr>
      <w:divsChild>
        <w:div w:id="1507478299">
          <w:marLeft w:val="0"/>
          <w:marRight w:val="0"/>
          <w:marTop w:val="0"/>
          <w:marBottom w:val="0"/>
          <w:divBdr>
            <w:top w:val="none" w:sz="0" w:space="0" w:color="auto"/>
            <w:left w:val="none" w:sz="0" w:space="0" w:color="auto"/>
            <w:bottom w:val="none" w:sz="0" w:space="0" w:color="auto"/>
            <w:right w:val="none" w:sz="0" w:space="0" w:color="auto"/>
          </w:divBdr>
        </w:div>
      </w:divsChild>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0711491">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70995395">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885750391">
      <w:bodyDiv w:val="1"/>
      <w:marLeft w:val="0"/>
      <w:marRight w:val="0"/>
      <w:marTop w:val="0"/>
      <w:marBottom w:val="0"/>
      <w:divBdr>
        <w:top w:val="none" w:sz="0" w:space="0" w:color="auto"/>
        <w:left w:val="none" w:sz="0" w:space="0" w:color="auto"/>
        <w:bottom w:val="none" w:sz="0" w:space="0" w:color="auto"/>
        <w:right w:val="none" w:sz="0" w:space="0" w:color="auto"/>
      </w:divBdr>
      <w:divsChild>
        <w:div w:id="2121222155">
          <w:marLeft w:val="0"/>
          <w:marRight w:val="0"/>
          <w:marTop w:val="0"/>
          <w:marBottom w:val="0"/>
          <w:divBdr>
            <w:top w:val="none" w:sz="0" w:space="0" w:color="auto"/>
            <w:left w:val="none" w:sz="0" w:space="0" w:color="auto"/>
            <w:bottom w:val="none" w:sz="0" w:space="0" w:color="auto"/>
            <w:right w:val="none" w:sz="0" w:space="0" w:color="auto"/>
          </w:divBdr>
        </w:div>
      </w:divsChild>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19367354">
      <w:bodyDiv w:val="1"/>
      <w:marLeft w:val="0"/>
      <w:marRight w:val="0"/>
      <w:marTop w:val="0"/>
      <w:marBottom w:val="0"/>
      <w:divBdr>
        <w:top w:val="none" w:sz="0" w:space="0" w:color="auto"/>
        <w:left w:val="none" w:sz="0" w:space="0" w:color="auto"/>
        <w:bottom w:val="none" w:sz="0" w:space="0" w:color="auto"/>
        <w:right w:val="none" w:sz="0" w:space="0" w:color="auto"/>
      </w:divBdr>
      <w:divsChild>
        <w:div w:id="226915339">
          <w:marLeft w:val="850"/>
          <w:marRight w:val="0"/>
          <w:marTop w:val="120"/>
          <w:marBottom w:val="0"/>
          <w:divBdr>
            <w:top w:val="none" w:sz="0" w:space="0" w:color="auto"/>
            <w:left w:val="none" w:sz="0" w:space="0" w:color="auto"/>
            <w:bottom w:val="none" w:sz="0" w:space="0" w:color="auto"/>
            <w:right w:val="none" w:sz="0" w:space="0" w:color="auto"/>
          </w:divBdr>
        </w:div>
      </w:divsChild>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34118925">
      <w:bodyDiv w:val="1"/>
      <w:marLeft w:val="0"/>
      <w:marRight w:val="0"/>
      <w:marTop w:val="0"/>
      <w:marBottom w:val="0"/>
      <w:divBdr>
        <w:top w:val="none" w:sz="0" w:space="0" w:color="auto"/>
        <w:left w:val="none" w:sz="0" w:space="0" w:color="auto"/>
        <w:bottom w:val="none" w:sz="0" w:space="0" w:color="auto"/>
        <w:right w:val="none" w:sz="0" w:space="0" w:color="auto"/>
      </w:divBdr>
    </w:div>
    <w:div w:id="1937324523">
      <w:bodyDiv w:val="1"/>
      <w:marLeft w:val="0"/>
      <w:marRight w:val="0"/>
      <w:marTop w:val="0"/>
      <w:marBottom w:val="0"/>
      <w:divBdr>
        <w:top w:val="none" w:sz="0" w:space="0" w:color="auto"/>
        <w:left w:val="none" w:sz="0" w:space="0" w:color="auto"/>
        <w:bottom w:val="none" w:sz="0" w:space="0" w:color="auto"/>
        <w:right w:val="none" w:sz="0" w:space="0" w:color="auto"/>
      </w:divBdr>
      <w:divsChild>
        <w:div w:id="923341661">
          <w:marLeft w:val="850"/>
          <w:marRight w:val="0"/>
          <w:marTop w:val="120"/>
          <w:marBottom w:val="0"/>
          <w:divBdr>
            <w:top w:val="none" w:sz="0" w:space="0" w:color="auto"/>
            <w:left w:val="none" w:sz="0" w:space="0" w:color="auto"/>
            <w:bottom w:val="none" w:sz="0" w:space="0" w:color="auto"/>
            <w:right w:val="none" w:sz="0" w:space="0" w:color="auto"/>
          </w:divBdr>
        </w:div>
      </w:divsChild>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54482528">
      <w:bodyDiv w:val="1"/>
      <w:marLeft w:val="0"/>
      <w:marRight w:val="0"/>
      <w:marTop w:val="0"/>
      <w:marBottom w:val="0"/>
      <w:divBdr>
        <w:top w:val="none" w:sz="0" w:space="0" w:color="auto"/>
        <w:left w:val="none" w:sz="0" w:space="0" w:color="auto"/>
        <w:bottom w:val="none" w:sz="0" w:space="0" w:color="auto"/>
        <w:right w:val="none" w:sz="0" w:space="0" w:color="auto"/>
      </w:divBdr>
    </w:div>
    <w:div w:id="1963075844">
      <w:bodyDiv w:val="1"/>
      <w:marLeft w:val="0"/>
      <w:marRight w:val="0"/>
      <w:marTop w:val="0"/>
      <w:marBottom w:val="0"/>
      <w:divBdr>
        <w:top w:val="none" w:sz="0" w:space="0" w:color="auto"/>
        <w:left w:val="none" w:sz="0" w:space="0" w:color="auto"/>
        <w:bottom w:val="none" w:sz="0" w:space="0" w:color="auto"/>
        <w:right w:val="none" w:sz="0" w:space="0" w:color="auto"/>
      </w:divBdr>
    </w:div>
    <w:div w:id="1972785678">
      <w:bodyDiv w:val="1"/>
      <w:marLeft w:val="0"/>
      <w:marRight w:val="0"/>
      <w:marTop w:val="0"/>
      <w:marBottom w:val="0"/>
      <w:divBdr>
        <w:top w:val="none" w:sz="0" w:space="0" w:color="auto"/>
        <w:left w:val="none" w:sz="0" w:space="0" w:color="auto"/>
        <w:bottom w:val="none" w:sz="0" w:space="0" w:color="auto"/>
        <w:right w:val="none" w:sz="0" w:space="0" w:color="auto"/>
      </w:divBdr>
      <w:divsChild>
        <w:div w:id="307364505">
          <w:marLeft w:val="1411"/>
          <w:marRight w:val="0"/>
          <w:marTop w:val="120"/>
          <w:marBottom w:val="0"/>
          <w:divBdr>
            <w:top w:val="none" w:sz="0" w:space="0" w:color="auto"/>
            <w:left w:val="none" w:sz="0" w:space="0" w:color="auto"/>
            <w:bottom w:val="none" w:sz="0" w:space="0" w:color="auto"/>
            <w:right w:val="none" w:sz="0" w:space="0" w:color="auto"/>
          </w:divBdr>
        </w:div>
        <w:div w:id="1331757783">
          <w:marLeft w:val="1411"/>
          <w:marRight w:val="0"/>
          <w:marTop w:val="120"/>
          <w:marBottom w:val="0"/>
          <w:divBdr>
            <w:top w:val="none" w:sz="0" w:space="0" w:color="auto"/>
            <w:left w:val="none" w:sz="0" w:space="0" w:color="auto"/>
            <w:bottom w:val="none" w:sz="0" w:space="0" w:color="auto"/>
            <w:right w:val="none" w:sz="0" w:space="0" w:color="auto"/>
          </w:divBdr>
        </w:div>
      </w:divsChild>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1985963935">
      <w:bodyDiv w:val="1"/>
      <w:marLeft w:val="0"/>
      <w:marRight w:val="0"/>
      <w:marTop w:val="0"/>
      <w:marBottom w:val="0"/>
      <w:divBdr>
        <w:top w:val="none" w:sz="0" w:space="0" w:color="auto"/>
        <w:left w:val="none" w:sz="0" w:space="0" w:color="auto"/>
        <w:bottom w:val="none" w:sz="0" w:space="0" w:color="auto"/>
        <w:right w:val="none" w:sz="0" w:space="0" w:color="auto"/>
      </w:divBdr>
    </w:div>
    <w:div w:id="2022075948">
      <w:bodyDiv w:val="1"/>
      <w:marLeft w:val="0"/>
      <w:marRight w:val="0"/>
      <w:marTop w:val="0"/>
      <w:marBottom w:val="0"/>
      <w:divBdr>
        <w:top w:val="none" w:sz="0" w:space="0" w:color="auto"/>
        <w:left w:val="none" w:sz="0" w:space="0" w:color="auto"/>
        <w:bottom w:val="none" w:sz="0" w:space="0" w:color="auto"/>
        <w:right w:val="none" w:sz="0" w:space="0" w:color="auto"/>
      </w:divBdr>
      <w:divsChild>
        <w:div w:id="1433740637">
          <w:marLeft w:val="562"/>
          <w:marRight w:val="0"/>
          <w:marTop w:val="120"/>
          <w:marBottom w:val="0"/>
          <w:divBdr>
            <w:top w:val="none" w:sz="0" w:space="0" w:color="auto"/>
            <w:left w:val="none" w:sz="0" w:space="0" w:color="auto"/>
            <w:bottom w:val="none" w:sz="0" w:space="0" w:color="auto"/>
            <w:right w:val="none" w:sz="0" w:space="0" w:color="auto"/>
          </w:divBdr>
        </w:div>
      </w:divsChild>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3845816">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116754302">
      <w:bodyDiv w:val="1"/>
      <w:marLeft w:val="0"/>
      <w:marRight w:val="0"/>
      <w:marTop w:val="0"/>
      <w:marBottom w:val="0"/>
      <w:divBdr>
        <w:top w:val="none" w:sz="0" w:space="0" w:color="auto"/>
        <w:left w:val="none" w:sz="0" w:space="0" w:color="auto"/>
        <w:bottom w:val="none" w:sz="0" w:space="0" w:color="auto"/>
        <w:right w:val="none" w:sz="0" w:space="0" w:color="auto"/>
      </w:divBdr>
      <w:divsChild>
        <w:div w:id="1938515361">
          <w:marLeft w:val="1138"/>
          <w:marRight w:val="0"/>
          <w:marTop w:val="120"/>
          <w:marBottom w:val="0"/>
          <w:divBdr>
            <w:top w:val="none" w:sz="0" w:space="0" w:color="auto"/>
            <w:left w:val="none" w:sz="0" w:space="0" w:color="auto"/>
            <w:bottom w:val="none" w:sz="0" w:space="0" w:color="auto"/>
            <w:right w:val="none" w:sz="0" w:space="0" w:color="auto"/>
          </w:divBdr>
        </w:div>
      </w:divsChild>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 w:id="2126652189">
      <w:bodyDiv w:val="1"/>
      <w:marLeft w:val="0"/>
      <w:marRight w:val="0"/>
      <w:marTop w:val="0"/>
      <w:marBottom w:val="0"/>
      <w:divBdr>
        <w:top w:val="none" w:sz="0" w:space="0" w:color="auto"/>
        <w:left w:val="none" w:sz="0" w:space="0" w:color="auto"/>
        <w:bottom w:val="none" w:sz="0" w:space="0" w:color="auto"/>
        <w:right w:val="none" w:sz="0" w:space="0" w:color="auto"/>
      </w:divBdr>
      <w:divsChild>
        <w:div w:id="271405097">
          <w:marLeft w:val="562"/>
          <w:marRight w:val="0"/>
          <w:marTop w:val="120"/>
          <w:marBottom w:val="0"/>
          <w:divBdr>
            <w:top w:val="none" w:sz="0" w:space="0" w:color="auto"/>
            <w:left w:val="none" w:sz="0" w:space="0" w:color="auto"/>
            <w:bottom w:val="none" w:sz="0" w:space="0" w:color="auto"/>
            <w:right w:val="none" w:sz="0" w:space="0" w:color="auto"/>
          </w:divBdr>
        </w:div>
        <w:div w:id="818769648">
          <w:marLeft w:val="850"/>
          <w:marRight w:val="0"/>
          <w:marTop w:val="120"/>
          <w:marBottom w:val="0"/>
          <w:divBdr>
            <w:top w:val="none" w:sz="0" w:space="0" w:color="auto"/>
            <w:left w:val="none" w:sz="0" w:space="0" w:color="auto"/>
            <w:bottom w:val="none" w:sz="0" w:space="0" w:color="auto"/>
            <w:right w:val="none" w:sz="0" w:space="0" w:color="auto"/>
          </w:divBdr>
        </w:div>
        <w:div w:id="919365750">
          <w:marLeft w:val="1138"/>
          <w:marRight w:val="0"/>
          <w:marTop w:val="120"/>
          <w:marBottom w:val="0"/>
          <w:divBdr>
            <w:top w:val="none" w:sz="0" w:space="0" w:color="auto"/>
            <w:left w:val="none" w:sz="0" w:space="0" w:color="auto"/>
            <w:bottom w:val="none" w:sz="0" w:space="0" w:color="auto"/>
            <w:right w:val="none" w:sz="0" w:space="0" w:color="auto"/>
          </w:divBdr>
        </w:div>
        <w:div w:id="691221658">
          <w:marLeft w:val="1138"/>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2259</Words>
  <Characters>12880</Characters>
  <Application>Microsoft Office Word</Application>
  <DocSecurity>0</DocSecurity>
  <Lines>107</Lines>
  <Paragraphs>30</Paragraphs>
  <ScaleCrop>false</ScaleCrop>
  <Company/>
  <LinksUpToDate>false</LinksUpToDate>
  <CharactersWithSpaces>15109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subject/>
  <dc:creator>zhangzhenyu3@xiaomi.com</dc:creator>
  <cp:keywords>Xiaomi ISAC channel model</cp:keywords>
  <dc:description/>
  <cp:lastModifiedBy>Xiaomi</cp:lastModifiedBy>
  <cp:revision>9</cp:revision>
  <cp:lastPrinted>2023-04-07T13:12:00Z</cp:lastPrinted>
  <dcterms:created xsi:type="dcterms:W3CDTF">2025-06-02T01:55:00Z</dcterms:created>
  <dcterms:modified xsi:type="dcterms:W3CDTF">2025-06-02T02:17:00Z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MTWinEqns">
    <vt:bool>true</vt:bool>
  </property>
  <property fmtid="{D5CDD505-2E9C-101B-9397-08002B2CF9AE}" pid="19" name="CWM4acba5f0b99511ee80006f7a00006e7a">
    <vt:lpwstr>CWMrclq8YX1FXUqvH1tvJBIGyiyw9n+bmkDWKlt1R3DEKZsyVyMmlbf5bv6xkJ7iNn7yjc6uvwPtpo0+D7WONuTpQ==</vt:lpwstr>
  </property>
  <property fmtid="{D5CDD505-2E9C-101B-9397-08002B2CF9AE}" pid="20" name="CWMe6b79780c32211ee80003fe700003ee7">
    <vt:lpwstr>CWMFyQVW+xYJH6wSfuQDNZW5pmXs1zb6yNKpqC8NYLGQ/pvj7Qi/VUAFs1DX7ceQ5EXJ2dSGMOOdqPnDaNfopgOzg==</vt:lpwstr>
  </property>
  <property fmtid="{D5CDD505-2E9C-101B-9397-08002B2CF9AE}" pid="21" name="CWM5455a2a0c33711ee80006d8f00006c8f">
    <vt:lpwstr>CWMpQ22qTQYzsRVRMDLA8/YIALxWj5hNutyicjhKoX/Nh/kkkLC5kcfydmpfyhUy1IbrPgeNRTg6jnTnr0zxgYOnw==</vt:lpwstr>
  </property>
  <property fmtid="{D5CDD505-2E9C-101B-9397-08002B2CF9AE}" pid="22" name="CWMc1660f90c35211ee80003fe700003ee7">
    <vt:lpwstr>CWMqMXqkD6fn/pAa374t8OizizQUzVWQjHao7uq6kEX0yCknUlARDDB15dpcT4x/N77cu2OJ4U7WdGkbEVAeX95kA==</vt:lpwstr>
  </property>
  <property fmtid="{D5CDD505-2E9C-101B-9397-08002B2CF9AE}" pid="23" name="CWMbe496e90c40811ee8000334400003244">
    <vt:lpwstr>CWMmWpO1x7WqkB+wpmJumyptF9GUQSt6AuLFGwfB90Y95vp6ukN6CjE11XR55UiIuK15a1s98439C5yFYZS6UfhMw==</vt:lpwstr>
  </property>
  <property fmtid="{D5CDD505-2E9C-101B-9397-08002B2CF9AE}" pid="24" name="CWM4cbe6570c42e11ee8000173000001730">
    <vt:lpwstr>CWM/qkOP4ruO2mXAkkZx37ORH6i+RcTdSgq7I9lxXKDU1/OJoFgb+vJF43kNIqUliGWWkSPsCxKWTY9gEQd2KbAKQ==</vt:lpwstr>
  </property>
  <property fmtid="{D5CDD505-2E9C-101B-9397-08002B2CF9AE}" pid="25" name="CWM6c71ef90c42e11ee80003fe700003ee7">
    <vt:lpwstr>CWMQUsoES1RRXaURNb/cwChdfRxhSEffUl/LOlSPNkrWLOdR3HekBeVKJEsDVrFOy2KEPX/uDYsG0seJanPUKgkyQ==</vt:lpwstr>
  </property>
  <property fmtid="{D5CDD505-2E9C-101B-9397-08002B2CF9AE}" pid="26" name="CWM1e3f33d0c48f11ee8000173000001730">
    <vt:lpwstr>CWMhMkOV2yG0dlGHLsghV10MFOjE+3ueHqpMlNBlvlcAGwk4bffJvod+rbX35HAU7e9</vt:lpwstr>
  </property>
  <property fmtid="{D5CDD505-2E9C-101B-9397-08002B2CF9AE}" pid="27" name="CWM48ed6320c59511ee8000334000003240">
    <vt:lpwstr>CWM80Vghr4WHt6f4TjoS8kV+5lGnpavVDaEqVLjQpW8SsMoiAUaig/2GxA6uTuvQGv/XO0z1bX4Gx8qAcfXj2qXEA==</vt:lpwstr>
  </property>
  <property fmtid="{D5CDD505-2E9C-101B-9397-08002B2CF9AE}" pid="28" name="CWMd5339a10c63111ee800023e8000022e8">
    <vt:lpwstr>CWM0u2mMGu3jupLRkSISpjHwX+vysqUy2lbrF+ABcUjGfbhbc0mTYWkcd7gXiZCHOBF1J9k7g2rkMetPqbFhLMDmw==</vt:lpwstr>
  </property>
  <property fmtid="{D5CDD505-2E9C-101B-9397-08002B2CF9AE}" pid="29" name="CWM99b8bbc0ca7111ee80000b7700000a77">
    <vt:lpwstr>CWMUzNfdD9uQA1OvIi+VQPyqmy1iFcPsWHnpV5mbv1R5qcOHg5sTPW1Nbx/WnwWw32LwMFQZmY8CbO1Mrz9b5l3sw==</vt:lpwstr>
  </property>
  <property fmtid="{D5CDD505-2E9C-101B-9397-08002B2CF9AE}" pid="30" name="CWM91ba3d50cc9111ee8000396c0000396c">
    <vt:lpwstr>CWMFT3vc0CIgpwV8ybnEsO+apdr6WXgzeo9WFsjHPYmcOMcMZxiQoWhgM2Wu5Uv5i6f+xsiouABhTIXtpHyz+62yA==</vt:lpwstr>
  </property>
  <property fmtid="{D5CDD505-2E9C-101B-9397-08002B2CF9AE}" pid="31" name="CWMdc08c870cd8d11ee8000154800001548">
    <vt:lpwstr>CWMS8emkd3lw5FKSAdU7v2uyROATSk/Cluo8L8OcDY9V6Hq+IJUkDLvtkCpCKHlX4pO4A9JThj4yeio86LANO3yXQ==</vt:lpwstr>
  </property>
  <property fmtid="{D5CDD505-2E9C-101B-9397-08002B2CF9AE}" pid="32" name="CWMe2656260ee7a11ee80005db600005cb6">
    <vt:lpwstr>CWMZkJFzbKJuvBIWNY4Qst/Fif/cFTzf5djfx8ZvfpwldjV/7cibRD/cqMgLxz9MNOxiigFpJAhZlDIV/9SMxUJQg==</vt:lpwstr>
  </property>
  <property fmtid="{D5CDD505-2E9C-101B-9397-08002B2CF9AE}" pid="33" name="CWMf123f240f0d111ee80006f6800006e68">
    <vt:lpwstr>CWMLTq1Sfv5D16rlb8HVBe+QCFld3tuKjFz05M1/Ih9pKiaUiajtyn8ZyJqOL6ygKEsO91pCGdM+oZo1lLdKdSQow==</vt:lpwstr>
  </property>
  <property fmtid="{D5CDD505-2E9C-101B-9397-08002B2CF9AE}" pid="34" name="CWMd0cf9e80f23511ee800011d4000011d4">
    <vt:lpwstr>CWMJDK2FctlqmHmzR8nandvX1U3JYLRTG64Uf9k+1SycyRPl0JW+B5dNxXh1rU7g6byXt1WUuMGQxBPNUpycjBysw==</vt:lpwstr>
  </property>
  <property fmtid="{D5CDD505-2E9C-101B-9397-08002B2CF9AE}" pid="35" name="CWM6b153700f29711ee80005f7000005f70">
    <vt:lpwstr>CWMBQ/FYopMTx0nNCjHFgenEA6XtOA7dUKuEFyumMB7PB3SMWxvhYL9IOhLt2JbpVRLRHxyGeLdG+nOTrGrVo3k9A==</vt:lpwstr>
  </property>
  <property fmtid="{D5CDD505-2E9C-101B-9397-08002B2CF9AE}" pid="36" name="CWM3a648c20f30811ee800023cc000023cc">
    <vt:lpwstr>CWMk7CbG2AETgve9WvFV5tb3C6K1NcxJcSqNf6LdSTQiKC44SPzCFHHqFZHPAS5z7QB4+eoBWcu9mxfsUVB75tuMg==</vt:lpwstr>
  </property>
  <property fmtid="{D5CDD505-2E9C-101B-9397-08002B2CF9AE}" pid="37" name="CWMf797e4e00dc511ef80001b0a00001a0a">
    <vt:lpwstr>CWMLh/IhoJmKmDndKypCZlb631NlZ7UvviUhrZQzJ4q1cBjoC3wYJjwMqWwhPKFjgY/lVpUiCgmEscBNEf8qM+TfQ==</vt:lpwstr>
  </property>
  <property fmtid="{D5CDD505-2E9C-101B-9397-08002B2CF9AE}" pid="38" name="CWM10b21d100dfd11ef800039ec000039ec">
    <vt:lpwstr>CWMGEUgG7Ac+EBMZTpSxOrZ5JV0k7ttKyOKiZ/oxV8Xi5favd163x/tUAruF06tNwQY/+19gdbCO9AwUMtQwdj9Uw==</vt:lpwstr>
  </property>
  <property fmtid="{D5CDD505-2E9C-101B-9397-08002B2CF9AE}" pid="39" name="CWM15feb3d00dff11ef80000b8400000a84">
    <vt:lpwstr>CWMnSaa7Zdzvxm6QVuM47kueDAAn7qQ1vyzgysd8R7+nFinnTOdjsoEPwVRYMkegoSOgRviGc/1bpQLiDg31LF2IQ==</vt:lpwstr>
  </property>
  <property fmtid="{D5CDD505-2E9C-101B-9397-08002B2CF9AE}" pid="40" name="CWM813d3bc00e6e11ef800039ec000039ec">
    <vt:lpwstr>CWMmvthHrHFaOO8cvJvtvFs1EJGjd6ekk7iPNCrszyu6hGkRv/GVzz4U32cJ96KhkDAIWAKFYwQNs4PJ8dW7U0EoQ==</vt:lpwstr>
  </property>
  <property fmtid="{D5CDD505-2E9C-101B-9397-08002B2CF9AE}" pid="41" name="CWM7811a0000ec211ef80001b0a00001a0a">
    <vt:lpwstr>CWMtysX7bJHRCkT7kdg6YLuaxs+HhAL5k5O3FM+/C7GNmUYsLXNX2VzEcGKSy+lCVuVOJ0w7olsYfNIaax6TMP4ww==</vt:lpwstr>
  </property>
  <property fmtid="{D5CDD505-2E9C-101B-9397-08002B2CF9AE}" pid="42" name="CWMe20a14000edc11ef8000430000004300">
    <vt:lpwstr>CWMtj5SAl8LS7wCBwtabvFMNm/kgknsjUwdX7/nSQYuHZ5gryVr3ZXduqAxaJ0UK3yeWBWDdZRIhLqwc964baIG6Q==</vt:lpwstr>
  </property>
  <property fmtid="{D5CDD505-2E9C-101B-9397-08002B2CF9AE}" pid="43" name="CWM6dde7f004ff311ef8000375600003656">
    <vt:lpwstr>CWMBQuAR8Ka3PdbM4CB0MSiK2UP1/B9jSqlqDXIrWSiIqUDf1UxRvecYY6xN/S97VBf1rSDDZpqYM40tcySU0+xvg==</vt:lpwstr>
  </property>
  <property fmtid="{D5CDD505-2E9C-101B-9397-08002B2CF9AE}" pid="44" name="CWMe89e7a10545811ef800017c6000017c6">
    <vt:lpwstr>CWM7ZGcYInxiG14KkhUg11oHvu3EAMwwtKB6UtOOIBXWTUjeLcaqAhxvbTPHNFbVjg9mWcNVeRUyw1CiTj/rKkxFA==</vt:lpwstr>
  </property>
  <property fmtid="{D5CDD505-2E9C-101B-9397-08002B2CF9AE}" pid="45" name="CWM0810c1a07d7b11ef80001b6600001b66">
    <vt:lpwstr>CWMaOH3oYY3wsZzOApFOuraoEEH2qfHfhgIDaG6AnMzrSnhk3V6wEWWp69zWkmU2AoFyvb6Ninppq/7vTBuJ7wADQ==</vt:lpwstr>
  </property>
  <property fmtid="{D5CDD505-2E9C-101B-9397-08002B2CF9AE}" pid="46" name="CWMcdff32707df811ef800003fa000002fa">
    <vt:lpwstr>CWMtAzsZJqvVDf7fIOrtm1QEKSq57VKmmKPEtuGp68z0C/I1oXyJmqB82F4ayfq32M+BFYHsMjMdYDcb+ZopK8HHQ==</vt:lpwstr>
  </property>
  <property fmtid="{D5CDD505-2E9C-101B-9397-08002B2CF9AE}" pid="47" name="CWM451723f07e0711ef80001b6600001b66">
    <vt:lpwstr>CWM20WFRs4Wfm1XRSnI7jBg51gkXzm9UAPzWssZbmJMMJbpcm6JHwqBSI/O7fqoitSC+8qY8CIcBll/nbPoOCkrlg==</vt:lpwstr>
  </property>
  <property fmtid="{D5CDD505-2E9C-101B-9397-08002B2CF9AE}" pid="48" name="CWMa57d6ea07e2711ef800003fa000002fa">
    <vt:lpwstr>CWMi3JtHKir041/wy6LuC27SA9fj5Zj3gnppkSY78M54gZik1L7K/HzFtVlC6ylxVFZd9YhmjnK2RBM1AoSwRuUGg==</vt:lpwstr>
  </property>
  <property fmtid="{D5CDD505-2E9C-101B-9397-08002B2CF9AE}" pid="49" name="CWMb03b28207efc11ef8000471000004710">
    <vt:lpwstr>CWM+97ZHL2fpJlYfQdhcpAXjo/oafl5t5Pl3Yzce/aR3ecRIRXuk884XZrcnrGxfF7NYgwZ8WKpyt49J1fT3u02GQ==</vt:lpwstr>
  </property>
  <property fmtid="{D5CDD505-2E9C-101B-9397-08002B2CF9AE}" pid="50" name="CWMe8df54507f3111ef80006d2000006c20">
    <vt:lpwstr>CWMdXhwKoR7WqX52mCGpcydMBjitHjb2hOhFxkbkfK7/tavSa5CVk+TuP6pXjw6ShuJEcC4+j2XEbOKfDOIbqhyxA==</vt:lpwstr>
  </property>
  <property fmtid="{D5CDD505-2E9C-101B-9397-08002B2CF9AE}" pid="51" name="CWMa06601407f9c11ef8000336800003368">
    <vt:lpwstr>CWMmSxZ7QxbPo+ZOducXzF8+TMg44vtM6eaMGa5CXxeYMalaKtS6ygM3GvHG+O48Z2KyckOTD7makCa0rLjqWCmeQ==</vt:lpwstr>
  </property>
  <property fmtid="{D5CDD505-2E9C-101B-9397-08002B2CF9AE}" pid="52" name="CWMeb25c1707fab11ef80000f4200000e42">
    <vt:lpwstr>CWMwulmHFubO7TTYVf5J/dnXHIAYaB661EZOrhJflzJkgV4BlZkq8fbGR+6MGqr/MotomTS0wpCuGx4G/Ls1mMNQg==</vt:lpwstr>
  </property>
  <property fmtid="{D5CDD505-2E9C-101B-9397-08002B2CF9AE}" pid="53" name="CWM2152ca907fca11ef80006d2000006c20">
    <vt:lpwstr>CWMxd1hJLdtAZZDLoLFxB9IMUk0N/MQpSjlVXdcK+CrfXhGeoD+6iaCFDdzBpGC6GWj4+QsrhuWkVI510iazONfRA==</vt:lpwstr>
  </property>
  <property fmtid="{D5CDD505-2E9C-101B-9397-08002B2CF9AE}" pid="54" name="CWM42fd77807fcf11ef8000336800003368">
    <vt:lpwstr>CWM71xIWI8SADisjTSgSN33Cwc5SpQrNJhNmhytnpjSygUwACf9QoaOTLvNAXpuM3ozfiJpGMa72dYEyT+SiZVoBQ==</vt:lpwstr>
  </property>
  <property fmtid="{D5CDD505-2E9C-101B-9397-08002B2CF9AE}" pid="55" name="CWM2b9b57507fdf11ef80006d2000006c20">
    <vt:lpwstr>CWMEWWxm2NW1jUxSTF04rLnPgfw89TzANBhQH+rqzcw8lnxkYFl4hIzg8zW5wVe0a+4BpD80ECMh1SewPAQobvDfg==</vt:lpwstr>
  </property>
  <property fmtid="{D5CDD505-2E9C-101B-9397-08002B2CF9AE}" pid="56" name="CWMc8893bd07fe511ef80000f4200000e42">
    <vt:lpwstr>CWMazM+KW4IHTqsI26OwgYegThV7yJWnuDrqnUah6LzvjjuCAzB0W5xN867ajEEP7Vzo3RGMiG7x1nbi5Z5D6J2gw==</vt:lpwstr>
  </property>
  <property fmtid="{D5CDD505-2E9C-101B-9397-08002B2CF9AE}" pid="57" name="CWMa5291f70801c11ef8000590700005907">
    <vt:lpwstr>CWMdBdUXxYd+x7GlBJ/Yky/4skp/PgnefpKUuENjoIJoMzoExOm7vCKPiSBUTRYUzEMFbj6i4UTurn+s4M0XIRSdA==</vt:lpwstr>
  </property>
  <property fmtid="{D5CDD505-2E9C-101B-9397-08002B2CF9AE}" pid="58" name="CWM0c657f7080e111ef8000336800003368">
    <vt:lpwstr>CWMNkBAQHCNIL+NRmmI2WeL6gOj4DGAxE+dajCyrmQhH7BebEw/APqPbr2RQzfHC3VzRKxXiaQfe0Hoea0viuzEMw==</vt:lpwstr>
  </property>
  <property fmtid="{D5CDD505-2E9C-101B-9397-08002B2CF9AE}" pid="59" name="CWM7be10da0817811ef80001d9700001d97">
    <vt:lpwstr>CWMASsT5JGN/SFfmU1Hwn27PefC30XUoH9R0CaODTutwbQAQ0AbKYDrRni3JiXfVTbg0MuPMsm88+7Jd1IaIA6rvg==</vt:lpwstr>
  </property>
  <property fmtid="{D5CDD505-2E9C-101B-9397-08002B2CF9AE}" pid="60" name="CWMb60554209c1a11ef800007fc000006fc">
    <vt:lpwstr>CWMBQuAR8Ka3PdbM4CB0MSiK2UP1/B9jSqlqDXIrWSiIqXMnkOkjaRKxtSQuufbBZJYAZm24hBYZ1dlBM/l4DzvKg==</vt:lpwstr>
  </property>
  <property fmtid="{D5CDD505-2E9C-101B-9397-08002B2CF9AE}" pid="61" name="CWM3e4df0809c1b11ef800011b7000010b7">
    <vt:lpwstr>CWMazM+KW4IHTqsI26OwgYegThV7yJWnuDrqnUah6Lzvjj+ls7SVm5pY0qr64agdOEi9cfh4hROt0P+GhTD4Oea6A==</vt:lpwstr>
  </property>
  <property fmtid="{D5CDD505-2E9C-101B-9397-08002B2CF9AE}" pid="62" name="CWMc32b6fd09ca711ef800007fc000006fc">
    <vt:lpwstr>CWMk/ODio1/MrFvmdrbjPSuxGra1QiYIQq7ivcAXv85/vitgT1R3l+doTtKzAxJr6iXAkQj+velcLA99cptC1C3VA==</vt:lpwstr>
  </property>
  <property fmtid="{D5CDD505-2E9C-101B-9397-08002B2CF9AE}" pid="63" name="CWM88d4fcf09cb811ef80002b1200002b12">
    <vt:lpwstr>CWMwZJYQoDsEtfUDYj2pzMdeBq63ZzqIKOj8xkUm9swuOaajlfDxhdaDUPDaCRaYvCmxSJxkbaIOQJS9ZQxJ5aNGQ==</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522f6b30df0311ef800049f4000049f4">
    <vt:lpwstr>CWM4TMe3UYzlHaRo/9bh80+hbo1cZOmn4zfgaY58hcYk4XXJ63t/de12vo2g8iZK5998Vf9PnL46ci3zlzljyBLzQ==</vt:lpwstr>
  </property>
  <property fmtid="{D5CDD505-2E9C-101B-9397-08002B2CF9AE}" pid="66" name="CWM7aff7940f4d111ef8000032b0000022b">
    <vt:lpwstr>CWMtZ0stvMI8xnSQk7xBoQNhGtLsHnnFUhPSHz+DMDXXVXKxx39iW61EabwCY356WknDwy27/7jTFhd6kVM2VHkFQ==</vt:lpwstr>
  </property>
  <property fmtid="{D5CDD505-2E9C-101B-9397-08002B2CF9AE}" pid="67" name="CWMe8b97f20f7ca11ef80003f4f00003f4f">
    <vt:lpwstr>CWMYR1DcywewnQ5LVeXjb+3txTTXjodmI7l1y3tgdqAStvZ1cZL2kLcsEpAfLdP0GsFHsFaFER83rtu18B+zCYQLg==</vt:lpwstr>
  </property>
  <property fmtid="{D5CDD505-2E9C-101B-9397-08002B2CF9AE}" pid="68" name="CWM00bd6320f7f311ef80005fab00005fab">
    <vt:lpwstr>CWMMrANlife9K5YOdgbrY1G8xxbGP9fWC6GqHCVqKBS7Gz/eglH9TAhhKdL+04iJeRBJPKXBQaEaxfP54Ch+Dx2pw==</vt:lpwstr>
  </property>
  <property fmtid="{D5CDD505-2E9C-101B-9397-08002B2CF9AE}" pid="69" name="CWM0163dc50f7f311ef80005fab00005fab">
    <vt:lpwstr>CWMoQe9H4h5wp+6cx9IgnIQB9ToUgvHDeow7Tz/KpKYrVjjmQQMs8Cht6KQaddMcBv7Kdd+bsS6arxXyLRcoDVaMw==</vt:lpwstr>
  </property>
  <property fmtid="{D5CDD505-2E9C-101B-9397-08002B2CF9AE}" pid="70" name="CWMca42a800f7fc11ef80003f4f00003f4f">
    <vt:lpwstr>CWM329UoOykeG+H9XmHu/gY3BEHPfkZuLbpULZzkY5pxTAwec8YXpcGF0B6XYTEGD/MBiyNi45u/tSAKlEP0FxyDg==</vt:lpwstr>
  </property>
  <property fmtid="{D5CDD505-2E9C-101B-9397-08002B2CF9AE}" pid="71" name="CWMbdf818a0f80611ef800027c2000027c2">
    <vt:lpwstr>CWMPH3YotsuSguf6zYXp/HbqSc+Gk/o0QyUb2m7Suv7k0pZbaMue8JekfsXyY3lmxyTlfgiWtKCMdTkD7AuFyXcSg==</vt:lpwstr>
  </property>
  <property fmtid="{D5CDD505-2E9C-101B-9397-08002B2CF9AE}" pid="72" name="CWM5e6bfe50f80711ef80003f4f00003f4f">
    <vt:lpwstr>CWMcfxx8gATRozZHNnIOLqWZy5/J0RlC8AhSoPXO2nJOY5s1asdiUIU1Cc7dzTAXWUC2KK21tXjgEiO7DliqH42Kg==</vt:lpwstr>
  </property>
</Properties>
</file>