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77620" w14:textId="500D216D" w:rsidR="00D23A2C" w:rsidRPr="00C73D02" w:rsidRDefault="00D23A2C" w:rsidP="00824E08">
      <w:pPr>
        <w:pStyle w:val="3GPPHeader"/>
        <w:rPr>
          <w:rFonts w:ascii="Arial" w:eastAsiaTheme="minorEastAsia" w:hAnsi="Arial"/>
          <w:szCs w:val="20"/>
          <w:lang w:eastAsia="en-US" w:bidi="he-IL"/>
        </w:rPr>
      </w:pPr>
      <w:r w:rsidRPr="00D23A2C">
        <w:rPr>
          <w:rFonts w:ascii="Arial" w:eastAsiaTheme="minorEastAsia" w:hAnsi="Arial"/>
          <w:szCs w:val="20"/>
          <w:lang w:val="en-GB" w:eastAsia="en-US"/>
        </w:rPr>
        <w:t>3GPP TSG RAN Meeting #10</w:t>
      </w:r>
      <w:r w:rsidR="00FC6E67">
        <w:rPr>
          <w:rFonts w:ascii="Arial" w:eastAsiaTheme="minorEastAsia" w:hAnsi="Arial"/>
          <w:szCs w:val="20"/>
          <w:lang w:val="en-GB" w:eastAsia="en-US"/>
        </w:rPr>
        <w:t>8</w:t>
      </w:r>
      <w:r w:rsidRPr="00D23A2C">
        <w:rPr>
          <w:rFonts w:ascii="Arial" w:eastAsiaTheme="minorEastAsia" w:hAnsi="Arial"/>
          <w:szCs w:val="20"/>
          <w:lang w:val="en-GB" w:eastAsia="en-US"/>
        </w:rPr>
        <w:tab/>
      </w:r>
      <w:r w:rsidR="00824E08" w:rsidRPr="00824E08">
        <w:rPr>
          <w:rFonts w:ascii="Arial" w:eastAsiaTheme="minorEastAsia" w:hAnsi="Arial"/>
          <w:bCs/>
          <w:szCs w:val="20"/>
          <w:lang w:eastAsia="en-US"/>
        </w:rPr>
        <w:t>RP-251039</w:t>
      </w:r>
    </w:p>
    <w:p w14:paraId="3336916A" w14:textId="77777777" w:rsidR="00FC6E67" w:rsidRDefault="00FC6E67">
      <w:pPr>
        <w:pStyle w:val="3GPPHeader"/>
        <w:rPr>
          <w:rFonts w:ascii="Arial" w:eastAsiaTheme="minorEastAsia" w:hAnsi="Arial"/>
          <w:szCs w:val="20"/>
          <w:lang w:val="en-GB" w:eastAsia="en-US"/>
        </w:rPr>
      </w:pPr>
      <w:r w:rsidRPr="00FC6E67">
        <w:rPr>
          <w:rFonts w:ascii="Arial" w:eastAsiaTheme="minorEastAsia" w:hAnsi="Arial"/>
          <w:szCs w:val="20"/>
          <w:lang w:val="en-GB" w:eastAsia="en-US"/>
        </w:rPr>
        <w:t>Prague, Czech Republic, June 9-13, 2025</w:t>
      </w:r>
    </w:p>
    <w:p w14:paraId="636D8650" w14:textId="54B5C8E9" w:rsidR="00E1410C" w:rsidRDefault="00646946">
      <w:pPr>
        <w:pStyle w:val="3GPPHeader"/>
      </w:pPr>
      <w:r>
        <w:t>Agenda Item:</w:t>
      </w:r>
      <w:r>
        <w:tab/>
      </w:r>
      <w:r w:rsidR="00531349">
        <w:t>16</w:t>
      </w:r>
      <w:r w:rsidR="009C1674">
        <w:t>.1</w:t>
      </w:r>
    </w:p>
    <w:p w14:paraId="7BC685B9" w14:textId="10F8569A" w:rsidR="00E1410C" w:rsidRDefault="00646946">
      <w:pPr>
        <w:pStyle w:val="3GPPHeader"/>
      </w:pPr>
      <w:r>
        <w:t>Source:</w:t>
      </w:r>
      <w:r>
        <w:tab/>
        <w:t xml:space="preserve">Apple </w:t>
      </w:r>
    </w:p>
    <w:p w14:paraId="0A05022C" w14:textId="63EA068D" w:rsidR="00E1410C" w:rsidRDefault="00646946">
      <w:pPr>
        <w:pStyle w:val="3GPPHeader"/>
      </w:pPr>
      <w:r>
        <w:t>Title:</w:t>
      </w:r>
      <w:r>
        <w:tab/>
      </w:r>
      <w:r w:rsidR="00282CB8">
        <w:t xml:space="preserve">On </w:t>
      </w:r>
      <w:r w:rsidR="00531349">
        <w:t>IMT-2030 Technical Performance Requirements</w:t>
      </w:r>
    </w:p>
    <w:p w14:paraId="7D30FE1D" w14:textId="6D1AF57C" w:rsidR="00E1410C" w:rsidRDefault="00646946">
      <w:pPr>
        <w:pStyle w:val="3GPPHeader"/>
      </w:pPr>
      <w:r>
        <w:t>Document for:</w:t>
      </w:r>
      <w:r>
        <w:tab/>
        <w:t>Discussion</w:t>
      </w:r>
    </w:p>
    <w:p w14:paraId="5B919E36" w14:textId="77777777" w:rsidR="00E1410C" w:rsidRDefault="00646946">
      <w:pPr>
        <w:pStyle w:val="Heading1"/>
      </w:pPr>
      <w:r>
        <w:t>Introduction</w:t>
      </w:r>
    </w:p>
    <w:p w14:paraId="7C6F6B3C" w14:textId="075532B6" w:rsidR="00E1410C" w:rsidRDefault="00646946">
      <w:pPr>
        <w:pStyle w:val="0Maintext"/>
        <w:spacing w:after="120" w:afterAutospacing="0" w:line="240" w:lineRule="auto"/>
        <w:ind w:firstLine="0"/>
        <w:rPr>
          <w:lang w:val="en-US"/>
        </w:rPr>
      </w:pPr>
      <w:r w:rsidRPr="00C13A95">
        <w:rPr>
          <w:lang w:val="en-US"/>
        </w:rPr>
        <w:t>In this contribution</w:t>
      </w:r>
      <w:r w:rsidR="00997BFC">
        <w:rPr>
          <w:lang w:val="en-US"/>
        </w:rPr>
        <w:t xml:space="preserve"> </w:t>
      </w:r>
      <w:r w:rsidRPr="00C13A95">
        <w:rPr>
          <w:lang w:val="en-US"/>
        </w:rPr>
        <w:t xml:space="preserve">we provide our views </w:t>
      </w:r>
      <w:r w:rsidR="00531349">
        <w:rPr>
          <w:lang w:val="en-US"/>
        </w:rPr>
        <w:t>on the IMT-2030 Technical Performance Requirements (TPRs</w:t>
      </w:r>
      <w:r w:rsidR="00312225">
        <w:rPr>
          <w:lang w:val="en-US"/>
        </w:rPr>
        <w:t>)</w:t>
      </w:r>
      <w:r w:rsidR="00531349">
        <w:rPr>
          <w:lang w:val="en-US"/>
        </w:rPr>
        <w:t>.</w:t>
      </w:r>
    </w:p>
    <w:p w14:paraId="5E7B83BC" w14:textId="2CA73EF7" w:rsidR="00312225" w:rsidRDefault="00312225">
      <w:pPr>
        <w:pStyle w:val="0Maintext"/>
        <w:spacing w:after="120" w:afterAutospacing="0" w:line="240" w:lineRule="auto"/>
        <w:ind w:firstLine="0"/>
        <w:rPr>
          <w:lang w:val="en-US"/>
        </w:rPr>
      </w:pPr>
      <w:r>
        <w:rPr>
          <w:lang w:val="en-US"/>
        </w:rPr>
        <w:t>While the paper is about the TPRs, we would like to start by stressing that in our view, 6G main goal is not necessarily to push further theoretical “paper” requirements, but rather</w:t>
      </w:r>
      <w:r w:rsidR="00CB1899">
        <w:rPr>
          <w:lang w:val="en-US"/>
        </w:rPr>
        <w:t>:</w:t>
      </w:r>
    </w:p>
    <w:p w14:paraId="2B7FFC98" w14:textId="6B85826E" w:rsidR="00CB1899" w:rsidRDefault="00CB1899" w:rsidP="00CB1899">
      <w:pPr>
        <w:pStyle w:val="0Maintext"/>
        <w:numPr>
          <w:ilvl w:val="0"/>
          <w:numId w:val="42"/>
        </w:numPr>
        <w:spacing w:after="120" w:afterAutospacing="0" w:line="240" w:lineRule="auto"/>
        <w:rPr>
          <w:lang w:val="en-US"/>
        </w:rPr>
      </w:pPr>
      <w:r>
        <w:rPr>
          <w:lang w:val="en-US"/>
        </w:rPr>
        <w:t>Simplification and clean design</w:t>
      </w:r>
      <w:r w:rsidR="00A631BA">
        <w:rPr>
          <w:lang w:val="en-US"/>
        </w:rPr>
        <w:t>, and</w:t>
      </w:r>
    </w:p>
    <w:p w14:paraId="1B9A8927" w14:textId="174A5F2A" w:rsidR="00CB1899" w:rsidRDefault="00CB1899" w:rsidP="00CB1899">
      <w:pPr>
        <w:pStyle w:val="0Maintext"/>
        <w:numPr>
          <w:ilvl w:val="0"/>
          <w:numId w:val="42"/>
        </w:numPr>
        <w:spacing w:after="120" w:afterAutospacing="0" w:line="240" w:lineRule="auto"/>
        <w:rPr>
          <w:lang w:val="en-US"/>
        </w:rPr>
      </w:pPr>
      <w:r>
        <w:rPr>
          <w:lang w:val="en-US"/>
        </w:rPr>
        <w:t>New services (e.g. ISAC</w:t>
      </w:r>
      <w:r w:rsidR="00A631BA">
        <w:rPr>
          <w:lang w:val="en-US"/>
        </w:rPr>
        <w:t>, AI/ML</w:t>
      </w:r>
      <w:r>
        <w:rPr>
          <w:lang w:val="en-US"/>
        </w:rPr>
        <w:t>)</w:t>
      </w:r>
    </w:p>
    <w:p w14:paraId="21EC647C" w14:textId="7EC69143" w:rsidR="00C73D02" w:rsidRPr="00370E11" w:rsidRDefault="00646946" w:rsidP="00370E11">
      <w:pPr>
        <w:pStyle w:val="Heading1"/>
      </w:pPr>
      <w:r>
        <w:t>Discussion</w:t>
      </w:r>
    </w:p>
    <w:p w14:paraId="6AFD3A24" w14:textId="65C06B97" w:rsidR="00531349" w:rsidRDefault="00531349" w:rsidP="00531349">
      <w:pPr>
        <w:rPr>
          <w:sz w:val="20"/>
          <w:szCs w:val="20"/>
        </w:rPr>
      </w:pPr>
      <w:r w:rsidRPr="00531349">
        <w:rPr>
          <w:sz w:val="20"/>
          <w:szCs w:val="20"/>
        </w:rPr>
        <w:t xml:space="preserve">RAN#106 approved the SI [1], to investigate the IMT-2030 Technical Performance Requirements, which are being discussed in ITU-R WP5D. </w:t>
      </w:r>
    </w:p>
    <w:p w14:paraId="433C7FE8" w14:textId="77777777" w:rsidR="00370E11" w:rsidRDefault="00370E11" w:rsidP="00370E11">
      <w:pPr>
        <w:rPr>
          <w:sz w:val="20"/>
          <w:szCs w:val="20"/>
        </w:rPr>
      </w:pPr>
    </w:p>
    <w:p w14:paraId="61F166AB" w14:textId="3D93FE83" w:rsidR="00370E11" w:rsidRDefault="00370E11" w:rsidP="00370E11">
      <w:pPr>
        <w:rPr>
          <w:sz w:val="20"/>
          <w:szCs w:val="20"/>
        </w:rPr>
      </w:pPr>
      <w:r>
        <w:rPr>
          <w:sz w:val="20"/>
          <w:szCs w:val="20"/>
        </w:rPr>
        <w:t>In RAN#107, based on the moderator’s summary [2], the following proposals have been endorsed:</w:t>
      </w:r>
    </w:p>
    <w:p w14:paraId="63F600E0" w14:textId="77777777" w:rsidR="00370E11" w:rsidRDefault="00370E11" w:rsidP="00370E11">
      <w:pPr>
        <w:rPr>
          <w:sz w:val="20"/>
          <w:szCs w:val="20"/>
        </w:rPr>
      </w:pPr>
    </w:p>
    <w:tbl>
      <w:tblPr>
        <w:tblStyle w:val="TableGrid"/>
        <w:tblW w:w="0" w:type="auto"/>
        <w:tblLook w:val="04A0" w:firstRow="1" w:lastRow="0" w:firstColumn="1" w:lastColumn="0" w:noHBand="0" w:noVBand="1"/>
      </w:tblPr>
      <w:tblGrid>
        <w:gridCol w:w="9010"/>
      </w:tblGrid>
      <w:tr w:rsidR="00611A6D" w14:paraId="591DC154" w14:textId="77777777">
        <w:tc>
          <w:tcPr>
            <w:tcW w:w="9010" w:type="dxa"/>
          </w:tcPr>
          <w:p w14:paraId="0834E380" w14:textId="77777777" w:rsidR="00611A6D" w:rsidRPr="00611A6D" w:rsidRDefault="00611A6D" w:rsidP="00611A6D">
            <w:r w:rsidRPr="00611A6D">
              <w:rPr>
                <w:rFonts w:hint="eastAsia"/>
              </w:rPr>
              <w:t xml:space="preserve">Proposal 1: </w:t>
            </w:r>
            <w:r w:rsidRPr="00611A6D">
              <w:t>Define positioning accuracy</w:t>
            </w:r>
            <w:r w:rsidRPr="00611A6D">
              <w:rPr>
                <w:rFonts w:hint="eastAsia"/>
              </w:rPr>
              <w:t xml:space="preserve"> </w:t>
            </w:r>
            <w:r w:rsidRPr="00611A6D">
              <w:t>as a quantitative TPR</w:t>
            </w:r>
          </w:p>
          <w:p w14:paraId="70086317" w14:textId="77777777" w:rsidR="00611A6D" w:rsidRPr="00611A6D" w:rsidRDefault="00611A6D" w:rsidP="00611A6D">
            <w:r w:rsidRPr="00611A6D">
              <w:rPr>
                <w:rFonts w:hint="eastAsia"/>
              </w:rPr>
              <w:t>Proposal 2</w:t>
            </w:r>
            <w:r w:rsidRPr="00611A6D">
              <w:t xml:space="preserve">: Define Sensing-related </w:t>
            </w:r>
            <w:r w:rsidRPr="00611A6D">
              <w:rPr>
                <w:rFonts w:hint="eastAsia"/>
              </w:rPr>
              <w:t>capabilities as a TPR.</w:t>
            </w:r>
          </w:p>
          <w:p w14:paraId="0CCE5D6A" w14:textId="77777777" w:rsidR="00611A6D" w:rsidRPr="00611A6D" w:rsidRDefault="00611A6D" w:rsidP="00611A6D">
            <w:r w:rsidRPr="00611A6D">
              <w:t xml:space="preserve">Proposal </w:t>
            </w:r>
            <w:r w:rsidRPr="00611A6D">
              <w:rPr>
                <w:rFonts w:hint="eastAsia"/>
              </w:rPr>
              <w:t>3</w:t>
            </w:r>
            <w:r w:rsidRPr="00611A6D">
              <w:t xml:space="preserve">: </w:t>
            </w:r>
            <w:r w:rsidRPr="00611A6D">
              <w:rPr>
                <w:rFonts w:hint="eastAsia"/>
              </w:rPr>
              <w:t>d</w:t>
            </w:r>
            <w:r w:rsidRPr="00611A6D">
              <w:t>efine AI-related capabilities as qualitative TPR evaluated by inspection.</w:t>
            </w:r>
          </w:p>
          <w:p w14:paraId="63E25DA2" w14:textId="77777777" w:rsidR="00611A6D" w:rsidRPr="00611A6D" w:rsidRDefault="00611A6D" w:rsidP="00611A6D">
            <w:r w:rsidRPr="00611A6D">
              <w:t xml:space="preserve">Proposal </w:t>
            </w:r>
            <w:r w:rsidRPr="00611A6D">
              <w:rPr>
                <w:rFonts w:hint="eastAsia"/>
              </w:rPr>
              <w:t>4</w:t>
            </w:r>
            <w:r w:rsidRPr="00611A6D">
              <w:t xml:space="preserve">: </w:t>
            </w:r>
            <w:r w:rsidRPr="00611A6D">
              <w:rPr>
                <w:rFonts w:hint="eastAsia"/>
              </w:rPr>
              <w:t xml:space="preserve">Define energy efficiency as a TPR. </w:t>
            </w:r>
          </w:p>
          <w:p w14:paraId="7E2EFD8B" w14:textId="77777777" w:rsidR="00611A6D" w:rsidRPr="00611A6D" w:rsidRDefault="00611A6D" w:rsidP="00611A6D">
            <w:r w:rsidRPr="00611A6D">
              <w:rPr>
                <w:rFonts w:hint="eastAsia"/>
              </w:rPr>
              <w:t xml:space="preserve">Proposal 5: For user </w:t>
            </w:r>
            <w:r w:rsidRPr="00611A6D">
              <w:t>experienced</w:t>
            </w:r>
            <w:r w:rsidRPr="00611A6D">
              <w:rPr>
                <w:rFonts w:hint="eastAsia"/>
              </w:rPr>
              <w:t xml:space="preserve"> data rate, further discuss applicable deployment scenarios, and revisit the evaluation methodology before setting values for UL</w:t>
            </w:r>
          </w:p>
          <w:p w14:paraId="6BC1BAB3" w14:textId="77777777" w:rsidR="00611A6D" w:rsidRPr="00611A6D" w:rsidRDefault="00611A6D" w:rsidP="00611A6D">
            <w:r w:rsidRPr="00611A6D">
              <w:rPr>
                <w:rFonts w:hint="eastAsia"/>
              </w:rPr>
              <w:t xml:space="preserve">Proposal 6: For </w:t>
            </w:r>
            <w:r w:rsidRPr="00611A6D">
              <w:t>bandwidth</w:t>
            </w:r>
            <w:r w:rsidRPr="00611A6D">
              <w:rPr>
                <w:rFonts w:hint="eastAsia"/>
              </w:rPr>
              <w:t xml:space="preserve"> TPR, it is proposed to set a target value of 400MHz (same definition as IMT-2020)</w:t>
            </w:r>
          </w:p>
          <w:p w14:paraId="022452F4" w14:textId="77777777" w:rsidR="00611A6D" w:rsidRPr="00611A6D" w:rsidRDefault="00611A6D" w:rsidP="00611A6D">
            <w:pPr>
              <w:pStyle w:val="ListParagraph"/>
              <w:widowControl w:val="0"/>
              <w:numPr>
                <w:ilvl w:val="0"/>
                <w:numId w:val="39"/>
              </w:numPr>
              <w:spacing w:after="160" w:line="278" w:lineRule="auto"/>
              <w:ind w:leftChars="0"/>
              <w:contextualSpacing/>
              <w:rPr>
                <w:rFonts w:ascii="Times New Roman" w:hAnsi="Times New Roman"/>
              </w:rPr>
            </w:pPr>
            <w:r w:rsidRPr="00611A6D">
              <w:rPr>
                <w:rFonts w:ascii="Times New Roman" w:hAnsi="Times New Roman" w:hint="eastAsia"/>
              </w:rPr>
              <w:t>TBD on other TPR values</w:t>
            </w:r>
          </w:p>
          <w:p w14:paraId="468EF9BC" w14:textId="77777777" w:rsidR="00611A6D" w:rsidRPr="00611A6D" w:rsidRDefault="00611A6D" w:rsidP="00611A6D">
            <w:r w:rsidRPr="00611A6D">
              <w:rPr>
                <w:rFonts w:hint="eastAsia"/>
              </w:rPr>
              <w:t>Proposal 7</w:t>
            </w:r>
            <w:r w:rsidRPr="00611A6D">
              <w:t xml:space="preserve">: Define </w:t>
            </w:r>
            <w:r w:rsidRPr="00611A6D">
              <w:rPr>
                <w:rFonts w:hint="eastAsia"/>
              </w:rPr>
              <w:t xml:space="preserve">TPR (e.g. </w:t>
            </w:r>
            <w:r w:rsidRPr="00611A6D">
              <w:t>joint/composite requirement</w:t>
            </w:r>
            <w:r w:rsidRPr="00611A6D">
              <w:rPr>
                <w:rFonts w:hint="eastAsia"/>
              </w:rPr>
              <w:t>)</w:t>
            </w:r>
            <w:r w:rsidRPr="00611A6D">
              <w:t xml:space="preserve"> </w:t>
            </w:r>
            <w:r w:rsidRPr="00611A6D">
              <w:rPr>
                <w:rFonts w:hint="eastAsia"/>
              </w:rPr>
              <w:t>related to</w:t>
            </w:r>
            <w:r w:rsidRPr="00611A6D">
              <w:t xml:space="preserve"> data rate, latency, reliability</w:t>
            </w:r>
            <w:r w:rsidRPr="00611A6D">
              <w:rPr>
                <w:rFonts w:hint="eastAsia"/>
              </w:rPr>
              <w:t>, capacity etc.</w:t>
            </w:r>
            <w:r w:rsidRPr="00611A6D">
              <w:t xml:space="preserve"> as a candidate IMT-2030 TPR.</w:t>
            </w:r>
          </w:p>
          <w:p w14:paraId="172A9EE0" w14:textId="46F60D23" w:rsidR="00611A6D" w:rsidRPr="00611A6D" w:rsidRDefault="00611A6D" w:rsidP="00611A6D">
            <w:pPr>
              <w:pStyle w:val="ListParagraph"/>
              <w:widowControl w:val="0"/>
              <w:numPr>
                <w:ilvl w:val="0"/>
                <w:numId w:val="38"/>
              </w:numPr>
              <w:spacing w:after="160" w:line="278" w:lineRule="auto"/>
              <w:ind w:leftChars="0"/>
              <w:contextualSpacing/>
              <w:rPr>
                <w:rFonts w:ascii="Times New Roman" w:hAnsi="Times New Roman"/>
                <w:b/>
                <w:bCs/>
              </w:rPr>
            </w:pPr>
            <w:r w:rsidRPr="00611A6D">
              <w:rPr>
                <w:rFonts w:ascii="Times New Roman" w:hAnsi="Times New Roman" w:hint="eastAsia"/>
              </w:rPr>
              <w:t xml:space="preserve">Applicable usage scenario: immersive </w:t>
            </w:r>
            <w:r w:rsidRPr="00611A6D">
              <w:rPr>
                <w:rFonts w:ascii="Times New Roman" w:hAnsi="Times New Roman"/>
              </w:rPr>
              <w:t>c</w:t>
            </w:r>
            <w:r w:rsidRPr="00611A6D">
              <w:rPr>
                <w:rFonts w:ascii="Times New Roman" w:hAnsi="Times New Roman" w:hint="eastAsia"/>
              </w:rPr>
              <w:t>ommunication</w:t>
            </w:r>
          </w:p>
        </w:tc>
      </w:tr>
    </w:tbl>
    <w:p w14:paraId="7BA60FDF" w14:textId="77777777" w:rsidR="00370E11" w:rsidRDefault="00370E11" w:rsidP="00370E11">
      <w:pPr>
        <w:rPr>
          <w:sz w:val="20"/>
          <w:szCs w:val="20"/>
        </w:rPr>
      </w:pPr>
    </w:p>
    <w:p w14:paraId="7B6AD539" w14:textId="368B3587" w:rsidR="00531349" w:rsidRDefault="00611A6D" w:rsidP="00531349">
      <w:pPr>
        <w:rPr>
          <w:sz w:val="20"/>
          <w:szCs w:val="20"/>
        </w:rPr>
      </w:pPr>
      <w:r>
        <w:rPr>
          <w:sz w:val="20"/>
          <w:szCs w:val="20"/>
        </w:rPr>
        <w:t>Furthermore, two conference calls have been scheduled between RAN#107 and RAN#108. In the first conference calls the following preliminary agreements have been reached</w:t>
      </w:r>
      <w:r w:rsidR="00F501B7">
        <w:rPr>
          <w:sz w:val="20"/>
          <w:szCs w:val="20"/>
        </w:rPr>
        <w:t xml:space="preserve"> [3]</w:t>
      </w:r>
      <w:r w:rsidR="006E0328">
        <w:rPr>
          <w:sz w:val="20"/>
          <w:szCs w:val="20"/>
        </w:rPr>
        <w:t xml:space="preserve"> (marked in green)</w:t>
      </w:r>
      <w:r>
        <w:rPr>
          <w:sz w:val="20"/>
          <w:szCs w:val="20"/>
        </w:rPr>
        <w:t>:</w:t>
      </w:r>
    </w:p>
    <w:p w14:paraId="726B3107" w14:textId="77777777" w:rsidR="00611A6D" w:rsidRDefault="00611A6D" w:rsidP="00531349">
      <w:pPr>
        <w:rPr>
          <w:sz w:val="20"/>
          <w:szCs w:val="20"/>
        </w:rPr>
      </w:pPr>
    </w:p>
    <w:tbl>
      <w:tblPr>
        <w:tblStyle w:val="TableGrid1"/>
        <w:tblW w:w="10915" w:type="dxa"/>
        <w:tblInd w:w="-1139" w:type="dxa"/>
        <w:tblLook w:val="04A0" w:firstRow="1" w:lastRow="0" w:firstColumn="1" w:lastColumn="0" w:noHBand="0" w:noVBand="1"/>
      </w:tblPr>
      <w:tblGrid>
        <w:gridCol w:w="2885"/>
        <w:gridCol w:w="1793"/>
        <w:gridCol w:w="2126"/>
        <w:gridCol w:w="4111"/>
      </w:tblGrid>
      <w:tr w:rsidR="002F643E" w:rsidRPr="002F643E" w14:paraId="742898EC" w14:textId="77777777" w:rsidTr="00AF1414">
        <w:tc>
          <w:tcPr>
            <w:tcW w:w="2885" w:type="dxa"/>
            <w:vAlign w:val="center"/>
          </w:tcPr>
          <w:p w14:paraId="2A37EEB9" w14:textId="77777777" w:rsidR="002F643E" w:rsidRPr="002F643E" w:rsidRDefault="002F643E" w:rsidP="002F643E">
            <w:pPr>
              <w:jc w:val="center"/>
              <w:rPr>
                <w:rFonts w:eastAsia="SimSun"/>
                <w:b/>
                <w:bCs/>
                <w:sz w:val="20"/>
                <w:szCs w:val="22"/>
              </w:rPr>
            </w:pPr>
            <w:r w:rsidRPr="002F643E">
              <w:rPr>
                <w:rFonts w:eastAsia="SimSun"/>
                <w:b/>
                <w:bCs/>
                <w:sz w:val="20"/>
                <w:szCs w:val="22"/>
              </w:rPr>
              <w:t>ITU IMT-2030 TPR</w:t>
            </w:r>
          </w:p>
        </w:tc>
        <w:tc>
          <w:tcPr>
            <w:tcW w:w="1793" w:type="dxa"/>
            <w:vAlign w:val="center"/>
          </w:tcPr>
          <w:p w14:paraId="3ECDE59B" w14:textId="77777777" w:rsidR="002F643E" w:rsidRPr="002F643E" w:rsidRDefault="002F643E" w:rsidP="002F643E">
            <w:pPr>
              <w:jc w:val="center"/>
              <w:rPr>
                <w:rFonts w:eastAsia="SimSun"/>
                <w:b/>
                <w:bCs/>
                <w:sz w:val="20"/>
                <w:szCs w:val="22"/>
              </w:rPr>
            </w:pPr>
            <w:r w:rsidRPr="002F643E">
              <w:rPr>
                <w:rFonts w:eastAsia="SimSun"/>
                <w:b/>
                <w:bCs/>
                <w:sz w:val="20"/>
                <w:szCs w:val="22"/>
              </w:rPr>
              <w:t>IMT-2020 Value</w:t>
            </w:r>
          </w:p>
        </w:tc>
        <w:tc>
          <w:tcPr>
            <w:tcW w:w="2126" w:type="dxa"/>
            <w:vAlign w:val="center"/>
          </w:tcPr>
          <w:p w14:paraId="7BEE4033" w14:textId="77777777" w:rsidR="002F643E" w:rsidRPr="002F643E" w:rsidRDefault="002F643E" w:rsidP="002F643E">
            <w:pPr>
              <w:jc w:val="center"/>
              <w:rPr>
                <w:rFonts w:eastAsia="SimSun"/>
                <w:b/>
                <w:bCs/>
                <w:sz w:val="20"/>
                <w:szCs w:val="22"/>
              </w:rPr>
            </w:pPr>
            <w:r w:rsidRPr="002F643E">
              <w:rPr>
                <w:rFonts w:eastAsia="SimSun" w:hint="eastAsia"/>
                <w:b/>
                <w:bCs/>
                <w:sz w:val="20"/>
                <w:szCs w:val="22"/>
              </w:rPr>
              <w:t>Proposed Values</w:t>
            </w:r>
          </w:p>
        </w:tc>
        <w:tc>
          <w:tcPr>
            <w:tcW w:w="4111" w:type="dxa"/>
          </w:tcPr>
          <w:p w14:paraId="7E21DD02" w14:textId="77777777" w:rsidR="002F643E" w:rsidRPr="002F643E" w:rsidRDefault="002F643E" w:rsidP="002F643E">
            <w:pPr>
              <w:jc w:val="center"/>
              <w:rPr>
                <w:rFonts w:eastAsia="SimSun"/>
                <w:b/>
                <w:bCs/>
                <w:sz w:val="20"/>
                <w:szCs w:val="22"/>
              </w:rPr>
            </w:pPr>
            <w:r w:rsidRPr="002F643E">
              <w:rPr>
                <w:rFonts w:eastAsia="SimSun" w:hint="eastAsia"/>
                <w:b/>
                <w:bCs/>
                <w:sz w:val="20"/>
                <w:szCs w:val="22"/>
                <w:highlight w:val="green"/>
              </w:rPr>
              <w:t>Agreements in CC#1</w:t>
            </w:r>
          </w:p>
        </w:tc>
      </w:tr>
      <w:tr w:rsidR="002F643E" w:rsidRPr="002F643E" w14:paraId="68BD5DCE" w14:textId="77777777" w:rsidTr="00AF1414">
        <w:trPr>
          <w:trHeight w:val="304"/>
        </w:trPr>
        <w:tc>
          <w:tcPr>
            <w:tcW w:w="2885" w:type="dxa"/>
            <w:vAlign w:val="center"/>
          </w:tcPr>
          <w:p w14:paraId="547F9809" w14:textId="77777777" w:rsidR="002F643E" w:rsidRPr="002F643E" w:rsidRDefault="002F643E" w:rsidP="002F643E">
            <w:pPr>
              <w:rPr>
                <w:rFonts w:eastAsia="SimSun"/>
                <w:sz w:val="20"/>
                <w:szCs w:val="22"/>
              </w:rPr>
            </w:pPr>
            <w:r w:rsidRPr="002F643E">
              <w:rPr>
                <w:rFonts w:eastAsia="SimSun"/>
                <w:sz w:val="20"/>
                <w:szCs w:val="22"/>
              </w:rPr>
              <w:t>Peak data rate (Gbit/s)</w:t>
            </w:r>
          </w:p>
        </w:tc>
        <w:tc>
          <w:tcPr>
            <w:tcW w:w="1793" w:type="dxa"/>
            <w:vAlign w:val="center"/>
          </w:tcPr>
          <w:p w14:paraId="3DF86650" w14:textId="77777777" w:rsidR="002F643E" w:rsidRPr="002F643E" w:rsidRDefault="002F643E" w:rsidP="002F643E">
            <w:pPr>
              <w:rPr>
                <w:rFonts w:eastAsia="SimSun"/>
                <w:sz w:val="20"/>
                <w:szCs w:val="22"/>
              </w:rPr>
            </w:pPr>
            <w:r w:rsidRPr="002F643E">
              <w:rPr>
                <w:rFonts w:eastAsia="SimSun"/>
                <w:sz w:val="20"/>
                <w:szCs w:val="22"/>
              </w:rPr>
              <w:t>DL: 20</w:t>
            </w:r>
          </w:p>
          <w:p w14:paraId="7D79EB1E" w14:textId="77777777" w:rsidR="002F643E" w:rsidRPr="002F643E" w:rsidRDefault="002F643E" w:rsidP="002F643E">
            <w:pPr>
              <w:rPr>
                <w:rFonts w:eastAsia="SimSun"/>
                <w:sz w:val="20"/>
                <w:szCs w:val="22"/>
              </w:rPr>
            </w:pPr>
            <w:r w:rsidRPr="002F643E">
              <w:rPr>
                <w:rFonts w:eastAsia="SimSun"/>
                <w:sz w:val="20"/>
                <w:szCs w:val="22"/>
              </w:rPr>
              <w:t>UL: 10</w:t>
            </w:r>
          </w:p>
        </w:tc>
        <w:tc>
          <w:tcPr>
            <w:tcW w:w="2126" w:type="dxa"/>
            <w:vAlign w:val="center"/>
          </w:tcPr>
          <w:p w14:paraId="493DD8DB" w14:textId="77777777" w:rsidR="002F643E" w:rsidRPr="002F643E" w:rsidRDefault="002F643E" w:rsidP="002F643E">
            <w:pPr>
              <w:rPr>
                <w:rFonts w:eastAsia="SimSun"/>
                <w:sz w:val="20"/>
                <w:szCs w:val="22"/>
              </w:rPr>
            </w:pPr>
            <w:r w:rsidRPr="002F643E">
              <w:rPr>
                <w:rFonts w:eastAsia="SimSun" w:hint="eastAsia"/>
                <w:sz w:val="20"/>
                <w:szCs w:val="22"/>
              </w:rPr>
              <w:t>[1~10x] of IMT-2020</w:t>
            </w:r>
          </w:p>
        </w:tc>
        <w:tc>
          <w:tcPr>
            <w:tcW w:w="4111" w:type="dxa"/>
          </w:tcPr>
          <w:p w14:paraId="64B5263E" w14:textId="77777777" w:rsidR="002F643E" w:rsidRPr="002F643E" w:rsidRDefault="002F643E" w:rsidP="002F643E">
            <w:pPr>
              <w:rPr>
                <w:rFonts w:eastAsia="SimSun"/>
                <w:sz w:val="20"/>
                <w:szCs w:val="22"/>
                <w:highlight w:val="green"/>
              </w:rPr>
            </w:pPr>
            <w:r w:rsidRPr="002F643E">
              <w:rPr>
                <w:rFonts w:eastAsia="SimSun" w:hint="eastAsia"/>
                <w:b/>
                <w:bCs/>
                <w:sz w:val="20"/>
                <w:szCs w:val="22"/>
                <w:highlight w:val="green"/>
              </w:rPr>
              <w:t>Alternative 1</w:t>
            </w:r>
            <w:r w:rsidRPr="002F643E">
              <w:rPr>
                <w:rFonts w:eastAsia="SimSun" w:hint="eastAsia"/>
                <w:sz w:val="20"/>
                <w:szCs w:val="22"/>
                <w:highlight w:val="green"/>
              </w:rPr>
              <w:t>: Not to define a requirement, e.g. Leave the value for peak data rate for the technology proponent to provide</w:t>
            </w:r>
          </w:p>
          <w:p w14:paraId="14890CD1" w14:textId="77777777" w:rsidR="002F643E" w:rsidRPr="002F643E" w:rsidRDefault="002F643E" w:rsidP="002F643E">
            <w:pPr>
              <w:rPr>
                <w:rFonts w:eastAsia="SimSun"/>
                <w:sz w:val="20"/>
                <w:szCs w:val="22"/>
              </w:rPr>
            </w:pPr>
            <w:r w:rsidRPr="002F643E">
              <w:rPr>
                <w:rFonts w:eastAsia="SimSun" w:hint="eastAsia"/>
                <w:b/>
                <w:bCs/>
                <w:sz w:val="20"/>
                <w:szCs w:val="22"/>
                <w:highlight w:val="green"/>
              </w:rPr>
              <w:t>Alternative 2</w:t>
            </w:r>
            <w:r w:rsidRPr="002F643E">
              <w:rPr>
                <w:rFonts w:eastAsia="SimSun" w:hint="eastAsia"/>
                <w:sz w:val="20"/>
                <w:szCs w:val="22"/>
                <w:highlight w:val="green"/>
              </w:rPr>
              <w:t>: Define a requirement with reasonable value</w:t>
            </w:r>
          </w:p>
        </w:tc>
      </w:tr>
      <w:tr w:rsidR="002F643E" w:rsidRPr="002F643E" w14:paraId="0217878D" w14:textId="77777777" w:rsidTr="00AF1414">
        <w:trPr>
          <w:trHeight w:val="304"/>
        </w:trPr>
        <w:tc>
          <w:tcPr>
            <w:tcW w:w="2885" w:type="dxa"/>
            <w:vAlign w:val="center"/>
          </w:tcPr>
          <w:p w14:paraId="43C4844C" w14:textId="77777777" w:rsidR="002F643E" w:rsidRPr="002F643E" w:rsidRDefault="002F643E" w:rsidP="002F643E">
            <w:pPr>
              <w:rPr>
                <w:rFonts w:eastAsia="SimSun"/>
                <w:sz w:val="20"/>
                <w:szCs w:val="22"/>
              </w:rPr>
            </w:pPr>
            <w:r w:rsidRPr="002F643E">
              <w:rPr>
                <w:rFonts w:eastAsia="SimSun"/>
                <w:sz w:val="20"/>
                <w:szCs w:val="22"/>
              </w:rPr>
              <w:lastRenderedPageBreak/>
              <w:t>Peak spectral efficiency (bit/s/Hz)</w:t>
            </w:r>
          </w:p>
        </w:tc>
        <w:tc>
          <w:tcPr>
            <w:tcW w:w="1793" w:type="dxa"/>
            <w:vAlign w:val="center"/>
          </w:tcPr>
          <w:p w14:paraId="651436FE" w14:textId="77777777" w:rsidR="002F643E" w:rsidRPr="002F643E" w:rsidRDefault="002F643E" w:rsidP="002F643E">
            <w:pPr>
              <w:rPr>
                <w:rFonts w:eastAsia="SimSun"/>
                <w:sz w:val="20"/>
                <w:szCs w:val="22"/>
              </w:rPr>
            </w:pPr>
            <w:r w:rsidRPr="002F643E">
              <w:rPr>
                <w:rFonts w:eastAsia="SimSun"/>
                <w:sz w:val="20"/>
                <w:szCs w:val="22"/>
              </w:rPr>
              <w:t>DL: 30</w:t>
            </w:r>
          </w:p>
          <w:p w14:paraId="538E90E1" w14:textId="77777777" w:rsidR="002F643E" w:rsidRPr="002F643E" w:rsidRDefault="002F643E" w:rsidP="002F643E">
            <w:pPr>
              <w:rPr>
                <w:rFonts w:eastAsia="SimSun"/>
                <w:sz w:val="20"/>
                <w:szCs w:val="22"/>
              </w:rPr>
            </w:pPr>
            <w:r w:rsidRPr="002F643E">
              <w:rPr>
                <w:rFonts w:eastAsia="SimSun"/>
                <w:sz w:val="20"/>
                <w:szCs w:val="22"/>
              </w:rPr>
              <w:t>UL: 15</w:t>
            </w:r>
          </w:p>
        </w:tc>
        <w:tc>
          <w:tcPr>
            <w:tcW w:w="2126" w:type="dxa"/>
            <w:vAlign w:val="center"/>
          </w:tcPr>
          <w:p w14:paraId="1F58E314" w14:textId="77777777" w:rsidR="002F643E" w:rsidRPr="002F643E" w:rsidRDefault="002F643E" w:rsidP="002F643E">
            <w:pPr>
              <w:rPr>
                <w:rFonts w:eastAsia="SimSun"/>
                <w:sz w:val="20"/>
                <w:szCs w:val="22"/>
              </w:rPr>
            </w:pPr>
            <w:r w:rsidRPr="002F643E">
              <w:rPr>
                <w:rFonts w:eastAsia="SimSun" w:hint="eastAsia"/>
                <w:sz w:val="20"/>
                <w:szCs w:val="22"/>
              </w:rPr>
              <w:t>[1~3x] of IMT-2020</w:t>
            </w:r>
          </w:p>
        </w:tc>
        <w:tc>
          <w:tcPr>
            <w:tcW w:w="4111" w:type="dxa"/>
            <w:vAlign w:val="center"/>
          </w:tcPr>
          <w:p w14:paraId="300C39DA" w14:textId="77777777" w:rsidR="002F643E" w:rsidRPr="002F643E" w:rsidRDefault="002F643E" w:rsidP="002F643E">
            <w:pPr>
              <w:rPr>
                <w:rFonts w:eastAsia="SimSun"/>
                <w:sz w:val="20"/>
                <w:szCs w:val="22"/>
                <w:highlight w:val="green"/>
              </w:rPr>
            </w:pPr>
            <w:r w:rsidRPr="002F643E">
              <w:rPr>
                <w:rFonts w:eastAsia="SimSun" w:hint="eastAsia"/>
                <w:sz w:val="20"/>
                <w:szCs w:val="22"/>
                <w:highlight w:val="green"/>
              </w:rPr>
              <w:t>DL: [1.5-2.5x] of IMT-2020</w:t>
            </w:r>
          </w:p>
          <w:p w14:paraId="601433E3" w14:textId="77777777" w:rsidR="002F643E" w:rsidRPr="002F643E" w:rsidRDefault="002F643E" w:rsidP="002F643E">
            <w:pPr>
              <w:rPr>
                <w:rFonts w:eastAsia="SimSun"/>
                <w:sz w:val="20"/>
                <w:szCs w:val="22"/>
              </w:rPr>
            </w:pPr>
            <w:r w:rsidRPr="002F643E">
              <w:rPr>
                <w:rFonts w:eastAsia="SimSun" w:hint="eastAsia"/>
                <w:sz w:val="20"/>
                <w:szCs w:val="22"/>
                <w:highlight w:val="green"/>
              </w:rPr>
              <w:t>UL: [1.5-2.5x] of IMT-2020</w:t>
            </w:r>
          </w:p>
        </w:tc>
      </w:tr>
      <w:tr w:rsidR="002F643E" w:rsidRPr="002F643E" w14:paraId="67CD9071" w14:textId="77777777" w:rsidTr="00AF1414">
        <w:tc>
          <w:tcPr>
            <w:tcW w:w="2885" w:type="dxa"/>
            <w:vAlign w:val="center"/>
          </w:tcPr>
          <w:p w14:paraId="5BB7D7E8" w14:textId="77777777" w:rsidR="002F643E" w:rsidRPr="002F643E" w:rsidRDefault="002F643E" w:rsidP="002F643E">
            <w:pPr>
              <w:rPr>
                <w:rFonts w:eastAsia="SimSun"/>
                <w:sz w:val="20"/>
                <w:szCs w:val="22"/>
              </w:rPr>
            </w:pPr>
            <w:r w:rsidRPr="002F643E">
              <w:rPr>
                <w:rFonts w:eastAsia="SimSun"/>
                <w:sz w:val="20"/>
                <w:szCs w:val="22"/>
              </w:rPr>
              <w:t>User experienced data rate (Mbit/s)</w:t>
            </w:r>
          </w:p>
        </w:tc>
        <w:tc>
          <w:tcPr>
            <w:tcW w:w="1793" w:type="dxa"/>
            <w:vAlign w:val="center"/>
          </w:tcPr>
          <w:p w14:paraId="36E2B527" w14:textId="77777777" w:rsidR="002F643E" w:rsidRPr="002F643E" w:rsidRDefault="002F643E" w:rsidP="002F643E">
            <w:pPr>
              <w:rPr>
                <w:rFonts w:eastAsia="SimSun"/>
                <w:sz w:val="20"/>
                <w:szCs w:val="22"/>
              </w:rPr>
            </w:pPr>
            <w:r w:rsidRPr="002F643E">
              <w:rPr>
                <w:rFonts w:eastAsia="SimSun"/>
                <w:sz w:val="20"/>
                <w:szCs w:val="22"/>
              </w:rPr>
              <w:t>DL: 100</w:t>
            </w:r>
          </w:p>
          <w:p w14:paraId="324C69CB" w14:textId="77777777" w:rsidR="002F643E" w:rsidRPr="002F643E" w:rsidRDefault="002F643E" w:rsidP="002F643E">
            <w:pPr>
              <w:rPr>
                <w:rFonts w:eastAsia="SimSun"/>
                <w:sz w:val="20"/>
                <w:szCs w:val="22"/>
              </w:rPr>
            </w:pPr>
            <w:r w:rsidRPr="002F643E">
              <w:rPr>
                <w:rFonts w:eastAsia="SimSun"/>
                <w:sz w:val="20"/>
                <w:szCs w:val="22"/>
              </w:rPr>
              <w:t>UL: 50</w:t>
            </w:r>
          </w:p>
        </w:tc>
        <w:tc>
          <w:tcPr>
            <w:tcW w:w="2126" w:type="dxa"/>
            <w:vAlign w:val="center"/>
          </w:tcPr>
          <w:p w14:paraId="3883554E" w14:textId="77777777" w:rsidR="002F643E" w:rsidRPr="002F643E" w:rsidRDefault="002F643E" w:rsidP="002F643E">
            <w:pPr>
              <w:rPr>
                <w:rFonts w:eastAsia="SimSun"/>
                <w:sz w:val="20"/>
                <w:szCs w:val="22"/>
              </w:rPr>
            </w:pPr>
            <w:r w:rsidRPr="002F643E">
              <w:rPr>
                <w:rFonts w:eastAsia="SimSun" w:hint="eastAsia"/>
                <w:sz w:val="20"/>
                <w:szCs w:val="22"/>
              </w:rPr>
              <w:t>DL: [1.25~10x] of IMT-2020</w:t>
            </w:r>
          </w:p>
          <w:p w14:paraId="216C72E5" w14:textId="77777777" w:rsidR="002F643E" w:rsidRPr="002F643E" w:rsidRDefault="002F643E" w:rsidP="002F643E">
            <w:pPr>
              <w:rPr>
                <w:rFonts w:eastAsia="SimSun"/>
                <w:sz w:val="20"/>
                <w:szCs w:val="22"/>
              </w:rPr>
            </w:pPr>
            <w:r w:rsidRPr="002F643E">
              <w:rPr>
                <w:rFonts w:eastAsia="SimSun" w:hint="eastAsia"/>
                <w:sz w:val="20"/>
                <w:szCs w:val="22"/>
              </w:rPr>
              <w:t>UL: [1.25~4x] of IMT-2020</w:t>
            </w:r>
          </w:p>
        </w:tc>
        <w:tc>
          <w:tcPr>
            <w:tcW w:w="4111" w:type="dxa"/>
          </w:tcPr>
          <w:p w14:paraId="588081B3" w14:textId="77777777" w:rsidR="002F643E" w:rsidRPr="002F643E" w:rsidRDefault="002F643E" w:rsidP="002F643E">
            <w:pPr>
              <w:rPr>
                <w:rFonts w:eastAsia="SimSun"/>
                <w:sz w:val="20"/>
                <w:szCs w:val="22"/>
              </w:rPr>
            </w:pPr>
            <w:r w:rsidRPr="002F643E">
              <w:rPr>
                <w:rFonts w:eastAsia="SimSun" w:hint="eastAsia"/>
                <w:sz w:val="20"/>
                <w:szCs w:val="22"/>
              </w:rPr>
              <w:t xml:space="preserve">For UL: </w:t>
            </w:r>
          </w:p>
          <w:p w14:paraId="54FC86F1" w14:textId="77777777" w:rsidR="002F643E" w:rsidRPr="002F643E" w:rsidRDefault="002F643E" w:rsidP="002F643E">
            <w:pPr>
              <w:numPr>
                <w:ilvl w:val="0"/>
                <w:numId w:val="40"/>
              </w:numPr>
              <w:contextualSpacing/>
              <w:rPr>
                <w:rFonts w:eastAsia="SimSun"/>
                <w:sz w:val="20"/>
                <w:szCs w:val="22"/>
                <w:highlight w:val="green"/>
              </w:rPr>
            </w:pPr>
            <w:r w:rsidRPr="002F643E">
              <w:rPr>
                <w:rFonts w:eastAsia="SimSun" w:hint="eastAsia"/>
                <w:sz w:val="20"/>
                <w:szCs w:val="22"/>
                <w:highlight w:val="green"/>
              </w:rPr>
              <w:t>RAN#107 agreement: For user experienced data rate, further discuss applicable deployment scenarios, and revisit the evaluation methodology before setting values for UL</w:t>
            </w:r>
          </w:p>
          <w:p w14:paraId="76D1C05C" w14:textId="77777777" w:rsidR="002F643E" w:rsidRPr="002F643E" w:rsidRDefault="002F643E" w:rsidP="002F643E">
            <w:pPr>
              <w:numPr>
                <w:ilvl w:val="0"/>
                <w:numId w:val="40"/>
              </w:numPr>
              <w:contextualSpacing/>
              <w:rPr>
                <w:rFonts w:eastAsia="SimSun"/>
                <w:sz w:val="20"/>
                <w:szCs w:val="22"/>
                <w:highlight w:val="green"/>
              </w:rPr>
            </w:pPr>
            <w:r w:rsidRPr="002F643E">
              <w:rPr>
                <w:rFonts w:eastAsia="SimSun" w:hint="eastAsia"/>
                <w:b/>
                <w:bCs/>
                <w:sz w:val="20"/>
                <w:szCs w:val="22"/>
                <w:highlight w:val="green"/>
              </w:rPr>
              <w:t>Proposal 1</w:t>
            </w:r>
            <w:r w:rsidRPr="002F643E">
              <w:rPr>
                <w:rFonts w:eastAsia="SimSun" w:hint="eastAsia"/>
                <w:sz w:val="20"/>
                <w:szCs w:val="22"/>
                <w:highlight w:val="green"/>
              </w:rPr>
              <w:t xml:space="preserve">: Use system level simulation for the evaluation of UL user </w:t>
            </w:r>
            <w:r w:rsidRPr="002F643E">
              <w:rPr>
                <w:rFonts w:eastAsia="SimSun"/>
                <w:sz w:val="20"/>
                <w:szCs w:val="22"/>
                <w:highlight w:val="green"/>
              </w:rPr>
              <w:t>experienced</w:t>
            </w:r>
            <w:r w:rsidRPr="002F643E">
              <w:rPr>
                <w:rFonts w:eastAsia="SimSun" w:hint="eastAsia"/>
                <w:sz w:val="20"/>
                <w:szCs w:val="22"/>
                <w:highlight w:val="green"/>
              </w:rPr>
              <w:t xml:space="preserve"> data rate with no bandwidth scaling taking UE maximum output power into account.</w:t>
            </w:r>
          </w:p>
        </w:tc>
      </w:tr>
      <w:tr w:rsidR="002F643E" w:rsidRPr="002F643E" w14:paraId="58DBC080" w14:textId="77777777" w:rsidTr="00AF1414">
        <w:tc>
          <w:tcPr>
            <w:tcW w:w="2885" w:type="dxa"/>
            <w:vAlign w:val="center"/>
          </w:tcPr>
          <w:p w14:paraId="542B2507" w14:textId="77777777" w:rsidR="002F643E" w:rsidRPr="002F643E" w:rsidRDefault="002F643E" w:rsidP="002F643E">
            <w:pPr>
              <w:rPr>
                <w:rFonts w:eastAsia="SimSun"/>
                <w:sz w:val="20"/>
                <w:szCs w:val="22"/>
              </w:rPr>
            </w:pPr>
            <w:r w:rsidRPr="002F643E">
              <w:rPr>
                <w:rFonts w:eastAsia="SimSun"/>
                <w:sz w:val="20"/>
                <w:szCs w:val="22"/>
              </w:rPr>
              <w:t>5th percentile user spectral</w:t>
            </w:r>
          </w:p>
          <w:p w14:paraId="16385F8D" w14:textId="77777777" w:rsidR="002F643E" w:rsidRPr="002F643E" w:rsidRDefault="002F643E" w:rsidP="002F643E">
            <w:pPr>
              <w:rPr>
                <w:rFonts w:eastAsia="SimSun"/>
                <w:sz w:val="20"/>
                <w:szCs w:val="22"/>
              </w:rPr>
            </w:pPr>
            <w:r w:rsidRPr="002F643E">
              <w:rPr>
                <w:rFonts w:eastAsia="SimSun"/>
                <w:sz w:val="20"/>
                <w:szCs w:val="22"/>
              </w:rPr>
              <w:t>efficiency (bit/s/Hz)</w:t>
            </w:r>
          </w:p>
        </w:tc>
        <w:tc>
          <w:tcPr>
            <w:tcW w:w="1793" w:type="dxa"/>
            <w:vAlign w:val="center"/>
          </w:tcPr>
          <w:p w14:paraId="0BB66E2E" w14:textId="77777777" w:rsidR="002F643E" w:rsidRPr="002F643E" w:rsidRDefault="002F643E" w:rsidP="002F643E">
            <w:pPr>
              <w:rPr>
                <w:rFonts w:eastAsia="SimSun"/>
                <w:sz w:val="20"/>
                <w:szCs w:val="22"/>
              </w:rPr>
            </w:pPr>
            <w:r w:rsidRPr="002F643E">
              <w:rPr>
                <w:rFonts w:eastAsia="SimSun"/>
                <w:sz w:val="20"/>
                <w:szCs w:val="22"/>
              </w:rPr>
              <w:t>Indoor Hotspot-</w:t>
            </w:r>
            <w:proofErr w:type="spellStart"/>
            <w:r w:rsidRPr="002F643E">
              <w:rPr>
                <w:rFonts w:eastAsia="SimSun"/>
                <w:sz w:val="20"/>
                <w:szCs w:val="22"/>
              </w:rPr>
              <w:t>eMBB</w:t>
            </w:r>
            <w:proofErr w:type="spellEnd"/>
            <w:r w:rsidRPr="002F643E">
              <w:rPr>
                <w:rFonts w:eastAsia="SimSun"/>
                <w:sz w:val="20"/>
                <w:szCs w:val="22"/>
              </w:rPr>
              <w:t>:</w:t>
            </w:r>
          </w:p>
          <w:p w14:paraId="70AD98E6" w14:textId="77777777" w:rsidR="002F643E" w:rsidRPr="002F643E" w:rsidRDefault="002F643E" w:rsidP="002F643E">
            <w:pPr>
              <w:rPr>
                <w:rFonts w:eastAsia="SimSun"/>
                <w:sz w:val="20"/>
                <w:szCs w:val="22"/>
              </w:rPr>
            </w:pPr>
            <w:r w:rsidRPr="002F643E">
              <w:rPr>
                <w:rFonts w:eastAsia="SimSun"/>
                <w:sz w:val="20"/>
                <w:szCs w:val="22"/>
              </w:rPr>
              <w:t>- DL: 0.3</w:t>
            </w:r>
          </w:p>
          <w:p w14:paraId="4ECFA69D" w14:textId="77777777" w:rsidR="002F643E" w:rsidRPr="002F643E" w:rsidRDefault="002F643E" w:rsidP="002F643E">
            <w:pPr>
              <w:rPr>
                <w:rFonts w:eastAsia="SimSun"/>
                <w:sz w:val="20"/>
                <w:szCs w:val="22"/>
              </w:rPr>
            </w:pPr>
            <w:r w:rsidRPr="002F643E">
              <w:rPr>
                <w:rFonts w:eastAsia="SimSun"/>
                <w:sz w:val="20"/>
                <w:szCs w:val="22"/>
              </w:rPr>
              <w:t>- UL: 0.21</w:t>
            </w:r>
          </w:p>
          <w:p w14:paraId="0F37C701" w14:textId="77777777" w:rsidR="002F643E" w:rsidRPr="002F643E" w:rsidRDefault="002F643E" w:rsidP="002F643E">
            <w:pPr>
              <w:rPr>
                <w:rFonts w:eastAsia="SimSun"/>
                <w:sz w:val="20"/>
                <w:szCs w:val="22"/>
              </w:rPr>
            </w:pPr>
            <w:r w:rsidRPr="002F643E">
              <w:rPr>
                <w:rFonts w:eastAsia="SimSun"/>
                <w:sz w:val="20"/>
                <w:szCs w:val="22"/>
              </w:rPr>
              <w:t xml:space="preserve">Dense Urban - </w:t>
            </w:r>
            <w:proofErr w:type="spellStart"/>
            <w:r w:rsidRPr="002F643E">
              <w:rPr>
                <w:rFonts w:eastAsia="SimSun"/>
                <w:sz w:val="20"/>
                <w:szCs w:val="22"/>
              </w:rPr>
              <w:t>eMBB</w:t>
            </w:r>
            <w:proofErr w:type="spellEnd"/>
            <w:r w:rsidRPr="002F643E">
              <w:rPr>
                <w:rFonts w:eastAsia="SimSun"/>
                <w:sz w:val="20"/>
                <w:szCs w:val="22"/>
              </w:rPr>
              <w:t xml:space="preserve">: </w:t>
            </w:r>
          </w:p>
          <w:p w14:paraId="69DA2F67" w14:textId="77777777" w:rsidR="002F643E" w:rsidRPr="002F643E" w:rsidRDefault="002F643E" w:rsidP="002F643E">
            <w:pPr>
              <w:rPr>
                <w:rFonts w:eastAsia="SimSun"/>
                <w:sz w:val="20"/>
                <w:szCs w:val="22"/>
              </w:rPr>
            </w:pPr>
            <w:r w:rsidRPr="002F643E">
              <w:rPr>
                <w:rFonts w:eastAsia="SimSun"/>
                <w:sz w:val="20"/>
                <w:szCs w:val="22"/>
              </w:rPr>
              <w:t>- DL: 0.225</w:t>
            </w:r>
          </w:p>
          <w:p w14:paraId="72596B8A" w14:textId="77777777" w:rsidR="002F643E" w:rsidRPr="002F643E" w:rsidRDefault="002F643E" w:rsidP="002F643E">
            <w:pPr>
              <w:rPr>
                <w:rFonts w:eastAsia="SimSun"/>
                <w:sz w:val="20"/>
                <w:szCs w:val="22"/>
              </w:rPr>
            </w:pPr>
            <w:r w:rsidRPr="002F643E">
              <w:rPr>
                <w:rFonts w:eastAsia="SimSun"/>
                <w:sz w:val="20"/>
                <w:szCs w:val="22"/>
              </w:rPr>
              <w:t>- UL: 0.15</w:t>
            </w:r>
          </w:p>
          <w:p w14:paraId="6B7F8743" w14:textId="77777777" w:rsidR="002F643E" w:rsidRPr="002F643E" w:rsidRDefault="002F643E" w:rsidP="002F643E">
            <w:pPr>
              <w:rPr>
                <w:rFonts w:eastAsia="SimSun"/>
                <w:sz w:val="20"/>
                <w:szCs w:val="22"/>
              </w:rPr>
            </w:pPr>
            <w:r w:rsidRPr="002F643E">
              <w:rPr>
                <w:rFonts w:eastAsia="SimSun"/>
                <w:sz w:val="20"/>
                <w:szCs w:val="22"/>
              </w:rPr>
              <w:t>Rural-</w:t>
            </w:r>
            <w:proofErr w:type="spellStart"/>
            <w:r w:rsidRPr="002F643E">
              <w:rPr>
                <w:rFonts w:eastAsia="SimSun"/>
                <w:sz w:val="20"/>
                <w:szCs w:val="22"/>
              </w:rPr>
              <w:t>eMBB</w:t>
            </w:r>
            <w:proofErr w:type="spellEnd"/>
            <w:r w:rsidRPr="002F643E">
              <w:rPr>
                <w:rFonts w:eastAsia="SimSun"/>
                <w:sz w:val="20"/>
                <w:szCs w:val="22"/>
              </w:rPr>
              <w:t>:</w:t>
            </w:r>
          </w:p>
          <w:p w14:paraId="16751864" w14:textId="77777777" w:rsidR="002F643E" w:rsidRPr="002F643E" w:rsidRDefault="002F643E" w:rsidP="002F643E">
            <w:pPr>
              <w:rPr>
                <w:rFonts w:eastAsia="SimSun"/>
                <w:sz w:val="20"/>
                <w:szCs w:val="22"/>
              </w:rPr>
            </w:pPr>
            <w:r w:rsidRPr="002F643E">
              <w:rPr>
                <w:rFonts w:eastAsia="SimSun"/>
                <w:sz w:val="20"/>
                <w:szCs w:val="22"/>
              </w:rPr>
              <w:t>- DL: 0.12</w:t>
            </w:r>
          </w:p>
          <w:p w14:paraId="25358255" w14:textId="77777777" w:rsidR="002F643E" w:rsidRPr="002F643E" w:rsidRDefault="002F643E" w:rsidP="002F643E">
            <w:pPr>
              <w:rPr>
                <w:rFonts w:eastAsia="SimSun"/>
                <w:sz w:val="20"/>
                <w:szCs w:val="22"/>
              </w:rPr>
            </w:pPr>
            <w:r w:rsidRPr="002F643E">
              <w:rPr>
                <w:rFonts w:eastAsia="SimSun"/>
                <w:sz w:val="20"/>
                <w:szCs w:val="22"/>
              </w:rPr>
              <w:t>- UL: 0.045</w:t>
            </w:r>
          </w:p>
        </w:tc>
        <w:tc>
          <w:tcPr>
            <w:tcW w:w="2126" w:type="dxa"/>
            <w:vAlign w:val="center"/>
          </w:tcPr>
          <w:p w14:paraId="10D5ADBB" w14:textId="77777777" w:rsidR="002F643E" w:rsidRPr="002F643E" w:rsidRDefault="002F643E" w:rsidP="002F643E">
            <w:pPr>
              <w:rPr>
                <w:rFonts w:eastAsia="SimSun"/>
                <w:sz w:val="20"/>
                <w:szCs w:val="22"/>
              </w:rPr>
            </w:pPr>
            <w:r w:rsidRPr="002F643E">
              <w:rPr>
                <w:rFonts w:eastAsia="SimSun" w:hint="eastAsia"/>
                <w:sz w:val="20"/>
                <w:szCs w:val="22"/>
              </w:rPr>
              <w:t>[1.5~5x] of IMT-2020</w:t>
            </w:r>
          </w:p>
        </w:tc>
        <w:tc>
          <w:tcPr>
            <w:tcW w:w="4111" w:type="dxa"/>
            <w:vAlign w:val="center"/>
          </w:tcPr>
          <w:p w14:paraId="707690E8" w14:textId="77777777" w:rsidR="002F643E" w:rsidRPr="002F643E" w:rsidRDefault="002F643E" w:rsidP="002F643E">
            <w:pPr>
              <w:rPr>
                <w:rFonts w:eastAsia="SimSun"/>
                <w:sz w:val="20"/>
                <w:szCs w:val="22"/>
                <w:highlight w:val="green"/>
              </w:rPr>
            </w:pPr>
            <w:r w:rsidRPr="002F643E">
              <w:rPr>
                <w:rFonts w:eastAsia="SimSun" w:hint="eastAsia"/>
                <w:sz w:val="20"/>
                <w:szCs w:val="22"/>
                <w:highlight w:val="green"/>
              </w:rPr>
              <w:t>Companies are encouraged to provide antenna assumption for different frequency ranges together with the requirements, e.g. 4GHz, 7GHz, 30GHz</w:t>
            </w:r>
          </w:p>
          <w:p w14:paraId="0FA21A68" w14:textId="77777777" w:rsidR="002F643E" w:rsidRPr="002F643E" w:rsidRDefault="002F643E" w:rsidP="002F643E">
            <w:pPr>
              <w:rPr>
                <w:rFonts w:eastAsia="SimSun"/>
                <w:sz w:val="20"/>
                <w:szCs w:val="22"/>
              </w:rPr>
            </w:pPr>
            <w:r w:rsidRPr="002F643E">
              <w:rPr>
                <w:rFonts w:eastAsia="SimSun" w:hint="eastAsia"/>
                <w:sz w:val="20"/>
                <w:szCs w:val="22"/>
                <w:highlight w:val="green"/>
              </w:rPr>
              <w:t>Applicable deployment scenarios should also be considered.</w:t>
            </w:r>
          </w:p>
        </w:tc>
      </w:tr>
    </w:tbl>
    <w:p w14:paraId="5780B812" w14:textId="77777777" w:rsidR="00611A6D" w:rsidRDefault="00611A6D" w:rsidP="00531349">
      <w:pPr>
        <w:rPr>
          <w:sz w:val="20"/>
          <w:szCs w:val="20"/>
        </w:rPr>
      </w:pPr>
    </w:p>
    <w:tbl>
      <w:tblPr>
        <w:tblStyle w:val="TableGrid"/>
        <w:tblW w:w="0" w:type="auto"/>
        <w:tblLook w:val="04A0" w:firstRow="1" w:lastRow="0" w:firstColumn="1" w:lastColumn="0" w:noHBand="0" w:noVBand="1"/>
      </w:tblPr>
      <w:tblGrid>
        <w:gridCol w:w="9010"/>
      </w:tblGrid>
      <w:tr w:rsidR="006B5B94" w14:paraId="40ED2342" w14:textId="77777777">
        <w:tc>
          <w:tcPr>
            <w:tcW w:w="9010" w:type="dxa"/>
          </w:tcPr>
          <w:p w14:paraId="4A261252" w14:textId="77777777" w:rsidR="006B5B94" w:rsidRPr="003D6345" w:rsidRDefault="006B5B94" w:rsidP="006B5B94">
            <w:pPr>
              <w:rPr>
                <w:b/>
                <w:bCs/>
              </w:rPr>
            </w:pPr>
            <w:r w:rsidRPr="007A0683">
              <w:rPr>
                <w:rFonts w:hint="eastAsia"/>
                <w:b/>
                <w:bCs/>
                <w:highlight w:val="green"/>
              </w:rPr>
              <w:t>Proposal 2-3: Do not define security, interoperability as IMT-2030 TPRs, these can be covered by submission template for IMT-2030.</w:t>
            </w:r>
          </w:p>
          <w:p w14:paraId="3199B187" w14:textId="77777777" w:rsidR="006B5B94" w:rsidRPr="003D6345" w:rsidRDefault="006B5B94" w:rsidP="006B5B94">
            <w:pPr>
              <w:rPr>
                <w:b/>
                <w:bCs/>
              </w:rPr>
            </w:pPr>
            <w:r w:rsidRPr="007A0683">
              <w:rPr>
                <w:rFonts w:hint="eastAsia"/>
                <w:b/>
                <w:bCs/>
                <w:highlight w:val="green"/>
              </w:rPr>
              <w:t xml:space="preserve">Proposal 2-4: Sustainability is covered by energy efficiency, do not define </w:t>
            </w:r>
            <w:r w:rsidRPr="007A0683">
              <w:rPr>
                <w:b/>
                <w:bCs/>
                <w:highlight w:val="green"/>
              </w:rPr>
              <w:t>separate</w:t>
            </w:r>
            <w:r w:rsidRPr="007A0683">
              <w:rPr>
                <w:rFonts w:hint="eastAsia"/>
                <w:b/>
                <w:bCs/>
                <w:highlight w:val="green"/>
              </w:rPr>
              <w:t xml:space="preserve"> TPR for sustainability.</w:t>
            </w:r>
          </w:p>
          <w:p w14:paraId="12A43760" w14:textId="77777777" w:rsidR="006B5B94" w:rsidRDefault="006B5B94" w:rsidP="00531349">
            <w:pPr>
              <w:rPr>
                <w:sz w:val="20"/>
                <w:szCs w:val="20"/>
              </w:rPr>
            </w:pPr>
          </w:p>
        </w:tc>
      </w:tr>
    </w:tbl>
    <w:p w14:paraId="030FBD36" w14:textId="77777777" w:rsidR="006B5B94" w:rsidRPr="00531349" w:rsidRDefault="006B5B94" w:rsidP="00531349">
      <w:pPr>
        <w:rPr>
          <w:sz w:val="20"/>
          <w:szCs w:val="20"/>
        </w:rPr>
      </w:pPr>
    </w:p>
    <w:p w14:paraId="12A4CF48" w14:textId="77777777" w:rsidR="00970368" w:rsidRDefault="00970368" w:rsidP="006B2109">
      <w:pPr>
        <w:rPr>
          <w:sz w:val="20"/>
          <w:szCs w:val="20"/>
        </w:rPr>
      </w:pPr>
    </w:p>
    <w:p w14:paraId="17FF1AF9" w14:textId="3735817C" w:rsidR="00970368" w:rsidRDefault="00970368" w:rsidP="00970368">
      <w:pPr>
        <w:pStyle w:val="Heading2"/>
      </w:pPr>
      <w:r>
        <w:t>Legacy TPRs</w:t>
      </w:r>
    </w:p>
    <w:p w14:paraId="32EDABCE" w14:textId="1AA34981" w:rsidR="00970368" w:rsidRPr="00406032" w:rsidRDefault="00970368" w:rsidP="00970368">
      <w:pPr>
        <w:rPr>
          <w:sz w:val="20"/>
          <w:szCs w:val="20"/>
          <w:lang w:bidi="he-IL"/>
        </w:rPr>
      </w:pPr>
      <w:r w:rsidRPr="00970368">
        <w:rPr>
          <w:sz w:val="20"/>
          <w:szCs w:val="20"/>
        </w:rPr>
        <w:t xml:space="preserve">We start the </w:t>
      </w:r>
      <w:r>
        <w:rPr>
          <w:sz w:val="20"/>
          <w:szCs w:val="20"/>
        </w:rPr>
        <w:t xml:space="preserve">discussion with “legacy” TPRs, i.e. these IMT-2030 “inherits” from IMT-2020. </w:t>
      </w:r>
    </w:p>
    <w:p w14:paraId="1A67C059" w14:textId="77777777" w:rsidR="00970368" w:rsidRDefault="00970368" w:rsidP="00970368">
      <w:pPr>
        <w:rPr>
          <w:sz w:val="20"/>
          <w:szCs w:val="20"/>
        </w:rPr>
      </w:pPr>
    </w:p>
    <w:p w14:paraId="0EA3375B" w14:textId="77777777" w:rsidR="003466C0" w:rsidRDefault="00406032" w:rsidP="003466C0">
      <w:pPr>
        <w:rPr>
          <w:sz w:val="20"/>
          <w:szCs w:val="20"/>
          <w:lang w:val="en-GB"/>
        </w:rPr>
      </w:pPr>
      <w:r w:rsidRPr="00406032">
        <w:rPr>
          <w:sz w:val="20"/>
          <w:szCs w:val="20"/>
          <w:lang w:val="en-GB"/>
        </w:rPr>
        <w:t>Arguably, the most visible TPRs are the ones related to data rate, i.e. Peak Data Rate, User Experienced Data Rate and Spectrum Efficiency. We observe that in real deployments in the field the gap between what a</w:t>
      </w:r>
      <w:r>
        <w:rPr>
          <w:sz w:val="20"/>
          <w:szCs w:val="20"/>
          <w:lang w:val="en-GB"/>
        </w:rPr>
        <w:t xml:space="preserve"> 3GPP </w:t>
      </w:r>
      <w:r w:rsidRPr="00406032">
        <w:rPr>
          <w:sz w:val="20"/>
          <w:szCs w:val="20"/>
          <w:lang w:val="en-GB"/>
        </w:rPr>
        <w:t xml:space="preserve">technology can deliver </w:t>
      </w:r>
      <w:r>
        <w:rPr>
          <w:sz w:val="20"/>
          <w:szCs w:val="20"/>
          <w:lang w:val="en-GB"/>
        </w:rPr>
        <w:t xml:space="preserve">(on paper) </w:t>
      </w:r>
      <w:r w:rsidRPr="00406032">
        <w:rPr>
          <w:sz w:val="20"/>
          <w:szCs w:val="20"/>
          <w:lang w:val="en-GB"/>
        </w:rPr>
        <w:t xml:space="preserve">and what is </w:t>
      </w:r>
      <w:proofErr w:type="gramStart"/>
      <w:r w:rsidRPr="00406032">
        <w:rPr>
          <w:sz w:val="20"/>
          <w:szCs w:val="20"/>
          <w:lang w:val="en-GB"/>
        </w:rPr>
        <w:t>actually being</w:t>
      </w:r>
      <w:proofErr w:type="gramEnd"/>
      <w:r w:rsidRPr="00406032">
        <w:rPr>
          <w:sz w:val="20"/>
          <w:szCs w:val="20"/>
          <w:lang w:val="en-GB"/>
        </w:rPr>
        <w:t xml:space="preserve"> used has grown larger and larger. This is an indication that market demand has not caught up with IMT requirements and </w:t>
      </w:r>
      <w:r>
        <w:rPr>
          <w:sz w:val="20"/>
          <w:szCs w:val="20"/>
          <w:lang w:val="en-GB"/>
        </w:rPr>
        <w:t>3GPP</w:t>
      </w:r>
      <w:r w:rsidRPr="00406032">
        <w:rPr>
          <w:sz w:val="20"/>
          <w:szCs w:val="20"/>
          <w:lang w:val="en-GB"/>
        </w:rPr>
        <w:t xml:space="preserve"> technologies capabilities. We believe that driving the requirements much further will widen the gap and may have negative consequences. </w:t>
      </w:r>
    </w:p>
    <w:p w14:paraId="08283F4E" w14:textId="77777777" w:rsidR="005A4056" w:rsidRDefault="005A4056" w:rsidP="003466C0">
      <w:pPr>
        <w:rPr>
          <w:sz w:val="20"/>
          <w:szCs w:val="20"/>
          <w:lang w:val="en-GB"/>
        </w:rPr>
      </w:pPr>
    </w:p>
    <w:p w14:paraId="2FAE588E" w14:textId="21B51633" w:rsidR="005A4056" w:rsidRDefault="005A4056" w:rsidP="00DA19B5">
      <w:pPr>
        <w:rPr>
          <w:sz w:val="20"/>
          <w:szCs w:val="20"/>
        </w:rPr>
      </w:pPr>
      <w:r>
        <w:rPr>
          <w:sz w:val="20"/>
          <w:szCs w:val="20"/>
          <w:lang w:val="en-GB"/>
        </w:rPr>
        <w:t xml:space="preserve">A similar view has been expressed by multiple operators in [4], who </w:t>
      </w:r>
      <w:r w:rsidR="00A53594">
        <w:rPr>
          <w:sz w:val="20"/>
          <w:szCs w:val="20"/>
          <w:lang w:val="en-GB"/>
        </w:rPr>
        <w:t>propose “</w:t>
      </w:r>
      <w:r w:rsidR="00A53594" w:rsidRPr="00A53594">
        <w:rPr>
          <w:sz w:val="20"/>
          <w:szCs w:val="20"/>
          <w:lang w:val="en-GB"/>
        </w:rPr>
        <w:t>For IMT-2030 (aka 6G) realistic and practically reachable TPRs should be defined by ITU from the outset to avoid even higher expectations</w:t>
      </w:r>
      <w:r w:rsidR="00A53594">
        <w:rPr>
          <w:sz w:val="20"/>
          <w:szCs w:val="20"/>
          <w:lang w:val="en-GB"/>
        </w:rPr>
        <w:t xml:space="preserve">”. Furthermore, another north American operator reminds us in [5] that </w:t>
      </w:r>
      <w:r w:rsidR="00DA19B5">
        <w:rPr>
          <w:sz w:val="20"/>
          <w:szCs w:val="20"/>
          <w:lang w:val="en-GB"/>
        </w:rPr>
        <w:t>IMT requirements are minimum requirements, with the understanding that a technology satisfying IMT requirements can and most likely will exceed them: “</w:t>
      </w:r>
      <w:r w:rsidR="00DA19B5" w:rsidRPr="00DA19B5">
        <w:rPr>
          <w:sz w:val="20"/>
          <w:szCs w:val="20"/>
        </w:rPr>
        <w:t xml:space="preserve">Specifically, the ITU needs the minimum technical performance requirements (and corresponding evaluation criteria) which show the </w:t>
      </w:r>
      <w:r w:rsidR="00DA19B5" w:rsidRPr="00DA19B5">
        <w:rPr>
          <w:i/>
          <w:iCs/>
          <w:sz w:val="20"/>
          <w:szCs w:val="20"/>
        </w:rPr>
        <w:t>baseline</w:t>
      </w:r>
      <w:r w:rsidR="00DA19B5" w:rsidRPr="00DA19B5">
        <w:rPr>
          <w:sz w:val="20"/>
          <w:szCs w:val="20"/>
        </w:rPr>
        <w:t xml:space="preserve"> capabilities of IMT-2030.</w:t>
      </w:r>
      <w:r w:rsidR="00DA19B5">
        <w:rPr>
          <w:sz w:val="20"/>
          <w:szCs w:val="20"/>
        </w:rPr>
        <w:t>”.</w:t>
      </w:r>
    </w:p>
    <w:p w14:paraId="64AE5284" w14:textId="77777777" w:rsidR="004A6FB8" w:rsidRDefault="004A6FB8" w:rsidP="00DA19B5">
      <w:pPr>
        <w:rPr>
          <w:sz w:val="20"/>
          <w:szCs w:val="20"/>
        </w:rPr>
      </w:pPr>
    </w:p>
    <w:p w14:paraId="3B45BD11" w14:textId="07324406" w:rsidR="004A6FB8" w:rsidRDefault="004A6FB8" w:rsidP="00DA19B5">
      <w:pPr>
        <w:rPr>
          <w:sz w:val="20"/>
          <w:szCs w:val="20"/>
        </w:rPr>
      </w:pPr>
      <w:r>
        <w:rPr>
          <w:sz w:val="20"/>
          <w:szCs w:val="20"/>
        </w:rPr>
        <w:t xml:space="preserve">We concur with the </w:t>
      </w:r>
      <w:proofErr w:type="gramStart"/>
      <w:r>
        <w:rPr>
          <w:sz w:val="20"/>
          <w:szCs w:val="20"/>
        </w:rPr>
        <w:t>operators</w:t>
      </w:r>
      <w:proofErr w:type="gramEnd"/>
      <w:r>
        <w:rPr>
          <w:sz w:val="20"/>
          <w:szCs w:val="20"/>
        </w:rPr>
        <w:t xml:space="preserve"> and we also think that it is rather unhealthy for the ecosystem to continue pushing the gap between theoretical requirements and practical deployments. </w:t>
      </w:r>
    </w:p>
    <w:p w14:paraId="55D4DAAE" w14:textId="77777777" w:rsidR="004A6FB8" w:rsidRDefault="004A6FB8" w:rsidP="004A6FB8">
      <w:pPr>
        <w:rPr>
          <w:b/>
          <w:bCs/>
          <w:sz w:val="20"/>
          <w:szCs w:val="20"/>
          <w:lang w:val="en-GB"/>
        </w:rPr>
      </w:pPr>
    </w:p>
    <w:p w14:paraId="778CC34F" w14:textId="7427031D" w:rsidR="004A6FB8" w:rsidRPr="00406032" w:rsidRDefault="004A6FB8" w:rsidP="004A6FB8">
      <w:pPr>
        <w:rPr>
          <w:b/>
          <w:bCs/>
          <w:sz w:val="20"/>
          <w:szCs w:val="20"/>
          <w:lang w:val="en-GB"/>
        </w:rPr>
      </w:pPr>
      <w:r w:rsidRPr="00534760">
        <w:rPr>
          <w:b/>
          <w:bCs/>
          <w:sz w:val="20"/>
          <w:szCs w:val="20"/>
          <w:lang w:val="en-GB"/>
        </w:rPr>
        <w:lastRenderedPageBreak/>
        <w:t xml:space="preserve">Observation </w:t>
      </w:r>
      <w:r>
        <w:rPr>
          <w:b/>
          <w:bCs/>
          <w:sz w:val="20"/>
          <w:szCs w:val="20"/>
          <w:lang w:val="en-GB"/>
        </w:rPr>
        <w:t>1</w:t>
      </w:r>
      <w:r w:rsidRPr="00534760">
        <w:rPr>
          <w:b/>
          <w:bCs/>
          <w:sz w:val="20"/>
          <w:szCs w:val="20"/>
          <w:lang w:val="en-GB"/>
        </w:rPr>
        <w:t xml:space="preserve">: the gap between what 5G/IMT-2020 can deliver “on paper” and what is </w:t>
      </w:r>
      <w:proofErr w:type="gramStart"/>
      <w:r w:rsidRPr="00534760">
        <w:rPr>
          <w:b/>
          <w:bCs/>
          <w:sz w:val="20"/>
          <w:szCs w:val="20"/>
          <w:lang w:val="en-GB"/>
        </w:rPr>
        <w:t>actually being</w:t>
      </w:r>
      <w:proofErr w:type="gramEnd"/>
      <w:r w:rsidRPr="00534760">
        <w:rPr>
          <w:b/>
          <w:bCs/>
          <w:sz w:val="20"/>
          <w:szCs w:val="20"/>
          <w:lang w:val="en-GB"/>
        </w:rPr>
        <w:t xml:space="preserve"> deployed is significant</w:t>
      </w:r>
      <w:r>
        <w:rPr>
          <w:b/>
          <w:bCs/>
          <w:sz w:val="20"/>
          <w:szCs w:val="20"/>
          <w:lang w:val="en-GB"/>
        </w:rPr>
        <w:t>; such gap is unhealthy for the ecosystem.</w:t>
      </w:r>
    </w:p>
    <w:p w14:paraId="0BBBD5B5" w14:textId="77777777" w:rsidR="00DA19B5" w:rsidRDefault="00DA19B5" w:rsidP="00DA19B5">
      <w:pPr>
        <w:rPr>
          <w:sz w:val="20"/>
          <w:szCs w:val="20"/>
        </w:rPr>
      </w:pPr>
    </w:p>
    <w:p w14:paraId="305E0450" w14:textId="45DB33D5" w:rsidR="00DA19B5" w:rsidRDefault="00DA19B5" w:rsidP="00DA19B5">
      <w:pPr>
        <w:rPr>
          <w:sz w:val="20"/>
          <w:szCs w:val="20"/>
        </w:rPr>
      </w:pPr>
      <w:proofErr w:type="gramStart"/>
      <w:r>
        <w:rPr>
          <w:sz w:val="20"/>
          <w:szCs w:val="20"/>
        </w:rPr>
        <w:t>With this in mind, many</w:t>
      </w:r>
      <w:proofErr w:type="gramEnd"/>
      <w:r>
        <w:rPr>
          <w:sz w:val="20"/>
          <w:szCs w:val="20"/>
        </w:rPr>
        <w:t xml:space="preserve"> companies </w:t>
      </w:r>
      <w:r w:rsidR="00643433">
        <w:rPr>
          <w:sz w:val="20"/>
          <w:szCs w:val="20"/>
        </w:rPr>
        <w:t xml:space="preserve">provided the opinion in RAN conference call on TPRs, that perhaps in IMT-2030/6G it would be beneficial </w:t>
      </w:r>
      <w:r w:rsidR="007E392F">
        <w:rPr>
          <w:sz w:val="20"/>
          <w:szCs w:val="20"/>
        </w:rPr>
        <w:t xml:space="preserve">not to define a peak data rate </w:t>
      </w:r>
      <w:proofErr w:type="gramStart"/>
      <w:r w:rsidR="007E392F">
        <w:rPr>
          <w:sz w:val="20"/>
          <w:szCs w:val="20"/>
        </w:rPr>
        <w:t>requirement, but</w:t>
      </w:r>
      <w:proofErr w:type="gramEnd"/>
      <w:r w:rsidR="007E392F">
        <w:rPr>
          <w:sz w:val="20"/>
          <w:szCs w:val="20"/>
        </w:rPr>
        <w:t xml:space="preserve"> rather leave this to the technology proponents (e.g. 3GPP) to decide. The following two alternatives have been discussed in the conference call:</w:t>
      </w:r>
    </w:p>
    <w:p w14:paraId="5AD0CB70" w14:textId="57B61623" w:rsidR="007E392F" w:rsidRPr="007E392F" w:rsidRDefault="007E392F" w:rsidP="007E392F">
      <w:pPr>
        <w:pStyle w:val="ListParagraph"/>
        <w:numPr>
          <w:ilvl w:val="0"/>
          <w:numId w:val="41"/>
        </w:numPr>
        <w:ind w:leftChars="0"/>
        <w:rPr>
          <w:szCs w:val="20"/>
        </w:rPr>
      </w:pPr>
      <w:r w:rsidRPr="007E392F">
        <w:rPr>
          <w:szCs w:val="20"/>
        </w:rPr>
        <w:t xml:space="preserve">Alternative 1: Not to define a requirement, e.g. </w:t>
      </w:r>
      <w:r w:rsidR="00EF5AFE">
        <w:rPr>
          <w:szCs w:val="20"/>
        </w:rPr>
        <w:t>l</w:t>
      </w:r>
      <w:r w:rsidRPr="007E392F">
        <w:rPr>
          <w:szCs w:val="20"/>
        </w:rPr>
        <w:t>eave the value for peak data rate for the technology proponent to provide</w:t>
      </w:r>
    </w:p>
    <w:p w14:paraId="5AC8ECF8" w14:textId="17195C22" w:rsidR="007E392F" w:rsidRPr="007E392F" w:rsidRDefault="007E392F" w:rsidP="007E392F">
      <w:pPr>
        <w:pStyle w:val="ListParagraph"/>
        <w:numPr>
          <w:ilvl w:val="0"/>
          <w:numId w:val="41"/>
        </w:numPr>
        <w:ind w:leftChars="0"/>
        <w:rPr>
          <w:szCs w:val="20"/>
        </w:rPr>
      </w:pPr>
      <w:r w:rsidRPr="007E392F">
        <w:rPr>
          <w:szCs w:val="20"/>
        </w:rPr>
        <w:t>Alternative 2: Define a requirement with reasonable value</w:t>
      </w:r>
    </w:p>
    <w:p w14:paraId="638E028F" w14:textId="77777777" w:rsidR="003466C0" w:rsidRDefault="003466C0" w:rsidP="003466C0">
      <w:pPr>
        <w:rPr>
          <w:sz w:val="20"/>
          <w:szCs w:val="20"/>
          <w:lang w:val="en-GB"/>
        </w:rPr>
      </w:pPr>
    </w:p>
    <w:p w14:paraId="6843C7DB" w14:textId="13F6AE9C" w:rsidR="00406032" w:rsidRDefault="00A31600" w:rsidP="00406032">
      <w:pPr>
        <w:rPr>
          <w:sz w:val="20"/>
          <w:szCs w:val="20"/>
          <w:lang w:val="en-GB"/>
        </w:rPr>
      </w:pPr>
      <w:r>
        <w:rPr>
          <w:sz w:val="20"/>
          <w:szCs w:val="20"/>
          <w:lang w:val="en-GB"/>
        </w:rPr>
        <w:t xml:space="preserve">Speaking of alternative 2, it is rather unclear how one can possibly define “reasonable value” for IMT-2030 peak data rate, especially </w:t>
      </w:r>
      <w:proofErr w:type="gramStart"/>
      <w:r>
        <w:rPr>
          <w:sz w:val="20"/>
          <w:szCs w:val="20"/>
          <w:lang w:val="en-GB"/>
        </w:rPr>
        <w:t>considering the fact that</w:t>
      </w:r>
      <w:proofErr w:type="gramEnd"/>
      <w:r>
        <w:rPr>
          <w:sz w:val="20"/>
          <w:szCs w:val="20"/>
          <w:lang w:val="en-GB"/>
        </w:rPr>
        <w:t xml:space="preserve"> even the IMT-2020 values are anything but reasonable. </w:t>
      </w:r>
    </w:p>
    <w:p w14:paraId="692F0DB3" w14:textId="77777777" w:rsidR="00970368" w:rsidRPr="00534760" w:rsidRDefault="00970368" w:rsidP="00970368">
      <w:pPr>
        <w:rPr>
          <w:b/>
          <w:bCs/>
          <w:sz w:val="20"/>
          <w:szCs w:val="20"/>
        </w:rPr>
      </w:pPr>
    </w:p>
    <w:p w14:paraId="099FDB01" w14:textId="202F5929" w:rsidR="003466C0" w:rsidRDefault="003466C0" w:rsidP="00970368">
      <w:pPr>
        <w:rPr>
          <w:b/>
          <w:bCs/>
          <w:sz w:val="20"/>
          <w:szCs w:val="20"/>
          <w:lang w:val="en-GB"/>
        </w:rPr>
      </w:pPr>
      <w:r w:rsidRPr="00534760">
        <w:rPr>
          <w:b/>
          <w:bCs/>
          <w:sz w:val="20"/>
          <w:szCs w:val="20"/>
        </w:rPr>
        <w:t xml:space="preserve">Proposal 1: </w:t>
      </w:r>
      <w:r w:rsidRPr="00534760">
        <w:rPr>
          <w:b/>
          <w:bCs/>
          <w:sz w:val="20"/>
          <w:szCs w:val="20"/>
          <w:lang w:val="en-GB"/>
        </w:rPr>
        <w:t xml:space="preserve">6G/IMT-2030 should </w:t>
      </w:r>
      <w:r w:rsidR="00534760">
        <w:rPr>
          <w:b/>
          <w:bCs/>
          <w:sz w:val="20"/>
          <w:szCs w:val="20"/>
          <w:lang w:val="en-GB"/>
        </w:rPr>
        <w:t xml:space="preserve">address real market needs and therefore should </w:t>
      </w:r>
      <w:r w:rsidRPr="00534760">
        <w:rPr>
          <w:b/>
          <w:bCs/>
          <w:sz w:val="20"/>
          <w:szCs w:val="20"/>
          <w:lang w:val="en-GB"/>
        </w:rPr>
        <w:t>focus on new services and new markets (e.g. Sensing, AI/ML) rather than pushing the theoretical data rates higher (in disconnect with real deployments).</w:t>
      </w:r>
    </w:p>
    <w:p w14:paraId="50E32593" w14:textId="77777777" w:rsidR="00370267" w:rsidRDefault="00370267" w:rsidP="00970368">
      <w:pPr>
        <w:rPr>
          <w:b/>
          <w:bCs/>
          <w:sz w:val="20"/>
          <w:szCs w:val="20"/>
          <w:lang w:val="en-GB"/>
        </w:rPr>
      </w:pPr>
    </w:p>
    <w:p w14:paraId="74F61900" w14:textId="01115C98" w:rsidR="00370267" w:rsidRPr="00534760" w:rsidRDefault="00370267" w:rsidP="00970368">
      <w:pPr>
        <w:rPr>
          <w:b/>
          <w:bCs/>
          <w:sz w:val="20"/>
          <w:szCs w:val="20"/>
          <w:lang w:val="en-GB"/>
        </w:rPr>
      </w:pPr>
      <w:r>
        <w:rPr>
          <w:b/>
          <w:bCs/>
          <w:sz w:val="20"/>
          <w:szCs w:val="20"/>
          <w:lang w:val="en-GB"/>
        </w:rPr>
        <w:t xml:space="preserve">Proposal 2: do not define IMT-2030/6G peak data rate requirement. </w:t>
      </w:r>
    </w:p>
    <w:p w14:paraId="03803FBE" w14:textId="77777777" w:rsidR="00534760" w:rsidRDefault="00534760" w:rsidP="00970368">
      <w:pPr>
        <w:rPr>
          <w:sz w:val="20"/>
          <w:szCs w:val="20"/>
          <w:lang w:val="en-GB"/>
        </w:rPr>
      </w:pPr>
    </w:p>
    <w:p w14:paraId="69F58E7C" w14:textId="630C0155" w:rsidR="00C81B40" w:rsidRDefault="00C81B40" w:rsidP="00970368">
      <w:pPr>
        <w:rPr>
          <w:sz w:val="20"/>
          <w:szCs w:val="20"/>
          <w:lang w:val="en-GB"/>
        </w:rPr>
      </w:pPr>
      <w:r>
        <w:rPr>
          <w:sz w:val="20"/>
          <w:szCs w:val="20"/>
          <w:lang w:val="en-GB"/>
        </w:rPr>
        <w:t xml:space="preserve">On the question of peak spectral efficiency, our view is that there is no need to go above </w:t>
      </w:r>
      <w:r w:rsidRPr="00C81B40">
        <w:rPr>
          <w:sz w:val="20"/>
          <w:szCs w:val="20"/>
          <w:lang w:val="en-GB"/>
        </w:rPr>
        <w:t>1.5 times that of IMT-2020</w:t>
      </w:r>
      <w:r>
        <w:rPr>
          <w:sz w:val="20"/>
          <w:szCs w:val="20"/>
          <w:lang w:val="en-GB"/>
        </w:rPr>
        <w:t xml:space="preserve">. However, </w:t>
      </w:r>
      <w:r w:rsidR="007F1321">
        <w:rPr>
          <w:sz w:val="20"/>
          <w:szCs w:val="20"/>
          <w:lang w:val="en-GB"/>
        </w:rPr>
        <w:t xml:space="preserve">before agreeing to a value, we should perhaps agree on the parameters that </w:t>
      </w:r>
      <w:r w:rsidR="00AA626C">
        <w:rPr>
          <w:sz w:val="20"/>
          <w:szCs w:val="20"/>
          <w:lang w:val="en-GB"/>
        </w:rPr>
        <w:t>spectral efficiency is derived from.</w:t>
      </w:r>
    </w:p>
    <w:p w14:paraId="24933576" w14:textId="77777777" w:rsidR="00AA626C" w:rsidRDefault="00AA626C" w:rsidP="00970368">
      <w:pPr>
        <w:rPr>
          <w:sz w:val="20"/>
          <w:szCs w:val="20"/>
          <w:lang w:val="en-GB"/>
        </w:rPr>
      </w:pPr>
    </w:p>
    <w:p w14:paraId="68E3B2F3" w14:textId="4B5F1663" w:rsidR="00AA626C" w:rsidRDefault="00AA626C" w:rsidP="00970368">
      <w:pPr>
        <w:rPr>
          <w:sz w:val="20"/>
          <w:szCs w:val="20"/>
          <w:lang w:val="en-GB"/>
        </w:rPr>
      </w:pPr>
      <w:r>
        <w:rPr>
          <w:sz w:val="20"/>
          <w:szCs w:val="20"/>
          <w:lang w:val="en-GB"/>
        </w:rPr>
        <w:t xml:space="preserve">One such parameter is the number of antennas. </w:t>
      </w:r>
      <w:r w:rsidR="00834E5C">
        <w:rPr>
          <w:sz w:val="20"/>
          <w:szCs w:val="20"/>
          <w:lang w:val="en-GB"/>
        </w:rPr>
        <w:t>According to [6], the IMT-2020 number of antenna requirements were: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8"/>
        <w:gridCol w:w="5211"/>
      </w:tblGrid>
      <w:tr w:rsidR="00E85032" w14:paraId="7FF0C226" w14:textId="77777777" w:rsidTr="00AF1414">
        <w:trPr>
          <w:trHeight w:val="98"/>
          <w:tblHeader/>
          <w:jc w:val="center"/>
        </w:trPr>
        <w:tc>
          <w:tcPr>
            <w:tcW w:w="4503" w:type="dxa"/>
            <w:tcBorders>
              <w:top w:val="single" w:sz="4" w:space="0" w:color="auto"/>
              <w:left w:val="single" w:sz="4" w:space="0" w:color="auto"/>
              <w:bottom w:val="single" w:sz="4" w:space="0" w:color="auto"/>
              <w:right w:val="single" w:sz="4" w:space="0" w:color="auto"/>
            </w:tcBorders>
            <w:hideMark/>
          </w:tcPr>
          <w:p w14:paraId="03A842C2" w14:textId="77777777" w:rsidR="00E85032" w:rsidRDefault="00E85032" w:rsidP="00AF1414">
            <w:pPr>
              <w:pStyle w:val="Tablehead"/>
              <w:rPr>
                <w:szCs w:val="22"/>
                <w:lang w:eastAsia="zh-CN"/>
              </w:rPr>
            </w:pPr>
            <w:r>
              <w:rPr>
                <w:szCs w:val="22"/>
                <w:lang w:eastAsia="zh-CN"/>
              </w:rPr>
              <w:t>Parameters</w:t>
            </w:r>
          </w:p>
        </w:tc>
        <w:tc>
          <w:tcPr>
            <w:tcW w:w="5301" w:type="dxa"/>
            <w:tcBorders>
              <w:top w:val="single" w:sz="4" w:space="0" w:color="auto"/>
              <w:left w:val="single" w:sz="4" w:space="0" w:color="auto"/>
              <w:bottom w:val="single" w:sz="4" w:space="0" w:color="auto"/>
              <w:right w:val="single" w:sz="4" w:space="0" w:color="auto"/>
            </w:tcBorders>
            <w:hideMark/>
          </w:tcPr>
          <w:p w14:paraId="6915AF3E" w14:textId="77777777" w:rsidR="00E85032" w:rsidRDefault="00E85032" w:rsidP="00AF1414">
            <w:pPr>
              <w:pStyle w:val="Tablehead"/>
              <w:rPr>
                <w:lang w:eastAsia="zh-CN"/>
              </w:rPr>
            </w:pPr>
            <w:r>
              <w:rPr>
                <w:lang w:eastAsia="zh-CN"/>
              </w:rPr>
              <w:t>Values</w:t>
            </w:r>
          </w:p>
        </w:tc>
      </w:tr>
      <w:tr w:rsidR="00E85032" w:rsidRPr="00F21274" w14:paraId="0D99A4A2" w14:textId="77777777" w:rsidTr="00AF1414">
        <w:trPr>
          <w:trHeight w:val="98"/>
          <w:jc w:val="center"/>
        </w:trPr>
        <w:tc>
          <w:tcPr>
            <w:tcW w:w="4503" w:type="dxa"/>
            <w:tcBorders>
              <w:top w:val="single" w:sz="4" w:space="0" w:color="auto"/>
              <w:left w:val="single" w:sz="4" w:space="0" w:color="auto"/>
              <w:bottom w:val="single" w:sz="4" w:space="0" w:color="auto"/>
              <w:right w:val="single" w:sz="4" w:space="0" w:color="auto"/>
            </w:tcBorders>
            <w:hideMark/>
          </w:tcPr>
          <w:p w14:paraId="525529D5" w14:textId="77777777" w:rsidR="00E85032" w:rsidRPr="006C5F3C" w:rsidRDefault="00E85032" w:rsidP="00AF1414">
            <w:pPr>
              <w:pStyle w:val="Tabletext"/>
              <w:rPr>
                <w:rFonts w:eastAsia="SimSun"/>
              </w:rPr>
            </w:pPr>
            <w:r w:rsidRPr="006C5F3C">
              <w:rPr>
                <w:rFonts w:eastAsia="SimSun"/>
              </w:rPr>
              <w:t>Number of BS antenna elements</w:t>
            </w:r>
          </w:p>
        </w:tc>
        <w:tc>
          <w:tcPr>
            <w:tcW w:w="5301" w:type="dxa"/>
            <w:tcBorders>
              <w:top w:val="single" w:sz="4" w:space="0" w:color="auto"/>
              <w:left w:val="single" w:sz="4" w:space="0" w:color="auto"/>
              <w:bottom w:val="single" w:sz="4" w:space="0" w:color="auto"/>
              <w:right w:val="single" w:sz="4" w:space="0" w:color="auto"/>
            </w:tcBorders>
            <w:hideMark/>
          </w:tcPr>
          <w:p w14:paraId="2832BE27" w14:textId="77777777" w:rsidR="00E85032" w:rsidRPr="006C5F3C" w:rsidRDefault="00E85032" w:rsidP="00AF1414">
            <w:pPr>
              <w:pStyle w:val="Tabletext"/>
              <w:rPr>
                <w:rFonts w:eastAsiaTheme="minorEastAsia"/>
                <w:kern w:val="24"/>
                <w:lang w:eastAsia="zh-CN"/>
              </w:rPr>
            </w:pPr>
            <w:r w:rsidRPr="006C5F3C">
              <w:rPr>
                <w:kern w:val="24"/>
                <w:lang w:eastAsia="zh-CN"/>
              </w:rPr>
              <w:t>700 MHz: Up to 64 Tx/Rx</w:t>
            </w:r>
          </w:p>
          <w:p w14:paraId="3DB5959E" w14:textId="77777777" w:rsidR="00E85032" w:rsidRPr="006C5F3C" w:rsidRDefault="00E85032" w:rsidP="00AF1414">
            <w:pPr>
              <w:pStyle w:val="Tabletext"/>
              <w:rPr>
                <w:kern w:val="24"/>
              </w:rPr>
            </w:pPr>
            <w:r w:rsidRPr="006C5F3C">
              <w:rPr>
                <w:kern w:val="24"/>
              </w:rPr>
              <w:t>4 GHz / 30 GHz: Up to 256 Tx /Rx</w:t>
            </w:r>
          </w:p>
          <w:p w14:paraId="7A3991C1" w14:textId="77777777" w:rsidR="00E85032" w:rsidRPr="006C5F3C" w:rsidRDefault="00E85032" w:rsidP="00AF1414">
            <w:pPr>
              <w:pStyle w:val="Tabletext"/>
              <w:rPr>
                <w:rFonts w:asciiTheme="majorBidi" w:eastAsia="Dotum" w:hAnsiTheme="majorBidi" w:cstheme="majorBidi"/>
              </w:rPr>
            </w:pPr>
            <w:r w:rsidRPr="006C5F3C">
              <w:rPr>
                <w:kern w:val="24"/>
                <w:lang w:eastAsia="zh-CN"/>
              </w:rPr>
              <w:t>7</w:t>
            </w:r>
            <w:r w:rsidRPr="006C5F3C">
              <w:rPr>
                <w:kern w:val="24"/>
              </w:rPr>
              <w:t>0 GHz: Up to 1 024 Tx/Rx</w:t>
            </w:r>
          </w:p>
        </w:tc>
      </w:tr>
      <w:tr w:rsidR="00E85032" w:rsidRPr="00F21274" w14:paraId="3B88B7BD" w14:textId="77777777" w:rsidTr="00AF1414">
        <w:trPr>
          <w:trHeight w:val="798"/>
          <w:jc w:val="center"/>
        </w:trPr>
        <w:tc>
          <w:tcPr>
            <w:tcW w:w="4503" w:type="dxa"/>
            <w:tcBorders>
              <w:top w:val="single" w:sz="4" w:space="0" w:color="auto"/>
              <w:left w:val="single" w:sz="4" w:space="0" w:color="auto"/>
              <w:bottom w:val="single" w:sz="4" w:space="0" w:color="auto"/>
              <w:right w:val="single" w:sz="4" w:space="0" w:color="auto"/>
            </w:tcBorders>
            <w:hideMark/>
          </w:tcPr>
          <w:p w14:paraId="5A4D9691" w14:textId="77777777" w:rsidR="00E85032" w:rsidRPr="006C5F3C" w:rsidRDefault="00E85032" w:rsidP="00AF1414">
            <w:pPr>
              <w:pStyle w:val="Tabletext"/>
              <w:rPr>
                <w:rFonts w:eastAsiaTheme="minorEastAsia"/>
                <w:lang w:eastAsia="zh-CN"/>
              </w:rPr>
            </w:pPr>
            <w:r w:rsidRPr="006C5F3C">
              <w:rPr>
                <w:lang w:eastAsia="zh-CN"/>
              </w:rPr>
              <w:t>Number of U</w:t>
            </w:r>
            <w:r w:rsidRPr="006C5F3C">
              <w:rPr>
                <w:rFonts w:eastAsia="MS Mincho"/>
                <w:lang w:eastAsia="ja-JP"/>
              </w:rPr>
              <w:t>E</w:t>
            </w:r>
            <w:r w:rsidRPr="006C5F3C">
              <w:rPr>
                <w:lang w:eastAsia="zh-CN"/>
              </w:rPr>
              <w:t xml:space="preserve"> </w:t>
            </w:r>
            <w:r w:rsidRPr="006C5F3C">
              <w:rPr>
                <w:rFonts w:eastAsia="SimSun"/>
              </w:rPr>
              <w:t xml:space="preserve">antenna </w:t>
            </w:r>
            <w:r w:rsidRPr="006C5F3C">
              <w:rPr>
                <w:lang w:eastAsia="zh-CN"/>
              </w:rPr>
              <w:t>elements</w:t>
            </w:r>
          </w:p>
        </w:tc>
        <w:tc>
          <w:tcPr>
            <w:tcW w:w="5301" w:type="dxa"/>
            <w:tcBorders>
              <w:top w:val="single" w:sz="4" w:space="0" w:color="auto"/>
              <w:left w:val="single" w:sz="4" w:space="0" w:color="auto"/>
              <w:bottom w:val="single" w:sz="4" w:space="0" w:color="auto"/>
              <w:right w:val="single" w:sz="4" w:space="0" w:color="auto"/>
            </w:tcBorders>
            <w:hideMark/>
          </w:tcPr>
          <w:p w14:paraId="6D962FF6" w14:textId="77777777" w:rsidR="00E85032" w:rsidRPr="006C5F3C" w:rsidRDefault="00E85032" w:rsidP="00AF1414">
            <w:pPr>
              <w:pStyle w:val="Tabletext"/>
              <w:rPr>
                <w:rFonts w:eastAsia="Arial Unicode MS" w:cs="Arial Unicode MS"/>
              </w:rPr>
            </w:pPr>
            <w:r w:rsidRPr="006C5F3C">
              <w:rPr>
                <w:rFonts w:eastAsia="Arial Unicode MS" w:cs="Arial Unicode MS"/>
                <w:lang w:eastAsia="zh-CN"/>
              </w:rPr>
              <w:t xml:space="preserve">700 MHz / </w:t>
            </w:r>
            <w:r w:rsidRPr="006C5F3C">
              <w:rPr>
                <w:rFonts w:eastAsia="Arial Unicode MS" w:cs="Arial Unicode MS"/>
              </w:rPr>
              <w:t>4 GHz: Up to 8 Tx /Rx</w:t>
            </w:r>
          </w:p>
          <w:p w14:paraId="35BAD0CD" w14:textId="77777777" w:rsidR="00E85032" w:rsidRPr="006C5F3C" w:rsidRDefault="00E85032" w:rsidP="00AF1414">
            <w:pPr>
              <w:pStyle w:val="Tabletext"/>
              <w:rPr>
                <w:rFonts w:eastAsia="Arial Unicode MS" w:cs="Arial Unicode MS"/>
              </w:rPr>
            </w:pPr>
            <w:r w:rsidRPr="006C5F3C">
              <w:rPr>
                <w:rFonts w:eastAsia="Arial Unicode MS" w:cs="Arial Unicode MS"/>
              </w:rPr>
              <w:t>30 GHz: Up to 32 Tx /Rx</w:t>
            </w:r>
          </w:p>
          <w:p w14:paraId="5AE9199E" w14:textId="77777777" w:rsidR="00E85032" w:rsidRPr="006C5F3C" w:rsidRDefault="00E85032" w:rsidP="00AF1414">
            <w:pPr>
              <w:pStyle w:val="Tabletext"/>
              <w:rPr>
                <w:rFonts w:eastAsiaTheme="minorEastAsia"/>
                <w:kern w:val="24"/>
              </w:rPr>
            </w:pPr>
            <w:r w:rsidRPr="006C5F3C">
              <w:rPr>
                <w:rFonts w:eastAsia="Arial Unicode MS" w:cs="Arial Unicode MS"/>
              </w:rPr>
              <w:t>70 GHz: Up to 64 Tx /Rx</w:t>
            </w:r>
          </w:p>
        </w:tc>
      </w:tr>
    </w:tbl>
    <w:p w14:paraId="5C457C0E" w14:textId="77777777" w:rsidR="00834E5C" w:rsidRDefault="00834E5C" w:rsidP="00970368">
      <w:pPr>
        <w:rPr>
          <w:sz w:val="20"/>
          <w:szCs w:val="20"/>
          <w:lang w:val="en-GB"/>
        </w:rPr>
      </w:pPr>
    </w:p>
    <w:p w14:paraId="6BAA7278" w14:textId="6F000B93" w:rsidR="00E85032" w:rsidRDefault="00E85032" w:rsidP="00970368">
      <w:pPr>
        <w:rPr>
          <w:sz w:val="20"/>
          <w:szCs w:val="20"/>
          <w:lang w:val="en-GB"/>
        </w:rPr>
      </w:pPr>
      <w:r>
        <w:rPr>
          <w:sz w:val="20"/>
          <w:szCs w:val="20"/>
          <w:lang w:val="en-GB"/>
        </w:rPr>
        <w:t xml:space="preserve">Similarly to the peak data rate requirements, these remained theoretical and following the same logic, we think we should wait and let the market catch up with the requirements, and therefore we don’t see the need to increase the number of UE antennas in 700 MHz and 4 GHz. As for 7 GHz, we think the same requirement should apply </w:t>
      </w:r>
    </w:p>
    <w:p w14:paraId="0C79EC38" w14:textId="77777777" w:rsidR="00E85032" w:rsidRDefault="00E85032" w:rsidP="00970368">
      <w:pPr>
        <w:rPr>
          <w:sz w:val="20"/>
          <w:szCs w:val="20"/>
          <w:lang w:val="en-GB"/>
        </w:rPr>
      </w:pPr>
    </w:p>
    <w:p w14:paraId="76FF27E8" w14:textId="681B6E4D" w:rsidR="00E85032" w:rsidRPr="005E1DA7" w:rsidRDefault="00E85032" w:rsidP="005E1DA7">
      <w:pPr>
        <w:rPr>
          <w:b/>
          <w:bCs/>
          <w:sz w:val="20"/>
          <w:szCs w:val="20"/>
          <w:lang w:val="en-GB"/>
        </w:rPr>
      </w:pPr>
      <w:r w:rsidRPr="005E1DA7">
        <w:rPr>
          <w:b/>
          <w:bCs/>
          <w:sz w:val="20"/>
          <w:szCs w:val="20"/>
          <w:lang w:val="en-GB"/>
        </w:rPr>
        <w:t xml:space="preserve">Proposal 3: for 700 MHz, 4 GHz and 7 GHz the number of UE antenna elements is up to </w:t>
      </w:r>
      <w:r w:rsidR="005E1DA7" w:rsidRPr="005E1DA7">
        <w:rPr>
          <w:b/>
          <w:bCs/>
          <w:sz w:val="20"/>
          <w:szCs w:val="20"/>
          <w:lang w:val="en-GB"/>
        </w:rPr>
        <w:t>8 Tx /Rx.</w:t>
      </w:r>
    </w:p>
    <w:p w14:paraId="6A18189F" w14:textId="77777777" w:rsidR="00AA626C" w:rsidRDefault="00AA626C" w:rsidP="00970368">
      <w:pPr>
        <w:rPr>
          <w:sz w:val="20"/>
          <w:szCs w:val="20"/>
          <w:lang w:val="en-GB"/>
        </w:rPr>
      </w:pPr>
    </w:p>
    <w:p w14:paraId="01C95618" w14:textId="222E6C18" w:rsidR="00534760" w:rsidRDefault="00534760" w:rsidP="00970368">
      <w:pPr>
        <w:rPr>
          <w:sz w:val="20"/>
          <w:szCs w:val="20"/>
          <w:lang w:val="ru-RU"/>
        </w:rPr>
      </w:pPr>
      <w:r>
        <w:rPr>
          <w:sz w:val="20"/>
          <w:szCs w:val="20"/>
          <w:lang w:val="en-GB"/>
        </w:rPr>
        <w:t xml:space="preserve">With this in mind, we provide our view on the “legacy” TPR values in the Table 2 below. We are generally open to a discussion with regards to the actual numbers, but the overall “message” should be clear – 6G/IMT-2030 requirements should not be theoretical but rather address actual market needs. </w:t>
      </w:r>
    </w:p>
    <w:p w14:paraId="14F667D5" w14:textId="77777777" w:rsidR="006637C0" w:rsidRDefault="006637C0" w:rsidP="00970368">
      <w:pPr>
        <w:rPr>
          <w:sz w:val="20"/>
          <w:szCs w:val="20"/>
          <w:lang w:val="ru-RU"/>
        </w:rPr>
      </w:pPr>
    </w:p>
    <w:tbl>
      <w:tblPr>
        <w:tblStyle w:val="TableGrid"/>
        <w:tblW w:w="0" w:type="auto"/>
        <w:jc w:val="center"/>
        <w:tblLook w:val="04A0" w:firstRow="1" w:lastRow="0" w:firstColumn="1" w:lastColumn="0" w:noHBand="0" w:noVBand="1"/>
      </w:tblPr>
      <w:tblGrid>
        <w:gridCol w:w="3539"/>
        <w:gridCol w:w="5186"/>
      </w:tblGrid>
      <w:tr w:rsidR="006637C0" w:rsidRPr="00844B18" w14:paraId="77BFE1AC" w14:textId="77777777" w:rsidTr="004B58DE">
        <w:trPr>
          <w:trHeight w:val="405"/>
          <w:tblHeader/>
          <w:jc w:val="center"/>
        </w:trPr>
        <w:tc>
          <w:tcPr>
            <w:tcW w:w="3539" w:type="dxa"/>
          </w:tcPr>
          <w:p w14:paraId="4D3A39F4" w14:textId="12FE58EE" w:rsidR="006637C0" w:rsidRPr="004B58DE" w:rsidRDefault="004B58DE" w:rsidP="008B5F28">
            <w:pPr>
              <w:pStyle w:val="Tablehead"/>
              <w:rPr>
                <w:lang w:val="en-US"/>
              </w:rPr>
            </w:pPr>
            <w:r>
              <w:rPr>
                <w:lang w:val="en-US"/>
              </w:rPr>
              <w:t>TPR</w:t>
            </w:r>
          </w:p>
        </w:tc>
        <w:tc>
          <w:tcPr>
            <w:tcW w:w="5186" w:type="dxa"/>
          </w:tcPr>
          <w:p w14:paraId="4DCE2074" w14:textId="263A14F3" w:rsidR="006637C0" w:rsidRPr="00844B18" w:rsidRDefault="004B58DE" w:rsidP="008B5F28">
            <w:pPr>
              <w:pStyle w:val="Tablehead"/>
            </w:pPr>
            <w:r>
              <w:t>Value</w:t>
            </w:r>
          </w:p>
        </w:tc>
      </w:tr>
      <w:tr w:rsidR="004B58DE" w:rsidRPr="00D26E80" w14:paraId="1F516EEA" w14:textId="77777777" w:rsidTr="004B58DE">
        <w:trPr>
          <w:trHeight w:val="705"/>
          <w:jc w:val="center"/>
        </w:trPr>
        <w:tc>
          <w:tcPr>
            <w:tcW w:w="3539" w:type="dxa"/>
          </w:tcPr>
          <w:p w14:paraId="17417408" w14:textId="6D73B39C" w:rsidR="004B58DE" w:rsidRPr="00D26E80" w:rsidRDefault="004B58DE" w:rsidP="004B58DE">
            <w:pPr>
              <w:pStyle w:val="Tabletext"/>
            </w:pPr>
            <w:r w:rsidRPr="00ED113B">
              <w:rPr>
                <w:lang w:eastAsia="zh-CN"/>
              </w:rPr>
              <w:t>Peak data rate</w:t>
            </w:r>
          </w:p>
        </w:tc>
        <w:tc>
          <w:tcPr>
            <w:tcW w:w="5186" w:type="dxa"/>
          </w:tcPr>
          <w:p w14:paraId="450D03A3" w14:textId="47BEFBB3" w:rsidR="004B58DE" w:rsidRPr="00312225" w:rsidRDefault="004B58DE" w:rsidP="00EF5AFE">
            <w:pPr>
              <w:pStyle w:val="Tabletext"/>
              <w:rPr>
                <w:i/>
                <w:iCs/>
                <w:lang w:val="en-US" w:bidi="he-IL"/>
              </w:rPr>
            </w:pPr>
            <w:r>
              <w:rPr>
                <w:lang w:eastAsia="zh-CN"/>
              </w:rPr>
              <w:t>–</w:t>
            </w:r>
            <w:r>
              <w:rPr>
                <w:lang w:eastAsia="zh-CN"/>
              </w:rPr>
              <w:tab/>
            </w:r>
            <w:r w:rsidR="00EF5AFE" w:rsidRPr="00EF5AFE">
              <w:rPr>
                <w:lang w:val="en-US" w:eastAsia="zh-CN"/>
              </w:rPr>
              <w:t>Not to define a requirement, leave the value for peak data rate for the technology proponent to provide</w:t>
            </w:r>
          </w:p>
        </w:tc>
      </w:tr>
      <w:tr w:rsidR="004B58DE" w:rsidRPr="00D26E80" w14:paraId="5AB70426" w14:textId="77777777" w:rsidTr="004B58DE">
        <w:trPr>
          <w:trHeight w:val="324"/>
          <w:jc w:val="center"/>
        </w:trPr>
        <w:tc>
          <w:tcPr>
            <w:tcW w:w="3539" w:type="dxa"/>
          </w:tcPr>
          <w:p w14:paraId="1218D3AA" w14:textId="2C784012" w:rsidR="004B58DE" w:rsidRPr="00D26E80" w:rsidRDefault="004B58DE" w:rsidP="004B58DE">
            <w:pPr>
              <w:pStyle w:val="Tabletext"/>
              <w:rPr>
                <w:rFonts w:eastAsia="Gulim"/>
                <w:szCs w:val="24"/>
              </w:rPr>
            </w:pPr>
            <w:r w:rsidRPr="00ED113B">
              <w:rPr>
                <w:lang w:eastAsia="zh-CN"/>
              </w:rPr>
              <w:t xml:space="preserve">Peak spectral efficiency </w:t>
            </w:r>
          </w:p>
        </w:tc>
        <w:tc>
          <w:tcPr>
            <w:tcW w:w="5186" w:type="dxa"/>
          </w:tcPr>
          <w:p w14:paraId="12782350" w14:textId="496FC610" w:rsidR="004B58DE" w:rsidRPr="004B58DE" w:rsidRDefault="004B58DE" w:rsidP="004B58DE">
            <w:pPr>
              <w:pStyle w:val="Tabletext"/>
            </w:pPr>
            <w:r w:rsidRPr="004B58DE">
              <w:t>–</w:t>
            </w:r>
            <w:r w:rsidRPr="004B58DE">
              <w:tab/>
              <w:t xml:space="preserve">Downlink peak spectral efficiency is </w:t>
            </w:r>
            <w:proofErr w:type="gramStart"/>
            <w:r w:rsidRPr="004B58DE">
              <w:t>45 bit</w:t>
            </w:r>
            <w:proofErr w:type="gramEnd"/>
            <w:r w:rsidRPr="004B58DE">
              <w:t>/s/Hz.</w:t>
            </w:r>
          </w:p>
          <w:p w14:paraId="17DB7F80" w14:textId="600E2376" w:rsidR="004B58DE" w:rsidRPr="004B58DE" w:rsidRDefault="004B58DE" w:rsidP="004B58DE">
            <w:pPr>
              <w:pStyle w:val="Tabletext"/>
            </w:pPr>
            <w:r w:rsidRPr="004B58DE">
              <w:t>–</w:t>
            </w:r>
            <w:r w:rsidRPr="004B58DE">
              <w:tab/>
              <w:t xml:space="preserve">Uplink peak spectral efficiency is </w:t>
            </w:r>
            <w:proofErr w:type="gramStart"/>
            <w:r w:rsidRPr="004B58DE">
              <w:t>22 bit</w:t>
            </w:r>
            <w:proofErr w:type="gramEnd"/>
            <w:r w:rsidRPr="004B58DE">
              <w:t>/s/Hz.</w:t>
            </w:r>
          </w:p>
        </w:tc>
      </w:tr>
      <w:tr w:rsidR="004B58DE" w:rsidRPr="00D26E80" w14:paraId="456A3241" w14:textId="77777777" w:rsidTr="004B58DE">
        <w:trPr>
          <w:trHeight w:val="324"/>
          <w:jc w:val="center"/>
        </w:trPr>
        <w:tc>
          <w:tcPr>
            <w:tcW w:w="3539" w:type="dxa"/>
          </w:tcPr>
          <w:p w14:paraId="3A271DEA" w14:textId="2D7056BA" w:rsidR="004B58DE" w:rsidRPr="00D26E80" w:rsidRDefault="004B58DE" w:rsidP="004B58DE">
            <w:pPr>
              <w:pStyle w:val="Tabletext"/>
            </w:pPr>
            <w:r w:rsidRPr="00ED113B">
              <w:rPr>
                <w:lang w:eastAsia="zh-CN"/>
              </w:rPr>
              <w:t xml:space="preserve">User experienced data rate </w:t>
            </w:r>
          </w:p>
        </w:tc>
        <w:tc>
          <w:tcPr>
            <w:tcW w:w="5186" w:type="dxa"/>
          </w:tcPr>
          <w:p w14:paraId="47B3EB4D" w14:textId="197342EE" w:rsidR="004B58DE" w:rsidRPr="004B58DE" w:rsidRDefault="004B58DE" w:rsidP="004B58DE">
            <w:pPr>
              <w:pStyle w:val="Tabletext"/>
            </w:pPr>
            <w:r w:rsidRPr="004B58DE">
              <w:t>–</w:t>
            </w:r>
            <w:r w:rsidRPr="004B58DE">
              <w:tab/>
              <w:t xml:space="preserve">Downlink user experienced data rate is 300 Mbit/s. </w:t>
            </w:r>
          </w:p>
          <w:p w14:paraId="4A4E07FB" w14:textId="77777777" w:rsidR="004B58DE" w:rsidRDefault="004B58DE" w:rsidP="004B58DE">
            <w:pPr>
              <w:pStyle w:val="Tabletext"/>
            </w:pPr>
            <w:r w:rsidRPr="004B58DE">
              <w:t>–</w:t>
            </w:r>
            <w:r w:rsidRPr="004B58DE">
              <w:tab/>
              <w:t xml:space="preserve">Uplink user experienced data rate is 200 Mbit/s. </w:t>
            </w:r>
          </w:p>
          <w:p w14:paraId="09B37A5F" w14:textId="1CE7A9B4" w:rsidR="00642A96" w:rsidRPr="00D26E80" w:rsidRDefault="00642A96" w:rsidP="004B58DE">
            <w:pPr>
              <w:pStyle w:val="Tabletext"/>
            </w:pPr>
            <w:r>
              <w:t>Note: there are proposals to redefine it, in which case the numbers would obviously change</w:t>
            </w:r>
            <w:r w:rsidR="00DD53ED">
              <w:t xml:space="preserve">; we are open to </w:t>
            </w:r>
            <w:proofErr w:type="spellStart"/>
            <w:r w:rsidR="00DD53ED">
              <w:t>redifing</w:t>
            </w:r>
            <w:proofErr w:type="spellEnd"/>
            <w:r w:rsidR="00DD53ED">
              <w:t xml:space="preserve"> this TPR.</w:t>
            </w:r>
          </w:p>
        </w:tc>
      </w:tr>
      <w:tr w:rsidR="004B58DE" w:rsidRPr="00D26E80" w14:paraId="3FBB62F6" w14:textId="77777777" w:rsidTr="004B58DE">
        <w:trPr>
          <w:trHeight w:val="324"/>
          <w:jc w:val="center"/>
        </w:trPr>
        <w:tc>
          <w:tcPr>
            <w:tcW w:w="3539" w:type="dxa"/>
          </w:tcPr>
          <w:p w14:paraId="1616B3BE" w14:textId="47B0EF9D" w:rsidR="004B58DE" w:rsidRPr="00D26E80" w:rsidRDefault="004B58DE" w:rsidP="004B58DE">
            <w:pPr>
              <w:pStyle w:val="Tabletext"/>
              <w:rPr>
                <w:rFonts w:eastAsia="Gulim"/>
                <w:szCs w:val="24"/>
              </w:rPr>
            </w:pPr>
            <w:r w:rsidRPr="00ED113B">
              <w:rPr>
                <w:lang w:eastAsia="zh-CN"/>
              </w:rPr>
              <w:lastRenderedPageBreak/>
              <w:t xml:space="preserve">5th percentile user spectral efficiency </w:t>
            </w:r>
          </w:p>
        </w:tc>
        <w:tc>
          <w:tcPr>
            <w:tcW w:w="5186" w:type="dxa"/>
          </w:tcPr>
          <w:p w14:paraId="7FFA487A" w14:textId="170E0B73" w:rsidR="004B58DE" w:rsidRPr="00D26E80" w:rsidRDefault="00E31EEB" w:rsidP="004B58DE">
            <w:pPr>
              <w:pStyle w:val="Tabletext"/>
              <w:rPr>
                <w:rFonts w:eastAsia="Gulim"/>
                <w:szCs w:val="24"/>
              </w:rPr>
            </w:pPr>
            <w:r>
              <w:rPr>
                <w:rFonts w:eastAsia="Gulim"/>
                <w:szCs w:val="24"/>
              </w:rPr>
              <w:t xml:space="preserve">1.5 times that of IMT-2020, value depends on the Test Environment </w:t>
            </w:r>
          </w:p>
        </w:tc>
      </w:tr>
      <w:tr w:rsidR="004B58DE" w:rsidRPr="00D26E80" w14:paraId="363C6984" w14:textId="77777777" w:rsidTr="004B58DE">
        <w:trPr>
          <w:trHeight w:val="324"/>
          <w:jc w:val="center"/>
        </w:trPr>
        <w:tc>
          <w:tcPr>
            <w:tcW w:w="3539" w:type="dxa"/>
          </w:tcPr>
          <w:p w14:paraId="12D04DC3" w14:textId="1A401BD3" w:rsidR="004B58DE" w:rsidRPr="00D26E80" w:rsidRDefault="004B58DE" w:rsidP="004B58DE">
            <w:pPr>
              <w:pStyle w:val="Tabletext"/>
              <w:rPr>
                <w:rFonts w:eastAsia="Gulim"/>
                <w:szCs w:val="24"/>
              </w:rPr>
            </w:pPr>
            <w:r w:rsidRPr="00ED113B">
              <w:rPr>
                <w:lang w:eastAsia="zh-CN"/>
              </w:rPr>
              <w:t xml:space="preserve">Average spectral efficiency </w:t>
            </w:r>
          </w:p>
        </w:tc>
        <w:tc>
          <w:tcPr>
            <w:tcW w:w="5186" w:type="dxa"/>
          </w:tcPr>
          <w:p w14:paraId="5C43F5E0" w14:textId="098BB6FA" w:rsidR="004B58DE" w:rsidRPr="00D26E80" w:rsidRDefault="00E31EEB" w:rsidP="004B58DE">
            <w:pPr>
              <w:pStyle w:val="Tabletext"/>
              <w:rPr>
                <w:rFonts w:eastAsia="Gulim"/>
                <w:szCs w:val="24"/>
              </w:rPr>
            </w:pPr>
            <w:r>
              <w:rPr>
                <w:rFonts w:eastAsia="Gulim"/>
                <w:szCs w:val="24"/>
              </w:rPr>
              <w:t>1.5 times that of IMT-2020, value depends on the Test Environment</w:t>
            </w:r>
          </w:p>
        </w:tc>
      </w:tr>
      <w:tr w:rsidR="004B58DE" w:rsidRPr="00D26E80" w14:paraId="6880095F" w14:textId="77777777" w:rsidTr="004B58DE">
        <w:trPr>
          <w:trHeight w:val="324"/>
          <w:jc w:val="center"/>
        </w:trPr>
        <w:tc>
          <w:tcPr>
            <w:tcW w:w="3539" w:type="dxa"/>
          </w:tcPr>
          <w:p w14:paraId="46A8D04F" w14:textId="02A2A6EF" w:rsidR="004B58DE" w:rsidRPr="00D26E80" w:rsidRDefault="004B58DE" w:rsidP="004B58DE">
            <w:pPr>
              <w:pStyle w:val="Tabletext"/>
              <w:rPr>
                <w:rFonts w:eastAsia="Gulim"/>
                <w:szCs w:val="24"/>
              </w:rPr>
            </w:pPr>
            <w:r w:rsidRPr="00ED113B">
              <w:rPr>
                <w:lang w:eastAsia="zh-CN"/>
              </w:rPr>
              <w:t>Energy efficiency</w:t>
            </w:r>
          </w:p>
        </w:tc>
        <w:tc>
          <w:tcPr>
            <w:tcW w:w="5186" w:type="dxa"/>
          </w:tcPr>
          <w:p w14:paraId="554C3AFE" w14:textId="43178C18" w:rsidR="004B58DE" w:rsidRPr="00D26E80" w:rsidRDefault="00FF21FA" w:rsidP="004B58DE">
            <w:pPr>
              <w:pStyle w:val="Tabletext"/>
              <w:rPr>
                <w:rFonts w:eastAsia="Gulim"/>
                <w:szCs w:val="24"/>
              </w:rPr>
            </w:pPr>
            <w:r>
              <w:rPr>
                <w:rFonts w:eastAsia="Gulim"/>
                <w:szCs w:val="24"/>
              </w:rPr>
              <w:t>Use power models for network and UE EE TPR, value TBD</w:t>
            </w:r>
            <w:r w:rsidR="00A10787">
              <w:rPr>
                <w:rFonts w:eastAsia="Gulim"/>
                <w:szCs w:val="24"/>
              </w:rPr>
              <w:t xml:space="preserve"> </w:t>
            </w:r>
          </w:p>
        </w:tc>
      </w:tr>
      <w:tr w:rsidR="004B58DE" w:rsidRPr="00D26E80" w14:paraId="4D4E440E" w14:textId="77777777" w:rsidTr="004B58DE">
        <w:trPr>
          <w:trHeight w:val="315"/>
          <w:jc w:val="center"/>
        </w:trPr>
        <w:tc>
          <w:tcPr>
            <w:tcW w:w="3539" w:type="dxa"/>
          </w:tcPr>
          <w:p w14:paraId="12F47F52" w14:textId="76D63B16" w:rsidR="004B58DE" w:rsidRPr="00D26E80" w:rsidRDefault="004B58DE" w:rsidP="004B58DE">
            <w:pPr>
              <w:pStyle w:val="Tabletext"/>
              <w:rPr>
                <w:rFonts w:eastAsia="Gulim"/>
                <w:szCs w:val="24"/>
              </w:rPr>
            </w:pPr>
            <w:r w:rsidRPr="00ED113B">
              <w:rPr>
                <w:lang w:eastAsia="zh-CN"/>
              </w:rPr>
              <w:t xml:space="preserve">Area traffic capacity  </w:t>
            </w:r>
          </w:p>
        </w:tc>
        <w:tc>
          <w:tcPr>
            <w:tcW w:w="5186" w:type="dxa"/>
          </w:tcPr>
          <w:p w14:paraId="48C51F4A" w14:textId="71CF12D8" w:rsidR="004B58DE" w:rsidRPr="00D26E80" w:rsidRDefault="004B58DE" w:rsidP="004B58DE">
            <w:pPr>
              <w:pStyle w:val="Tabletext"/>
            </w:pPr>
            <w:r w:rsidRPr="004B58DE">
              <w:rPr>
                <w:lang w:val="en-US" w:eastAsia="zh-CN"/>
              </w:rPr>
              <w:t>Area traffic capacity in downlink is 10 Mbit/s/m</w:t>
            </w:r>
          </w:p>
        </w:tc>
      </w:tr>
      <w:tr w:rsidR="004B58DE" w:rsidRPr="00D26E80" w14:paraId="0D94126B" w14:textId="77777777" w:rsidTr="004B58DE">
        <w:trPr>
          <w:trHeight w:val="324"/>
          <w:jc w:val="center"/>
        </w:trPr>
        <w:tc>
          <w:tcPr>
            <w:tcW w:w="3539" w:type="dxa"/>
          </w:tcPr>
          <w:p w14:paraId="4E95B5AF" w14:textId="557BDC65" w:rsidR="004B58DE" w:rsidRPr="00D26E80" w:rsidRDefault="004B58DE" w:rsidP="004B58DE">
            <w:pPr>
              <w:pStyle w:val="Tabletext"/>
            </w:pPr>
            <w:r w:rsidRPr="00ED113B">
              <w:rPr>
                <w:lang w:eastAsia="zh-CN"/>
              </w:rPr>
              <w:t>User plane latency</w:t>
            </w:r>
          </w:p>
        </w:tc>
        <w:tc>
          <w:tcPr>
            <w:tcW w:w="5186" w:type="dxa"/>
          </w:tcPr>
          <w:p w14:paraId="6067EA4A" w14:textId="3040C669" w:rsidR="004B58DE" w:rsidRPr="00D26E80" w:rsidRDefault="004B58DE" w:rsidP="004B58DE">
            <w:pPr>
              <w:pStyle w:val="Tabletext"/>
            </w:pPr>
            <w:r>
              <w:rPr>
                <w:lang w:eastAsia="zh-CN"/>
              </w:rPr>
              <w:t>1ms</w:t>
            </w:r>
          </w:p>
        </w:tc>
      </w:tr>
      <w:tr w:rsidR="004B58DE" w:rsidRPr="00D26E80" w14:paraId="5D4506FB" w14:textId="77777777" w:rsidTr="004B58DE">
        <w:trPr>
          <w:trHeight w:val="324"/>
          <w:jc w:val="center"/>
        </w:trPr>
        <w:tc>
          <w:tcPr>
            <w:tcW w:w="3539" w:type="dxa"/>
          </w:tcPr>
          <w:p w14:paraId="04935E2E" w14:textId="532DEF3C" w:rsidR="004B58DE" w:rsidRPr="00D26E80" w:rsidRDefault="004B58DE" w:rsidP="004B58DE">
            <w:pPr>
              <w:pStyle w:val="Tabletext"/>
              <w:rPr>
                <w:rFonts w:eastAsia="Gulim"/>
                <w:szCs w:val="24"/>
              </w:rPr>
            </w:pPr>
            <w:r w:rsidRPr="00ED113B">
              <w:rPr>
                <w:lang w:eastAsia="zh-CN"/>
              </w:rPr>
              <w:t>Control plane latency</w:t>
            </w:r>
          </w:p>
        </w:tc>
        <w:tc>
          <w:tcPr>
            <w:tcW w:w="5186" w:type="dxa"/>
          </w:tcPr>
          <w:p w14:paraId="2490ACE1" w14:textId="56EE4A8E" w:rsidR="004B58DE" w:rsidRPr="00D26E80" w:rsidRDefault="004B58DE" w:rsidP="004B58DE">
            <w:pPr>
              <w:pStyle w:val="Tabletext"/>
              <w:rPr>
                <w:rFonts w:eastAsia="Gulim"/>
                <w:szCs w:val="24"/>
              </w:rPr>
            </w:pPr>
            <w:r>
              <w:rPr>
                <w:lang w:eastAsia="zh-CN"/>
              </w:rPr>
              <w:t>15ms</w:t>
            </w:r>
          </w:p>
        </w:tc>
      </w:tr>
      <w:tr w:rsidR="004B58DE" w:rsidRPr="00D26E80" w14:paraId="19E28DA6" w14:textId="77777777" w:rsidTr="004B58DE">
        <w:trPr>
          <w:trHeight w:val="324"/>
          <w:jc w:val="center"/>
        </w:trPr>
        <w:tc>
          <w:tcPr>
            <w:tcW w:w="3539" w:type="dxa"/>
          </w:tcPr>
          <w:p w14:paraId="3C29C3D2" w14:textId="3CCC3AFF" w:rsidR="004B58DE" w:rsidRPr="00D26E80" w:rsidRDefault="004B58DE" w:rsidP="004B58DE">
            <w:pPr>
              <w:pStyle w:val="Tabletext"/>
            </w:pPr>
            <w:r w:rsidRPr="00ED113B">
              <w:rPr>
                <w:lang w:eastAsia="zh-CN"/>
              </w:rPr>
              <w:t>Connection density</w:t>
            </w:r>
          </w:p>
        </w:tc>
        <w:tc>
          <w:tcPr>
            <w:tcW w:w="5186" w:type="dxa"/>
          </w:tcPr>
          <w:p w14:paraId="294A13B3" w14:textId="7E38FC48" w:rsidR="004B58DE" w:rsidRPr="00D26E80" w:rsidRDefault="004B58DE" w:rsidP="004B58DE">
            <w:pPr>
              <w:pStyle w:val="Tabletext"/>
            </w:pPr>
            <w:r w:rsidRPr="008E4EBB">
              <w:t>10 000 000 devices per km</w:t>
            </w:r>
            <w:r w:rsidRPr="008E4EBB">
              <w:rPr>
                <w:vertAlign w:val="superscript"/>
              </w:rPr>
              <w:t>2</w:t>
            </w:r>
            <w:r w:rsidRPr="008E4EBB">
              <w:t>.</w:t>
            </w:r>
          </w:p>
        </w:tc>
      </w:tr>
      <w:tr w:rsidR="004B58DE" w:rsidRPr="00D26E80" w14:paraId="115B8E1C" w14:textId="77777777" w:rsidTr="004B58DE">
        <w:trPr>
          <w:trHeight w:val="324"/>
          <w:jc w:val="center"/>
        </w:trPr>
        <w:tc>
          <w:tcPr>
            <w:tcW w:w="3539" w:type="dxa"/>
          </w:tcPr>
          <w:p w14:paraId="2360E80E" w14:textId="576BB431" w:rsidR="004B58DE" w:rsidRPr="00D26E80" w:rsidRDefault="004B58DE" w:rsidP="004B58DE">
            <w:pPr>
              <w:pStyle w:val="Tabletext"/>
            </w:pPr>
            <w:r w:rsidRPr="00ED113B">
              <w:rPr>
                <w:lang w:eastAsia="zh-CN"/>
              </w:rPr>
              <w:t>Reliability</w:t>
            </w:r>
          </w:p>
        </w:tc>
        <w:tc>
          <w:tcPr>
            <w:tcW w:w="5186" w:type="dxa"/>
          </w:tcPr>
          <w:p w14:paraId="57B33741" w14:textId="6B335ADA" w:rsidR="004B58DE" w:rsidRPr="00D26E80" w:rsidRDefault="001013A0" w:rsidP="001013A0">
            <w:pPr>
              <w:pStyle w:val="Tabletext"/>
            </w:pPr>
            <w:r w:rsidRPr="001013A0">
              <w:rPr>
                <w:lang w:val="en-US" w:eastAsia="zh-CN"/>
              </w:rPr>
              <w:t>1-10</w:t>
            </w:r>
            <w:r w:rsidRPr="001013A0">
              <w:rPr>
                <w:vertAlign w:val="superscript"/>
                <w:lang w:val="en-US" w:eastAsia="zh-CN"/>
              </w:rPr>
              <w:t>−6</w:t>
            </w:r>
            <w:r w:rsidRPr="001013A0" w:rsidDel="00F77187">
              <w:rPr>
                <w:lang w:val="en-US" w:eastAsia="zh-CN"/>
              </w:rPr>
              <w:t xml:space="preserve"> </w:t>
            </w:r>
            <w:r w:rsidRPr="001013A0">
              <w:rPr>
                <w:lang w:val="en-US" w:eastAsia="zh-CN"/>
              </w:rPr>
              <w:t>success probability of transmitting a layer 2 PDU</w:t>
            </w:r>
          </w:p>
        </w:tc>
      </w:tr>
      <w:tr w:rsidR="004B58DE" w:rsidRPr="00D26E80" w14:paraId="1DB38C1C" w14:textId="77777777" w:rsidTr="004B58DE">
        <w:trPr>
          <w:trHeight w:val="324"/>
          <w:jc w:val="center"/>
        </w:trPr>
        <w:tc>
          <w:tcPr>
            <w:tcW w:w="3539" w:type="dxa"/>
          </w:tcPr>
          <w:p w14:paraId="00678551" w14:textId="68714C7F" w:rsidR="004B58DE" w:rsidRPr="00D26E80" w:rsidRDefault="004B58DE" w:rsidP="004B58DE">
            <w:pPr>
              <w:pStyle w:val="Tabletext"/>
              <w:rPr>
                <w:rFonts w:eastAsia="Gulim"/>
                <w:szCs w:val="24"/>
              </w:rPr>
            </w:pPr>
            <w:r w:rsidRPr="00ED113B">
              <w:rPr>
                <w:lang w:eastAsia="zh-CN"/>
              </w:rPr>
              <w:t>Mobility</w:t>
            </w:r>
          </w:p>
        </w:tc>
        <w:tc>
          <w:tcPr>
            <w:tcW w:w="5186" w:type="dxa"/>
          </w:tcPr>
          <w:p w14:paraId="2240AC03" w14:textId="77777777" w:rsidR="004B58DE" w:rsidRDefault="004B58DE" w:rsidP="004B58DE">
            <w:pPr>
              <w:pStyle w:val="Tabletext"/>
              <w:rPr>
                <w:lang w:eastAsia="zh-CN"/>
              </w:rPr>
            </w:pPr>
            <w:r>
              <w:rPr>
                <w:lang w:eastAsia="zh-CN"/>
              </w:rPr>
              <w:t>The following classes of mobility are defined:</w:t>
            </w:r>
          </w:p>
          <w:p w14:paraId="2613B4A0" w14:textId="77777777" w:rsidR="004B58DE" w:rsidRDefault="004B58DE" w:rsidP="004B58DE">
            <w:pPr>
              <w:pStyle w:val="Tabletext"/>
              <w:rPr>
                <w:lang w:eastAsia="zh-CN"/>
              </w:rPr>
            </w:pPr>
            <w:r>
              <w:rPr>
                <w:lang w:eastAsia="zh-CN"/>
              </w:rPr>
              <w:t>–</w:t>
            </w:r>
            <w:r>
              <w:rPr>
                <w:lang w:eastAsia="zh-CN"/>
              </w:rPr>
              <w:tab/>
              <w:t>Stationary: 0 km/h</w:t>
            </w:r>
          </w:p>
          <w:p w14:paraId="5D05272E" w14:textId="77777777" w:rsidR="004B58DE" w:rsidRDefault="004B58DE" w:rsidP="004B58DE">
            <w:pPr>
              <w:pStyle w:val="Tabletext"/>
              <w:rPr>
                <w:lang w:eastAsia="zh-CN"/>
              </w:rPr>
            </w:pPr>
            <w:r>
              <w:rPr>
                <w:lang w:eastAsia="zh-CN"/>
              </w:rPr>
              <w:t>–</w:t>
            </w:r>
            <w:r>
              <w:rPr>
                <w:lang w:eastAsia="zh-CN"/>
              </w:rPr>
              <w:tab/>
              <w:t>Pedestrian: 0 km/h to 10 km/h</w:t>
            </w:r>
          </w:p>
          <w:p w14:paraId="29BCED5F" w14:textId="77777777" w:rsidR="004B58DE" w:rsidRDefault="004B58DE" w:rsidP="004B58DE">
            <w:pPr>
              <w:pStyle w:val="Tabletext"/>
              <w:rPr>
                <w:lang w:eastAsia="zh-CN"/>
              </w:rPr>
            </w:pPr>
            <w:r>
              <w:rPr>
                <w:lang w:eastAsia="zh-CN"/>
              </w:rPr>
              <w:t>–</w:t>
            </w:r>
            <w:r>
              <w:rPr>
                <w:lang w:eastAsia="zh-CN"/>
              </w:rPr>
              <w:tab/>
              <w:t>Vehicular: 10 km/h to 120 km/h</w:t>
            </w:r>
          </w:p>
          <w:p w14:paraId="1E72304C" w14:textId="4FEB314C" w:rsidR="004B58DE" w:rsidRPr="00D26E80" w:rsidRDefault="004B58DE" w:rsidP="004B58DE">
            <w:pPr>
              <w:pStyle w:val="Tabletext"/>
            </w:pPr>
            <w:r>
              <w:rPr>
                <w:lang w:eastAsia="zh-CN"/>
              </w:rPr>
              <w:t>–</w:t>
            </w:r>
            <w:r>
              <w:rPr>
                <w:lang w:eastAsia="zh-CN"/>
              </w:rPr>
              <w:tab/>
              <w:t>High speed vehicular: 120 km/h to 500 km/h.</w:t>
            </w:r>
          </w:p>
        </w:tc>
      </w:tr>
      <w:tr w:rsidR="004B58DE" w:rsidRPr="00D26E80" w14:paraId="1D2277A0" w14:textId="77777777" w:rsidTr="004B58DE">
        <w:trPr>
          <w:trHeight w:val="324"/>
          <w:jc w:val="center"/>
        </w:trPr>
        <w:tc>
          <w:tcPr>
            <w:tcW w:w="3539" w:type="dxa"/>
          </w:tcPr>
          <w:p w14:paraId="0C12CE64" w14:textId="0CB360AF" w:rsidR="004B58DE" w:rsidRPr="00D26E80" w:rsidRDefault="004B58DE" w:rsidP="004B58DE">
            <w:pPr>
              <w:pStyle w:val="Tabletext"/>
              <w:rPr>
                <w:rFonts w:eastAsia="Gulim"/>
                <w:szCs w:val="24"/>
              </w:rPr>
            </w:pPr>
            <w:r w:rsidRPr="00ED113B">
              <w:rPr>
                <w:lang w:eastAsia="zh-CN"/>
              </w:rPr>
              <w:t>Mobility interruption time</w:t>
            </w:r>
          </w:p>
        </w:tc>
        <w:tc>
          <w:tcPr>
            <w:tcW w:w="5186" w:type="dxa"/>
          </w:tcPr>
          <w:p w14:paraId="488478FE" w14:textId="5D3442D4" w:rsidR="004B58DE" w:rsidRPr="00D26E80" w:rsidRDefault="00A10787" w:rsidP="00A10787">
            <w:pPr>
              <w:pStyle w:val="Tabletext"/>
              <w:tabs>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rFonts w:eastAsia="Gulim"/>
                <w:szCs w:val="24"/>
              </w:rPr>
            </w:pPr>
            <w:r>
              <w:rPr>
                <w:rFonts w:eastAsia="Gulim"/>
                <w:szCs w:val="24"/>
              </w:rPr>
              <w:t xml:space="preserve">0 </w:t>
            </w:r>
            <w:proofErr w:type="spellStart"/>
            <w:r>
              <w:rPr>
                <w:rFonts w:eastAsia="Gulim"/>
                <w:szCs w:val="24"/>
              </w:rPr>
              <w:t>ms</w:t>
            </w:r>
            <w:proofErr w:type="spellEnd"/>
          </w:p>
        </w:tc>
      </w:tr>
    </w:tbl>
    <w:p w14:paraId="53DFD6A4" w14:textId="2F465691" w:rsidR="006637C0" w:rsidRDefault="00A10787" w:rsidP="00A10787">
      <w:pPr>
        <w:pStyle w:val="Caption"/>
        <w:rPr>
          <w:sz w:val="20"/>
          <w:szCs w:val="20"/>
        </w:rPr>
      </w:pPr>
      <w:r>
        <w:t xml:space="preserve">Table </w:t>
      </w:r>
      <w:fldSimple w:instr=" SEQ Table \* ARABIC ">
        <w:r w:rsidR="00515A8A">
          <w:rPr>
            <w:noProof/>
          </w:rPr>
          <w:t>2</w:t>
        </w:r>
      </w:fldSimple>
      <w:r>
        <w:t>: Proposed values for "legacy" TPRs</w:t>
      </w:r>
    </w:p>
    <w:p w14:paraId="31C67DAB" w14:textId="77777777" w:rsidR="00A10787" w:rsidRDefault="00E31EEB" w:rsidP="00970368">
      <w:pPr>
        <w:rPr>
          <w:sz w:val="20"/>
          <w:szCs w:val="20"/>
        </w:rPr>
      </w:pPr>
      <w:r>
        <w:rPr>
          <w:sz w:val="20"/>
          <w:szCs w:val="20"/>
        </w:rPr>
        <w:t>NOTE</w:t>
      </w:r>
      <w:r w:rsidR="00A10787">
        <w:rPr>
          <w:sz w:val="20"/>
          <w:szCs w:val="20"/>
        </w:rPr>
        <w:t>s</w:t>
      </w:r>
      <w:r>
        <w:rPr>
          <w:sz w:val="20"/>
          <w:szCs w:val="20"/>
        </w:rPr>
        <w:t xml:space="preserve">: </w:t>
      </w:r>
    </w:p>
    <w:p w14:paraId="52AAB57A" w14:textId="4CC1AD0F" w:rsidR="00642A96" w:rsidRPr="00642A96" w:rsidRDefault="00642A96" w:rsidP="00A10787">
      <w:pPr>
        <w:pStyle w:val="ListParagraph"/>
        <w:numPr>
          <w:ilvl w:val="0"/>
          <w:numId w:val="28"/>
        </w:numPr>
        <w:ind w:leftChars="0"/>
        <w:rPr>
          <w:szCs w:val="20"/>
          <w:lang w:val="en-US"/>
        </w:rPr>
      </w:pPr>
      <w:r>
        <w:rPr>
          <w:szCs w:val="20"/>
          <w:lang w:val="en-US"/>
        </w:rPr>
        <w:t xml:space="preserve">There are proposals to redefine the </w:t>
      </w:r>
      <w:r w:rsidRPr="00ED113B">
        <w:t>User experienced data rate</w:t>
      </w:r>
      <w:r>
        <w:t xml:space="preserve">, </w:t>
      </w:r>
      <w:r w:rsidR="00B44B45">
        <w:t xml:space="preserve">which would obviously impact the numbers (our inputs assume the legacy </w:t>
      </w:r>
      <w:proofErr w:type="gramStart"/>
      <w:r w:rsidR="00B44B45">
        <w:t>definition,</w:t>
      </w:r>
      <w:proofErr w:type="gramEnd"/>
      <w:r w:rsidR="00B44B45">
        <w:t xml:space="preserve"> however we are not opposed to redefine it as we acknowledge the considers that have been raised with the legacy definition).</w:t>
      </w:r>
    </w:p>
    <w:p w14:paraId="2A1B57A3" w14:textId="3C4232FC" w:rsidR="00E31EEB" w:rsidRPr="00A10787" w:rsidRDefault="00A10787" w:rsidP="00A10787">
      <w:pPr>
        <w:pStyle w:val="ListParagraph"/>
        <w:numPr>
          <w:ilvl w:val="0"/>
          <w:numId w:val="28"/>
        </w:numPr>
        <w:ind w:leftChars="0"/>
        <w:rPr>
          <w:szCs w:val="20"/>
          <w:lang w:val="en-US"/>
        </w:rPr>
      </w:pPr>
      <w:proofErr w:type="gramStart"/>
      <w:r>
        <w:rPr>
          <w:szCs w:val="20"/>
        </w:rPr>
        <w:t>S</w:t>
      </w:r>
      <w:r w:rsidR="00E31EEB" w:rsidRPr="00A10787">
        <w:rPr>
          <w:szCs w:val="20"/>
        </w:rPr>
        <w:t>ome values,</w:t>
      </w:r>
      <w:proofErr w:type="gramEnd"/>
      <w:r w:rsidR="00E31EEB" w:rsidRPr="00A10787">
        <w:rPr>
          <w:szCs w:val="20"/>
        </w:rPr>
        <w:t xml:space="preserve"> are to be evaluated by inspection and therefore do not depend on a Test Environment (TE), </w:t>
      </w:r>
      <w:r w:rsidRPr="00A10787">
        <w:rPr>
          <w:szCs w:val="20"/>
        </w:rPr>
        <w:t xml:space="preserve">yet </w:t>
      </w:r>
      <w:r w:rsidR="00E31EEB" w:rsidRPr="00A10787">
        <w:rPr>
          <w:szCs w:val="20"/>
        </w:rPr>
        <w:t xml:space="preserve">to be defined by ITU-R WP5D. Some others, though, specifically those to be evaluated by simulations in a yet-to-be-defined TE, naturally depend on the simulation assumptions in the TE. Therefore, for those TPRs where the value depends on the TE, instead of providing a number (which is not </w:t>
      </w:r>
      <w:r w:rsidRPr="00A10787">
        <w:rPr>
          <w:szCs w:val="20"/>
        </w:rPr>
        <w:t>possible without knowing the details of a TE), we provide a relative value (relative to the corresponding IMT-2020 values).</w:t>
      </w:r>
    </w:p>
    <w:p w14:paraId="60779DF2" w14:textId="77777777" w:rsidR="00A10787" w:rsidRPr="00A10787" w:rsidRDefault="00A10787" w:rsidP="00A10787">
      <w:pPr>
        <w:rPr>
          <w:sz w:val="20"/>
          <w:szCs w:val="20"/>
        </w:rPr>
      </w:pPr>
    </w:p>
    <w:p w14:paraId="7F9DDF86" w14:textId="578365A1" w:rsidR="00A10787" w:rsidRPr="00A10787" w:rsidRDefault="00A10787" w:rsidP="00A10787">
      <w:pPr>
        <w:rPr>
          <w:b/>
          <w:bCs/>
          <w:sz w:val="20"/>
          <w:szCs w:val="20"/>
        </w:rPr>
      </w:pPr>
      <w:r w:rsidRPr="00A10787">
        <w:rPr>
          <w:b/>
          <w:bCs/>
          <w:sz w:val="20"/>
          <w:szCs w:val="20"/>
        </w:rPr>
        <w:t xml:space="preserve">Proposal </w:t>
      </w:r>
      <w:r w:rsidR="004E2654">
        <w:rPr>
          <w:b/>
          <w:bCs/>
          <w:sz w:val="20"/>
          <w:szCs w:val="20"/>
        </w:rPr>
        <w:t>4</w:t>
      </w:r>
      <w:r w:rsidRPr="00A10787">
        <w:rPr>
          <w:b/>
          <w:bCs/>
          <w:sz w:val="20"/>
          <w:szCs w:val="20"/>
        </w:rPr>
        <w:t>: to include the values provided in Table 2 in the TR and to communicate them to ITU-R WP5D.</w:t>
      </w:r>
    </w:p>
    <w:p w14:paraId="27D6818C" w14:textId="77777777" w:rsidR="00A10787" w:rsidRDefault="00A10787" w:rsidP="00A10787">
      <w:pPr>
        <w:rPr>
          <w:sz w:val="20"/>
          <w:szCs w:val="20"/>
        </w:rPr>
      </w:pPr>
    </w:p>
    <w:p w14:paraId="7C8D4085" w14:textId="23743150" w:rsidR="00970368" w:rsidRDefault="00970368" w:rsidP="00970368">
      <w:pPr>
        <w:pStyle w:val="Heading2"/>
      </w:pPr>
      <w:r>
        <w:t>New TPRs</w:t>
      </w:r>
    </w:p>
    <w:p w14:paraId="57441BE2" w14:textId="5E942CCD" w:rsidR="00EB78F3" w:rsidRDefault="00EB78F3" w:rsidP="00120F0E">
      <w:pPr>
        <w:rPr>
          <w:sz w:val="20"/>
          <w:szCs w:val="20"/>
        </w:rPr>
      </w:pPr>
      <w:r>
        <w:rPr>
          <w:sz w:val="20"/>
          <w:szCs w:val="20"/>
        </w:rPr>
        <w:t>In this section we discuss the new IMT-2030 TPRs, i.e. those not evaluated in IMT-2020</w:t>
      </w:r>
      <w:r w:rsidR="00120F0E">
        <w:rPr>
          <w:sz w:val="20"/>
          <w:szCs w:val="20"/>
        </w:rPr>
        <w:t xml:space="preserve">. As some of these have already been addressed either in RAN#107 or in the conference calls, here we focus on the remaining ones. </w:t>
      </w:r>
    </w:p>
    <w:p w14:paraId="7F08AE3A" w14:textId="77777777" w:rsidR="00EB78F3" w:rsidRDefault="00EB78F3" w:rsidP="006B2109">
      <w:pPr>
        <w:rPr>
          <w:sz w:val="20"/>
          <w:szCs w:val="20"/>
        </w:rPr>
      </w:pPr>
    </w:p>
    <w:p w14:paraId="5C97985D" w14:textId="7FDC636A" w:rsidR="00EB78F3" w:rsidRDefault="00A75C36" w:rsidP="00EB78F3">
      <w:pPr>
        <w:pStyle w:val="Heading3"/>
      </w:pPr>
      <w:r>
        <w:t xml:space="preserve"> </w:t>
      </w:r>
      <w:r w:rsidR="00EB78F3" w:rsidRPr="00EB78F3">
        <w:t>Positioning</w:t>
      </w:r>
    </w:p>
    <w:p w14:paraId="464F0188" w14:textId="7405A7AC" w:rsidR="00EB78F3" w:rsidRDefault="00EB78F3" w:rsidP="00EB78F3">
      <w:pPr>
        <w:rPr>
          <w:sz w:val="20"/>
          <w:szCs w:val="20"/>
        </w:rPr>
      </w:pPr>
      <w:r>
        <w:rPr>
          <w:sz w:val="20"/>
          <w:szCs w:val="20"/>
        </w:rPr>
        <w:t>Positioning</w:t>
      </w:r>
      <w:r w:rsidR="00D3242E">
        <w:rPr>
          <w:sz w:val="20"/>
          <w:szCs w:val="20"/>
        </w:rPr>
        <w:t xml:space="preserve"> is a new TPR as far as ITU-R evaluation is concerned, but it’s </w:t>
      </w:r>
      <w:proofErr w:type="gramStart"/>
      <w:r w:rsidR="00D3242E">
        <w:rPr>
          <w:sz w:val="20"/>
          <w:szCs w:val="20"/>
        </w:rPr>
        <w:t>definitely not</w:t>
      </w:r>
      <w:proofErr w:type="gramEnd"/>
      <w:r w:rsidR="00D3242E">
        <w:rPr>
          <w:sz w:val="20"/>
          <w:szCs w:val="20"/>
        </w:rPr>
        <w:t xml:space="preserve"> new to 3GPP technologies</w:t>
      </w:r>
      <w:r>
        <w:rPr>
          <w:sz w:val="20"/>
          <w:szCs w:val="20"/>
        </w:rPr>
        <w:t>.</w:t>
      </w:r>
      <w:r w:rsidR="00D3242E">
        <w:rPr>
          <w:sz w:val="20"/>
          <w:szCs w:val="20"/>
        </w:rPr>
        <w:t xml:space="preserve"> This makes the discussion easier, as we can refer to the positioning capabilities of 5</w:t>
      </w:r>
      <w:proofErr w:type="gramStart"/>
      <w:r w:rsidR="00D3242E">
        <w:rPr>
          <w:sz w:val="20"/>
          <w:szCs w:val="20"/>
        </w:rPr>
        <w:t>G</w:t>
      </w:r>
      <w:r w:rsidR="00EA33B8">
        <w:rPr>
          <w:sz w:val="20"/>
          <w:szCs w:val="20"/>
        </w:rPr>
        <w:t>,.</w:t>
      </w:r>
      <w:proofErr w:type="gramEnd"/>
      <w:r w:rsidR="00BC10C3">
        <w:rPr>
          <w:sz w:val="20"/>
          <w:szCs w:val="20"/>
        </w:rPr>
        <w:t xml:space="preserve"> Going beyond </w:t>
      </w:r>
      <w:r w:rsidR="008E13F2">
        <w:rPr>
          <w:sz w:val="20"/>
          <w:szCs w:val="20"/>
        </w:rPr>
        <w:t xml:space="preserve">the 5G capabilities </w:t>
      </w:r>
      <w:r w:rsidR="009C6BB3">
        <w:rPr>
          <w:sz w:val="20"/>
          <w:szCs w:val="20"/>
        </w:rPr>
        <w:t>for positioning should be justified with clear market use cases and requirements</w:t>
      </w:r>
      <w:r w:rsidR="00BC10C3">
        <w:rPr>
          <w:sz w:val="20"/>
          <w:szCs w:val="20"/>
        </w:rPr>
        <w:t xml:space="preserve">. </w:t>
      </w:r>
    </w:p>
    <w:p w14:paraId="7FEA1284" w14:textId="77777777" w:rsidR="009C6BB3" w:rsidRDefault="009C6BB3" w:rsidP="00EB78F3">
      <w:pPr>
        <w:rPr>
          <w:sz w:val="20"/>
          <w:szCs w:val="20"/>
        </w:rPr>
      </w:pPr>
    </w:p>
    <w:p w14:paraId="43B43815" w14:textId="4E20E612" w:rsidR="009C6BB3" w:rsidRPr="00C04B4C" w:rsidRDefault="009C6BB3" w:rsidP="00EB78F3">
      <w:pPr>
        <w:rPr>
          <w:b/>
          <w:bCs/>
          <w:sz w:val="20"/>
          <w:szCs w:val="20"/>
        </w:rPr>
      </w:pPr>
      <w:r w:rsidRPr="00C04B4C">
        <w:rPr>
          <w:b/>
          <w:bCs/>
          <w:sz w:val="20"/>
          <w:szCs w:val="20"/>
        </w:rPr>
        <w:t xml:space="preserve">Observation </w:t>
      </w:r>
      <w:r w:rsidR="00193800">
        <w:rPr>
          <w:b/>
          <w:bCs/>
          <w:sz w:val="20"/>
          <w:szCs w:val="20"/>
        </w:rPr>
        <w:t>2</w:t>
      </w:r>
      <w:r w:rsidRPr="00C04B4C">
        <w:rPr>
          <w:b/>
          <w:bCs/>
          <w:sz w:val="20"/>
          <w:szCs w:val="20"/>
        </w:rPr>
        <w:t>: IMT-2030 positioning accuracy requirements can be based on 5G positioning requirements; going beyond those should be justified with clear market use cases and requirements.</w:t>
      </w:r>
    </w:p>
    <w:p w14:paraId="354B524A" w14:textId="77777777" w:rsidR="00EA33B8" w:rsidRDefault="00EA33B8" w:rsidP="00EB78F3">
      <w:pPr>
        <w:rPr>
          <w:sz w:val="20"/>
          <w:szCs w:val="20"/>
        </w:rPr>
      </w:pPr>
    </w:p>
    <w:p w14:paraId="17023373" w14:textId="78B5BF9E" w:rsidR="00073CCA" w:rsidRDefault="00073CCA" w:rsidP="00EB78F3">
      <w:pPr>
        <w:rPr>
          <w:sz w:val="20"/>
          <w:szCs w:val="20"/>
        </w:rPr>
      </w:pPr>
      <w:r>
        <w:rPr>
          <w:sz w:val="20"/>
          <w:szCs w:val="20"/>
        </w:rPr>
        <w:lastRenderedPageBreak/>
        <w:t xml:space="preserve">The bulk of the work on positioning was carried out in 3GPP Release-16 and Release-17. According to the Release-17 TR </w:t>
      </w:r>
      <w:r w:rsidR="003B34FF">
        <w:rPr>
          <w:sz w:val="20"/>
          <w:szCs w:val="20"/>
        </w:rPr>
        <w:t>38.857 [5]</w:t>
      </w:r>
      <w:r w:rsidR="002376B9">
        <w:rPr>
          <w:sz w:val="20"/>
          <w:szCs w:val="20"/>
        </w:rPr>
        <w:t>, the target positioning accuracy requirements were:</w:t>
      </w:r>
    </w:p>
    <w:p w14:paraId="6FAF1E9C" w14:textId="3A21FC0D" w:rsidR="002376B9" w:rsidRDefault="002376B9" w:rsidP="002376B9">
      <w:pPr>
        <w:pStyle w:val="ListParagraph"/>
        <w:numPr>
          <w:ilvl w:val="0"/>
          <w:numId w:val="35"/>
        </w:numPr>
        <w:ind w:leftChars="0"/>
        <w:rPr>
          <w:szCs w:val="20"/>
        </w:rPr>
      </w:pPr>
      <w:r>
        <w:rPr>
          <w:szCs w:val="20"/>
        </w:rPr>
        <w:t>For commercial use cases</w:t>
      </w:r>
    </w:p>
    <w:p w14:paraId="1FB49D57" w14:textId="5C4832C0" w:rsidR="00803B37" w:rsidRPr="00803B37" w:rsidRDefault="00803B37" w:rsidP="00803B37">
      <w:pPr>
        <w:pStyle w:val="ListParagraph"/>
        <w:numPr>
          <w:ilvl w:val="1"/>
          <w:numId w:val="35"/>
        </w:numPr>
        <w:ind w:left="1320"/>
        <w:rPr>
          <w:szCs w:val="20"/>
          <w:lang w:val="en-IL"/>
        </w:rPr>
      </w:pPr>
      <w:r w:rsidRPr="00803B37">
        <w:rPr>
          <w:szCs w:val="20"/>
          <w:lang w:val="en-IL"/>
        </w:rPr>
        <w:t>Horizontal position accuracy (&lt; 1 m) for 90% of UEs</w:t>
      </w:r>
    </w:p>
    <w:p w14:paraId="5FEFD680" w14:textId="46E60EAC" w:rsidR="002376B9" w:rsidRDefault="00803B37" w:rsidP="00803B37">
      <w:pPr>
        <w:pStyle w:val="ListParagraph"/>
        <w:numPr>
          <w:ilvl w:val="1"/>
          <w:numId w:val="35"/>
        </w:numPr>
        <w:ind w:left="1320"/>
        <w:rPr>
          <w:szCs w:val="20"/>
          <w:lang w:val="en-IL"/>
        </w:rPr>
      </w:pPr>
      <w:r w:rsidRPr="00803B37">
        <w:rPr>
          <w:szCs w:val="20"/>
          <w:lang w:val="en-IL"/>
        </w:rPr>
        <w:t>Vertical position accuracy (&lt; 3 m) for 90% of Ues</w:t>
      </w:r>
    </w:p>
    <w:p w14:paraId="7B6AC7BC" w14:textId="6BB3D6D1" w:rsidR="00803B37" w:rsidRDefault="00803B37" w:rsidP="00803B37">
      <w:pPr>
        <w:pStyle w:val="ListParagraph"/>
        <w:numPr>
          <w:ilvl w:val="0"/>
          <w:numId w:val="35"/>
        </w:numPr>
        <w:ind w:leftChars="0"/>
        <w:rPr>
          <w:szCs w:val="20"/>
          <w:lang w:val="en-IL"/>
        </w:rPr>
      </w:pPr>
      <w:r>
        <w:rPr>
          <w:szCs w:val="20"/>
          <w:lang w:val="en-IL"/>
        </w:rPr>
        <w:t>For Industrial-IoT use cases</w:t>
      </w:r>
    </w:p>
    <w:p w14:paraId="05A7F1F4" w14:textId="0F7ACBBB" w:rsidR="00C40418" w:rsidRPr="00C40418" w:rsidRDefault="00C40418" w:rsidP="00C40418">
      <w:pPr>
        <w:pStyle w:val="ListParagraph"/>
        <w:numPr>
          <w:ilvl w:val="0"/>
          <w:numId w:val="35"/>
        </w:numPr>
        <w:ind w:left="1320"/>
        <w:rPr>
          <w:szCs w:val="20"/>
          <w:lang w:val="en-IL"/>
        </w:rPr>
      </w:pPr>
      <w:r w:rsidRPr="00C40418">
        <w:rPr>
          <w:szCs w:val="20"/>
          <w:lang w:val="en-IL"/>
        </w:rPr>
        <w:t>Horizontal position accuracy (&lt; 0.2 m) for 90% of UEs</w:t>
      </w:r>
    </w:p>
    <w:p w14:paraId="16F9CB0D" w14:textId="641D14F9" w:rsidR="00C40418" w:rsidRPr="00C40418" w:rsidRDefault="00C40418" w:rsidP="00C40418">
      <w:pPr>
        <w:pStyle w:val="ListParagraph"/>
        <w:numPr>
          <w:ilvl w:val="0"/>
          <w:numId w:val="35"/>
        </w:numPr>
        <w:ind w:left="1320"/>
        <w:rPr>
          <w:szCs w:val="20"/>
          <w:lang w:val="en-IL"/>
        </w:rPr>
      </w:pPr>
      <w:r w:rsidRPr="00C40418">
        <w:rPr>
          <w:szCs w:val="20"/>
          <w:lang w:val="en-IL"/>
        </w:rPr>
        <w:t>Vertical position accuracy (&lt; 1 m) for 90% of UEs</w:t>
      </w:r>
    </w:p>
    <w:p w14:paraId="193DB0C2" w14:textId="77777777" w:rsidR="002376B9" w:rsidRDefault="002376B9" w:rsidP="00EB78F3">
      <w:pPr>
        <w:rPr>
          <w:sz w:val="20"/>
          <w:szCs w:val="20"/>
        </w:rPr>
      </w:pPr>
    </w:p>
    <w:p w14:paraId="001FDCA4" w14:textId="30348F6E" w:rsidR="00C40418" w:rsidRDefault="00AB125A" w:rsidP="006C58FE">
      <w:pPr>
        <w:rPr>
          <w:sz w:val="20"/>
          <w:szCs w:val="20"/>
        </w:rPr>
      </w:pPr>
      <w:r>
        <w:rPr>
          <w:sz w:val="20"/>
          <w:szCs w:val="20"/>
        </w:rPr>
        <w:t xml:space="preserve">In Release-18, according to TR 38.859 [6], </w:t>
      </w:r>
      <w:proofErr w:type="gramStart"/>
      <w:r>
        <w:rPr>
          <w:sz w:val="20"/>
          <w:szCs w:val="20"/>
        </w:rPr>
        <w:t>a number of</w:t>
      </w:r>
      <w:proofErr w:type="gramEnd"/>
      <w:r>
        <w:rPr>
          <w:sz w:val="20"/>
          <w:szCs w:val="20"/>
        </w:rPr>
        <w:t xml:space="preserve"> positioning methods (such as </w:t>
      </w:r>
      <w:r w:rsidR="006C58FE" w:rsidRPr="006C58FE">
        <w:rPr>
          <w:sz w:val="20"/>
          <w:szCs w:val="20"/>
        </w:rPr>
        <w:t>NR carrier phase positioning</w:t>
      </w:r>
      <w:r w:rsidR="006C58FE">
        <w:rPr>
          <w:sz w:val="20"/>
          <w:szCs w:val="20"/>
        </w:rPr>
        <w:t xml:space="preserve">) have been added, which can significantly improve positioning accuracy beyond the Release-17 numbers. It is important to note, though, that such </w:t>
      </w:r>
      <w:r w:rsidR="00A96615">
        <w:rPr>
          <w:sz w:val="20"/>
          <w:szCs w:val="20"/>
        </w:rPr>
        <w:t>high accuracy is not intended for commercial (and neither public safety) use cases.</w:t>
      </w:r>
    </w:p>
    <w:p w14:paraId="5C24B7A8" w14:textId="77777777" w:rsidR="00D90D94" w:rsidRDefault="00D90D94" w:rsidP="006C58FE">
      <w:pPr>
        <w:rPr>
          <w:sz w:val="20"/>
          <w:szCs w:val="20"/>
        </w:rPr>
      </w:pPr>
    </w:p>
    <w:p w14:paraId="5A60EEBE" w14:textId="43EE52B5" w:rsidR="00D448BD" w:rsidRDefault="00D448BD" w:rsidP="00682B83">
      <w:pPr>
        <w:rPr>
          <w:sz w:val="20"/>
          <w:szCs w:val="20"/>
        </w:rPr>
      </w:pPr>
      <w:r>
        <w:rPr>
          <w:sz w:val="20"/>
          <w:szCs w:val="20"/>
        </w:rPr>
        <w:t xml:space="preserve">The </w:t>
      </w:r>
      <w:r w:rsidR="000B669B">
        <w:rPr>
          <w:sz w:val="20"/>
          <w:szCs w:val="20"/>
        </w:rPr>
        <w:t>Release-18 positioning accuracy requirements can be found in TS 22.104 [7]</w:t>
      </w:r>
      <w:r w:rsidR="007F7E0C">
        <w:rPr>
          <w:sz w:val="20"/>
          <w:szCs w:val="20"/>
        </w:rPr>
        <w:t xml:space="preserve">. The most extreme requirements are for </w:t>
      </w:r>
      <w:r w:rsidR="00682B83">
        <w:rPr>
          <w:sz w:val="20"/>
          <w:szCs w:val="20"/>
        </w:rPr>
        <w:t>the “</w:t>
      </w:r>
      <w:r w:rsidR="00682B83" w:rsidRPr="00682B83">
        <w:rPr>
          <w:sz w:val="20"/>
          <w:szCs w:val="20"/>
        </w:rPr>
        <w:t>Inbound logistics for</w:t>
      </w:r>
      <w:r w:rsidR="00682B83">
        <w:rPr>
          <w:sz w:val="20"/>
          <w:szCs w:val="20"/>
        </w:rPr>
        <w:t xml:space="preserve"> </w:t>
      </w:r>
      <w:r w:rsidR="00682B83" w:rsidRPr="00682B83">
        <w:rPr>
          <w:sz w:val="20"/>
          <w:szCs w:val="20"/>
        </w:rPr>
        <w:t>manufacturing (for</w:t>
      </w:r>
      <w:r w:rsidR="00682B83">
        <w:rPr>
          <w:sz w:val="20"/>
          <w:szCs w:val="20"/>
        </w:rPr>
        <w:t xml:space="preserve"> </w:t>
      </w:r>
      <w:r w:rsidR="00682B83" w:rsidRPr="00682B83">
        <w:rPr>
          <w:sz w:val="20"/>
          <w:szCs w:val="20"/>
        </w:rPr>
        <w:t>storage of goods)</w:t>
      </w:r>
      <w:r w:rsidR="00682B83">
        <w:rPr>
          <w:sz w:val="20"/>
          <w:szCs w:val="20"/>
        </w:rPr>
        <w:t>:</w:t>
      </w:r>
    </w:p>
    <w:p w14:paraId="4A57C36C" w14:textId="1DECC92F" w:rsidR="00682B83" w:rsidRDefault="00FF4FC2" w:rsidP="00FF4FC2">
      <w:pPr>
        <w:pStyle w:val="ListParagraph"/>
        <w:numPr>
          <w:ilvl w:val="0"/>
          <w:numId w:val="36"/>
        </w:numPr>
        <w:ind w:leftChars="0"/>
        <w:rPr>
          <w:szCs w:val="20"/>
        </w:rPr>
      </w:pPr>
      <w:r w:rsidRPr="00C04B4C">
        <w:rPr>
          <w:szCs w:val="20"/>
        </w:rPr>
        <w:t>Horizontal accuracy: &lt; 20cm</w:t>
      </w:r>
    </w:p>
    <w:p w14:paraId="1BF6B209" w14:textId="249FAFAC" w:rsidR="00FF4FC2" w:rsidRPr="00C04B4C" w:rsidRDefault="00FF4FC2" w:rsidP="00C04B4C">
      <w:pPr>
        <w:pStyle w:val="ListParagraph"/>
        <w:numPr>
          <w:ilvl w:val="0"/>
          <w:numId w:val="36"/>
        </w:numPr>
        <w:ind w:leftChars="0"/>
        <w:rPr>
          <w:szCs w:val="20"/>
        </w:rPr>
      </w:pPr>
      <w:r>
        <w:rPr>
          <w:szCs w:val="20"/>
        </w:rPr>
        <w:t>Vertical accuracy: &lt; 20cm</w:t>
      </w:r>
    </w:p>
    <w:p w14:paraId="0D527F8D" w14:textId="77777777" w:rsidR="007F7E0C" w:rsidRDefault="007F7E0C" w:rsidP="006C58FE">
      <w:pPr>
        <w:rPr>
          <w:sz w:val="20"/>
          <w:szCs w:val="20"/>
        </w:rPr>
      </w:pPr>
    </w:p>
    <w:p w14:paraId="33396CD3" w14:textId="753DEA01" w:rsidR="00D90D94" w:rsidRDefault="00D90D94" w:rsidP="006C58FE">
      <w:pPr>
        <w:rPr>
          <w:sz w:val="20"/>
          <w:szCs w:val="20"/>
        </w:rPr>
      </w:pPr>
      <w:r>
        <w:rPr>
          <w:sz w:val="20"/>
          <w:szCs w:val="20"/>
        </w:rPr>
        <w:t xml:space="preserve">Therefore, in our view, the recommended positioning accuracy numbers depend on the </w:t>
      </w:r>
      <w:r w:rsidR="00C25191">
        <w:rPr>
          <w:sz w:val="20"/>
          <w:szCs w:val="20"/>
        </w:rPr>
        <w:t xml:space="preserve">Usage Scenario. If they are to be evaluated in a Test Environment </w:t>
      </w:r>
      <w:r w:rsidR="00920159">
        <w:rPr>
          <w:sz w:val="20"/>
          <w:szCs w:val="20"/>
        </w:rPr>
        <w:t xml:space="preserve">(TE) </w:t>
      </w:r>
      <w:r w:rsidR="00C25191">
        <w:rPr>
          <w:sz w:val="20"/>
          <w:szCs w:val="20"/>
        </w:rPr>
        <w:t xml:space="preserve">for </w:t>
      </w:r>
      <w:r w:rsidR="00551E36">
        <w:rPr>
          <w:sz w:val="20"/>
          <w:szCs w:val="20"/>
        </w:rPr>
        <w:t xml:space="preserve">a </w:t>
      </w:r>
      <w:r w:rsidR="00551E36" w:rsidRPr="00551E36">
        <w:rPr>
          <w:sz w:val="20"/>
          <w:szCs w:val="20"/>
        </w:rPr>
        <w:t>HRLLC</w:t>
      </w:r>
      <w:r w:rsidR="00551E36">
        <w:rPr>
          <w:sz w:val="20"/>
          <w:szCs w:val="20"/>
        </w:rPr>
        <w:t xml:space="preserve">, it is reasonable to target </w:t>
      </w:r>
      <w:r w:rsidR="00920159">
        <w:rPr>
          <w:sz w:val="20"/>
          <w:szCs w:val="20"/>
        </w:rPr>
        <w:t xml:space="preserve">the numbers achievable with Release-18 functionality. On the other hand, if IMT-2030 positioning is to be evaluated in a TE environment targeting commercial use cases (such as IC), it would be </w:t>
      </w:r>
      <w:r w:rsidR="00923285">
        <w:rPr>
          <w:sz w:val="20"/>
          <w:szCs w:val="20"/>
        </w:rPr>
        <w:t xml:space="preserve">reasonable to target Release-17 commercial use cases numbers (with potentially a modest improvement). </w:t>
      </w:r>
    </w:p>
    <w:p w14:paraId="7CE33F94" w14:textId="77777777" w:rsidR="00CA64AF" w:rsidRDefault="00CA64AF" w:rsidP="006C58FE">
      <w:pPr>
        <w:rPr>
          <w:sz w:val="20"/>
          <w:szCs w:val="20"/>
        </w:rPr>
      </w:pPr>
    </w:p>
    <w:p w14:paraId="45328CEC" w14:textId="79069A19" w:rsidR="00CA64AF" w:rsidRPr="00C04B4C" w:rsidRDefault="00CA64AF" w:rsidP="006C58FE">
      <w:pPr>
        <w:rPr>
          <w:b/>
          <w:bCs/>
          <w:sz w:val="20"/>
          <w:szCs w:val="20"/>
        </w:rPr>
      </w:pPr>
      <w:r w:rsidRPr="00C04B4C">
        <w:rPr>
          <w:b/>
          <w:bCs/>
          <w:sz w:val="20"/>
          <w:szCs w:val="20"/>
        </w:rPr>
        <w:t xml:space="preserve">Observation </w:t>
      </w:r>
      <w:r w:rsidR="00193800">
        <w:rPr>
          <w:b/>
          <w:bCs/>
          <w:sz w:val="20"/>
          <w:szCs w:val="20"/>
        </w:rPr>
        <w:t>3</w:t>
      </w:r>
      <w:r w:rsidRPr="00C04B4C">
        <w:rPr>
          <w:b/>
          <w:bCs/>
          <w:sz w:val="20"/>
          <w:szCs w:val="20"/>
        </w:rPr>
        <w:t>: positioning accuracy numbers depend on whether they are to be evaluated in a commercial (e.g. IC) or industrial (e.g. HRRLC) TE.</w:t>
      </w:r>
    </w:p>
    <w:p w14:paraId="098547B7" w14:textId="77777777" w:rsidR="00EA33B8" w:rsidRDefault="00EA33B8" w:rsidP="00EB78F3">
      <w:pPr>
        <w:rPr>
          <w:sz w:val="20"/>
          <w:szCs w:val="20"/>
        </w:rPr>
      </w:pPr>
    </w:p>
    <w:p w14:paraId="1F849B46" w14:textId="381792E3" w:rsidR="00EA33B8" w:rsidRPr="00BC10C3" w:rsidRDefault="00EA33B8" w:rsidP="00EB78F3">
      <w:pPr>
        <w:rPr>
          <w:b/>
          <w:bCs/>
          <w:sz w:val="20"/>
          <w:szCs w:val="20"/>
        </w:rPr>
      </w:pPr>
      <w:r w:rsidRPr="00BC10C3">
        <w:rPr>
          <w:b/>
          <w:bCs/>
          <w:sz w:val="20"/>
          <w:szCs w:val="20"/>
        </w:rPr>
        <w:t xml:space="preserve">Proposal </w:t>
      </w:r>
      <w:r w:rsidR="00193800">
        <w:rPr>
          <w:b/>
          <w:bCs/>
          <w:sz w:val="20"/>
          <w:szCs w:val="20"/>
        </w:rPr>
        <w:t>5</w:t>
      </w:r>
      <w:r w:rsidRPr="00BC10C3">
        <w:rPr>
          <w:b/>
          <w:bCs/>
          <w:sz w:val="20"/>
          <w:szCs w:val="20"/>
        </w:rPr>
        <w:t xml:space="preserve">:  </w:t>
      </w:r>
      <w:r w:rsidR="00BC10C3" w:rsidRPr="00BC10C3">
        <w:rPr>
          <w:b/>
          <w:bCs/>
          <w:sz w:val="20"/>
          <w:szCs w:val="20"/>
        </w:rPr>
        <w:t>positioning accuracy requirement</w:t>
      </w:r>
      <w:r w:rsidR="00C04B4C">
        <w:rPr>
          <w:b/>
          <w:bCs/>
          <w:sz w:val="20"/>
          <w:szCs w:val="20"/>
        </w:rPr>
        <w:t xml:space="preserve">s are </w:t>
      </w:r>
      <w:r w:rsidR="004B0741">
        <w:rPr>
          <w:b/>
          <w:bCs/>
          <w:sz w:val="20"/>
          <w:szCs w:val="20"/>
        </w:rPr>
        <w:t xml:space="preserve">based on Release-17 numbers (when evaluated in </w:t>
      </w:r>
      <w:r w:rsidR="00D41C90">
        <w:rPr>
          <w:b/>
          <w:bCs/>
          <w:sz w:val="20"/>
          <w:szCs w:val="20"/>
        </w:rPr>
        <w:t xml:space="preserve">an IC TE) and on Release-18 numbers when evaluated in a </w:t>
      </w:r>
      <w:r w:rsidR="00AC43B0">
        <w:rPr>
          <w:b/>
          <w:bCs/>
          <w:sz w:val="20"/>
          <w:szCs w:val="20"/>
        </w:rPr>
        <w:t xml:space="preserve">MC or </w:t>
      </w:r>
      <w:r w:rsidR="00D41C90">
        <w:rPr>
          <w:b/>
          <w:bCs/>
          <w:sz w:val="20"/>
          <w:szCs w:val="20"/>
        </w:rPr>
        <w:t>HRLLC TE</w:t>
      </w:r>
      <w:r w:rsidR="00BC10C3" w:rsidRPr="00BC10C3">
        <w:rPr>
          <w:b/>
          <w:bCs/>
          <w:sz w:val="20"/>
          <w:szCs w:val="20"/>
        </w:rPr>
        <w:t>.</w:t>
      </w:r>
    </w:p>
    <w:p w14:paraId="75407ED7" w14:textId="77777777" w:rsidR="00EB78F3" w:rsidRPr="00EB78F3" w:rsidRDefault="00EB78F3" w:rsidP="00EB78F3"/>
    <w:p w14:paraId="3EBD1A47" w14:textId="0FE2CDDB" w:rsidR="00EB78F3" w:rsidRDefault="00EB78F3" w:rsidP="00EB78F3">
      <w:pPr>
        <w:pStyle w:val="Heading3"/>
      </w:pPr>
      <w:r>
        <w:t xml:space="preserve"> </w:t>
      </w:r>
      <w:r w:rsidRPr="00EB78F3">
        <w:t>Sensing-related capabilities</w:t>
      </w:r>
    </w:p>
    <w:p w14:paraId="033433B4" w14:textId="11ABF1FF" w:rsidR="00BC10C3" w:rsidRDefault="00BC10C3" w:rsidP="00BC10C3">
      <w:pPr>
        <w:rPr>
          <w:sz w:val="20"/>
          <w:szCs w:val="20"/>
        </w:rPr>
      </w:pPr>
      <w:proofErr w:type="gramStart"/>
      <w:r>
        <w:rPr>
          <w:sz w:val="20"/>
          <w:szCs w:val="20"/>
        </w:rPr>
        <w:t>A number of</w:t>
      </w:r>
      <w:proofErr w:type="gramEnd"/>
      <w:r>
        <w:rPr>
          <w:sz w:val="20"/>
          <w:szCs w:val="20"/>
        </w:rPr>
        <w:t xml:space="preserve"> sensing-related capabilities are under discussion in </w:t>
      </w:r>
      <w:proofErr w:type="gramStart"/>
      <w:r>
        <w:rPr>
          <w:sz w:val="20"/>
          <w:szCs w:val="20"/>
        </w:rPr>
        <w:t>WP5D</w:t>
      </w:r>
      <w:proofErr w:type="gramEnd"/>
      <w:r>
        <w:rPr>
          <w:sz w:val="20"/>
          <w:szCs w:val="20"/>
        </w:rPr>
        <w:t xml:space="preserve"> and the group is yet to down-select them. Therefore, we think it would be beneficial if 3GPP could:</w:t>
      </w:r>
    </w:p>
    <w:p w14:paraId="2C98156E" w14:textId="45ADEC20" w:rsidR="00BC10C3" w:rsidRDefault="00BC10C3" w:rsidP="00BC10C3">
      <w:pPr>
        <w:pStyle w:val="ListParagraph"/>
        <w:numPr>
          <w:ilvl w:val="0"/>
          <w:numId w:val="31"/>
        </w:numPr>
        <w:ind w:leftChars="0"/>
        <w:rPr>
          <w:szCs w:val="20"/>
        </w:rPr>
      </w:pPr>
      <w:r>
        <w:rPr>
          <w:szCs w:val="20"/>
        </w:rPr>
        <w:t xml:space="preserve">Provide a recommendation of which capabilities to define, and </w:t>
      </w:r>
    </w:p>
    <w:p w14:paraId="3E6B98EF" w14:textId="5F3F5095" w:rsidR="00BC10C3" w:rsidRPr="00BC10C3" w:rsidRDefault="00BC10C3" w:rsidP="00BC10C3">
      <w:pPr>
        <w:pStyle w:val="ListParagraph"/>
        <w:numPr>
          <w:ilvl w:val="0"/>
          <w:numId w:val="31"/>
        </w:numPr>
        <w:ind w:leftChars="0"/>
        <w:rPr>
          <w:szCs w:val="20"/>
        </w:rPr>
      </w:pPr>
      <w:r>
        <w:rPr>
          <w:szCs w:val="20"/>
        </w:rPr>
        <w:t>Provide a recommendation on the TPR values for those</w:t>
      </w:r>
    </w:p>
    <w:p w14:paraId="1BE68A23" w14:textId="77777777" w:rsidR="00BC10C3" w:rsidRDefault="00BC10C3" w:rsidP="00BC10C3">
      <w:pPr>
        <w:rPr>
          <w:sz w:val="20"/>
          <w:szCs w:val="20"/>
        </w:rPr>
      </w:pPr>
    </w:p>
    <w:p w14:paraId="39F23CA5" w14:textId="77777777" w:rsidR="009128D9" w:rsidRDefault="00BC10C3" w:rsidP="00BC10C3">
      <w:pPr>
        <w:rPr>
          <w:sz w:val="20"/>
          <w:szCs w:val="20"/>
        </w:rPr>
      </w:pPr>
      <w:r>
        <w:rPr>
          <w:sz w:val="20"/>
          <w:szCs w:val="20"/>
        </w:rPr>
        <w:t xml:space="preserve">While sensing is a new area for IMT (and 3GPP) with potentially wide-ranging capabilities, it is important to select a few representative ones for the purpose of evaluation (which in no way should limit future sensing usages and applications). </w:t>
      </w:r>
    </w:p>
    <w:p w14:paraId="28F69B4D" w14:textId="77777777" w:rsidR="001C5177" w:rsidRDefault="001C5177" w:rsidP="00BC10C3">
      <w:pPr>
        <w:rPr>
          <w:sz w:val="20"/>
          <w:szCs w:val="20"/>
        </w:rPr>
      </w:pPr>
    </w:p>
    <w:p w14:paraId="2BCB5496" w14:textId="72A46D00" w:rsidR="00BC10C3" w:rsidRDefault="00BC10C3" w:rsidP="00BC10C3">
      <w:pPr>
        <w:rPr>
          <w:sz w:val="20"/>
          <w:szCs w:val="20"/>
        </w:rPr>
      </w:pPr>
      <w:proofErr w:type="gramStart"/>
      <w:r>
        <w:rPr>
          <w:sz w:val="20"/>
          <w:szCs w:val="20"/>
        </w:rPr>
        <w:t>With this in mind, out</w:t>
      </w:r>
      <w:proofErr w:type="gramEnd"/>
      <w:r>
        <w:rPr>
          <w:sz w:val="20"/>
          <w:szCs w:val="20"/>
        </w:rPr>
        <w:t xml:space="preserve"> of the multitude of different TPRs which are in the current WP5D draft report [4], we propose to recommend the following:</w:t>
      </w:r>
    </w:p>
    <w:p w14:paraId="69169006" w14:textId="78B8BA0C" w:rsidR="0013589E" w:rsidRDefault="0013589E" w:rsidP="00BC10C3">
      <w:pPr>
        <w:pStyle w:val="ListParagraph"/>
        <w:numPr>
          <w:ilvl w:val="0"/>
          <w:numId w:val="32"/>
        </w:numPr>
        <w:ind w:leftChars="0"/>
        <w:rPr>
          <w:szCs w:val="20"/>
        </w:rPr>
      </w:pPr>
      <w:r>
        <w:rPr>
          <w:szCs w:val="20"/>
        </w:rPr>
        <w:t>Localization accuracy</w:t>
      </w:r>
      <w:r w:rsidR="00913FF4">
        <w:rPr>
          <w:szCs w:val="20"/>
        </w:rPr>
        <w:t xml:space="preserve"> </w:t>
      </w:r>
    </w:p>
    <w:p w14:paraId="64B7D0F2" w14:textId="61C65857" w:rsidR="0013589E" w:rsidRPr="00BC10C3" w:rsidRDefault="0013589E" w:rsidP="00BC10C3">
      <w:pPr>
        <w:pStyle w:val="ListParagraph"/>
        <w:numPr>
          <w:ilvl w:val="0"/>
          <w:numId w:val="32"/>
        </w:numPr>
        <w:ind w:leftChars="0"/>
        <w:rPr>
          <w:szCs w:val="20"/>
        </w:rPr>
      </w:pPr>
      <w:r>
        <w:rPr>
          <w:szCs w:val="20"/>
        </w:rPr>
        <w:t>Resolution</w:t>
      </w:r>
      <w:r w:rsidR="005E39DD">
        <w:rPr>
          <w:szCs w:val="20"/>
        </w:rPr>
        <w:t xml:space="preserve"> </w:t>
      </w:r>
    </w:p>
    <w:p w14:paraId="2E8D3A75" w14:textId="77777777" w:rsidR="001C5177" w:rsidRDefault="001C5177" w:rsidP="001C5177">
      <w:pPr>
        <w:rPr>
          <w:sz w:val="20"/>
          <w:szCs w:val="20"/>
        </w:rPr>
      </w:pPr>
    </w:p>
    <w:p w14:paraId="7B085A90" w14:textId="0C1E6F50" w:rsidR="001C5177" w:rsidRDefault="001C5177" w:rsidP="001C5177">
      <w:pPr>
        <w:rPr>
          <w:sz w:val="20"/>
          <w:szCs w:val="20"/>
        </w:rPr>
      </w:pPr>
      <w:r>
        <w:rPr>
          <w:sz w:val="20"/>
          <w:szCs w:val="20"/>
        </w:rPr>
        <w:t xml:space="preserve">In 3GPP, we can refer to TS 22.137 [8], which includes ISAC </w:t>
      </w:r>
      <w:r w:rsidR="00A81DA7">
        <w:rPr>
          <w:sz w:val="20"/>
          <w:szCs w:val="20"/>
        </w:rPr>
        <w:t>performance requirements</w:t>
      </w:r>
      <w:r w:rsidR="008464DF">
        <w:rPr>
          <w:sz w:val="20"/>
          <w:szCs w:val="20"/>
        </w:rPr>
        <w:t xml:space="preserve">. </w:t>
      </w:r>
      <w:r w:rsidR="00D64CB6">
        <w:rPr>
          <w:sz w:val="20"/>
          <w:szCs w:val="20"/>
        </w:rPr>
        <w:t>The TS [8] provides a range of numbers for different Sensing Service Categories. In our view, category 3 is the most applicable</w:t>
      </w:r>
      <w:r w:rsidR="00D033BC">
        <w:rPr>
          <w:sz w:val="20"/>
          <w:szCs w:val="20"/>
        </w:rPr>
        <w:t xml:space="preserve"> for IMT evaluation, as IMT</w:t>
      </w:r>
      <w:r w:rsidR="00523492">
        <w:rPr>
          <w:sz w:val="20"/>
          <w:szCs w:val="20"/>
        </w:rPr>
        <w:t xml:space="preserve"> requirements are minimum requirements and 3GPP </w:t>
      </w:r>
      <w:r w:rsidR="00B65704">
        <w:rPr>
          <w:sz w:val="20"/>
          <w:szCs w:val="20"/>
        </w:rPr>
        <w:t>technologies often exceed the minimum IMT requirements. Therefore, we propose the following numbers for ISAC TPRs:</w:t>
      </w:r>
    </w:p>
    <w:p w14:paraId="663E7736" w14:textId="592820A8" w:rsidR="00B65704" w:rsidRDefault="00AE3A9B" w:rsidP="00AE3A9B">
      <w:pPr>
        <w:pStyle w:val="ListParagraph"/>
        <w:numPr>
          <w:ilvl w:val="0"/>
          <w:numId w:val="37"/>
        </w:numPr>
        <w:ind w:leftChars="0"/>
        <w:rPr>
          <w:szCs w:val="20"/>
        </w:rPr>
      </w:pPr>
      <w:r>
        <w:rPr>
          <w:szCs w:val="20"/>
        </w:rPr>
        <w:t>Localization Accuracy</w:t>
      </w:r>
    </w:p>
    <w:p w14:paraId="3437CEE9" w14:textId="7C730F7A" w:rsidR="00AE3A9B" w:rsidRDefault="00AE3A9B" w:rsidP="00AE3A9B">
      <w:pPr>
        <w:pStyle w:val="ListParagraph"/>
        <w:numPr>
          <w:ilvl w:val="1"/>
          <w:numId w:val="37"/>
        </w:numPr>
        <w:ind w:leftChars="0"/>
        <w:rPr>
          <w:szCs w:val="20"/>
        </w:rPr>
      </w:pPr>
      <w:r>
        <w:rPr>
          <w:szCs w:val="20"/>
        </w:rPr>
        <w:t xml:space="preserve">Horizontal: </w:t>
      </w:r>
      <w:r w:rsidR="002E066A">
        <w:rPr>
          <w:szCs w:val="20"/>
        </w:rPr>
        <w:t>1m</w:t>
      </w:r>
    </w:p>
    <w:p w14:paraId="7F24B529" w14:textId="1F79EDC8" w:rsidR="00AE3A9B" w:rsidRDefault="00AE3A9B" w:rsidP="00AE3A9B">
      <w:pPr>
        <w:pStyle w:val="ListParagraph"/>
        <w:numPr>
          <w:ilvl w:val="1"/>
          <w:numId w:val="37"/>
        </w:numPr>
        <w:ind w:leftChars="0"/>
        <w:rPr>
          <w:szCs w:val="20"/>
        </w:rPr>
      </w:pPr>
      <w:r>
        <w:rPr>
          <w:szCs w:val="20"/>
        </w:rPr>
        <w:t>Vertical</w:t>
      </w:r>
      <w:r w:rsidR="002E066A">
        <w:rPr>
          <w:szCs w:val="20"/>
        </w:rPr>
        <w:t>: 1m</w:t>
      </w:r>
    </w:p>
    <w:p w14:paraId="09FA0A0A" w14:textId="31D44D07" w:rsidR="00AE3A9B" w:rsidRDefault="000F7C5B" w:rsidP="00AE3A9B">
      <w:pPr>
        <w:pStyle w:val="ListParagraph"/>
        <w:numPr>
          <w:ilvl w:val="0"/>
          <w:numId w:val="37"/>
        </w:numPr>
        <w:ind w:leftChars="0"/>
        <w:rPr>
          <w:szCs w:val="20"/>
        </w:rPr>
      </w:pPr>
      <w:r>
        <w:rPr>
          <w:szCs w:val="20"/>
        </w:rPr>
        <w:t>Range r</w:t>
      </w:r>
      <w:r w:rsidR="00AE3A9B">
        <w:rPr>
          <w:szCs w:val="20"/>
        </w:rPr>
        <w:t>esolution</w:t>
      </w:r>
      <w:r>
        <w:rPr>
          <w:szCs w:val="20"/>
        </w:rPr>
        <w:t>: 1m</w:t>
      </w:r>
    </w:p>
    <w:p w14:paraId="3783D278" w14:textId="77777777" w:rsidR="001C5177" w:rsidRDefault="001C5177" w:rsidP="00BC10C3">
      <w:pPr>
        <w:rPr>
          <w:sz w:val="20"/>
          <w:szCs w:val="20"/>
        </w:rPr>
      </w:pPr>
    </w:p>
    <w:p w14:paraId="58E0D2DA" w14:textId="77777777" w:rsidR="0013589E" w:rsidRDefault="0013589E" w:rsidP="00BC10C3">
      <w:pPr>
        <w:rPr>
          <w:sz w:val="20"/>
          <w:szCs w:val="20"/>
        </w:rPr>
      </w:pPr>
      <w:r>
        <w:rPr>
          <w:sz w:val="20"/>
          <w:szCs w:val="20"/>
        </w:rPr>
        <w:t>Notes:</w:t>
      </w:r>
    </w:p>
    <w:p w14:paraId="1A845F54" w14:textId="6E189C6D" w:rsidR="0013589E" w:rsidRDefault="0013589E" w:rsidP="0013589E">
      <w:pPr>
        <w:pStyle w:val="ListParagraph"/>
        <w:numPr>
          <w:ilvl w:val="0"/>
          <w:numId w:val="33"/>
        </w:numPr>
        <w:ind w:leftChars="0"/>
        <w:rPr>
          <w:szCs w:val="20"/>
        </w:rPr>
      </w:pPr>
      <w:r>
        <w:rPr>
          <w:szCs w:val="20"/>
        </w:rPr>
        <w:lastRenderedPageBreak/>
        <w:t xml:space="preserve">Velocity accuracy can also be </w:t>
      </w:r>
      <w:r w:rsidR="00913FF4">
        <w:rPr>
          <w:szCs w:val="20"/>
        </w:rPr>
        <w:t>considered;</w:t>
      </w:r>
      <w:r>
        <w:rPr>
          <w:szCs w:val="20"/>
        </w:rPr>
        <w:t xml:space="preserve"> </w:t>
      </w:r>
      <w:proofErr w:type="gramStart"/>
      <w:r>
        <w:rPr>
          <w:szCs w:val="20"/>
        </w:rPr>
        <w:t>however</w:t>
      </w:r>
      <w:proofErr w:type="gramEnd"/>
      <w:r>
        <w:rPr>
          <w:szCs w:val="20"/>
        </w:rPr>
        <w:t xml:space="preserve"> it would be good to keep the number of TPRs limited</w:t>
      </w:r>
      <w:r w:rsidR="00DB7E34">
        <w:rPr>
          <w:szCs w:val="20"/>
        </w:rPr>
        <w:t xml:space="preserve">; if velocity accuracy is included, similarly to localization accuracy, </w:t>
      </w:r>
      <w:r w:rsidR="002A4D50">
        <w:rPr>
          <w:szCs w:val="20"/>
        </w:rPr>
        <w:t xml:space="preserve">service category 3 from TS 22.137 should be used. </w:t>
      </w:r>
    </w:p>
    <w:p w14:paraId="7C25125F" w14:textId="78ACF94F" w:rsidR="00BC10C3" w:rsidRDefault="00913FF4" w:rsidP="0013589E">
      <w:pPr>
        <w:pStyle w:val="ListParagraph"/>
        <w:numPr>
          <w:ilvl w:val="0"/>
          <w:numId w:val="33"/>
        </w:numPr>
        <w:ind w:leftChars="0"/>
        <w:rPr>
          <w:szCs w:val="20"/>
        </w:rPr>
      </w:pPr>
      <w:r>
        <w:rPr>
          <w:szCs w:val="20"/>
        </w:rPr>
        <w:t>Maximum S</w:t>
      </w:r>
      <w:r w:rsidR="00BC10C3" w:rsidRPr="0013589E">
        <w:rPr>
          <w:szCs w:val="20"/>
        </w:rPr>
        <w:t>ensing Range (which is also being discussed in WP5D) should be part of a TE definition, not a TPR.</w:t>
      </w:r>
    </w:p>
    <w:p w14:paraId="27E8A1F0" w14:textId="2C57F44A" w:rsidR="0013589E" w:rsidRDefault="0013589E" w:rsidP="0013589E">
      <w:pPr>
        <w:pStyle w:val="ListParagraph"/>
        <w:numPr>
          <w:ilvl w:val="0"/>
          <w:numId w:val="33"/>
        </w:numPr>
        <w:ind w:leftChars="0"/>
        <w:rPr>
          <w:szCs w:val="20"/>
        </w:rPr>
      </w:pPr>
      <w:r>
        <w:rPr>
          <w:szCs w:val="20"/>
        </w:rPr>
        <w:t>Localization is to be evaluated by simulations, resolution – by analysis</w:t>
      </w:r>
      <w:r w:rsidR="002A4D50">
        <w:rPr>
          <w:szCs w:val="20"/>
        </w:rPr>
        <w:t>.</w:t>
      </w:r>
    </w:p>
    <w:p w14:paraId="7B1D400E" w14:textId="119A3176" w:rsidR="002A4D50" w:rsidRDefault="002A4D50" w:rsidP="0013589E">
      <w:pPr>
        <w:pStyle w:val="ListParagraph"/>
        <w:numPr>
          <w:ilvl w:val="0"/>
          <w:numId w:val="33"/>
        </w:numPr>
        <w:ind w:leftChars="0"/>
        <w:rPr>
          <w:szCs w:val="20"/>
        </w:rPr>
      </w:pPr>
      <w:r>
        <w:rPr>
          <w:szCs w:val="20"/>
        </w:rPr>
        <w:t>The numbers might depend on TE</w:t>
      </w:r>
      <w:r w:rsidR="00E63E75">
        <w:rPr>
          <w:szCs w:val="20"/>
        </w:rPr>
        <w:t xml:space="preserve">s, which are not yet defined. Therefore, we should be open to revising the numbers (if needed), when TE definitions are available. </w:t>
      </w:r>
    </w:p>
    <w:p w14:paraId="640B0207" w14:textId="3A012C01" w:rsidR="004C3FE9" w:rsidRDefault="004C3FE9" w:rsidP="0013589E">
      <w:pPr>
        <w:rPr>
          <w:szCs w:val="20"/>
        </w:rPr>
      </w:pPr>
    </w:p>
    <w:p w14:paraId="0F3172E4" w14:textId="50645E3D" w:rsidR="0099414E" w:rsidRPr="00DA3F88" w:rsidRDefault="004C3FE9" w:rsidP="00DA3F88">
      <w:pPr>
        <w:rPr>
          <w:b/>
          <w:bCs/>
          <w:sz w:val="20"/>
          <w:szCs w:val="20"/>
        </w:rPr>
      </w:pPr>
      <w:r w:rsidRPr="00C04B4C">
        <w:rPr>
          <w:b/>
          <w:bCs/>
          <w:sz w:val="20"/>
          <w:szCs w:val="20"/>
        </w:rPr>
        <w:t xml:space="preserve">Proposal </w:t>
      </w:r>
      <w:r w:rsidR="00193800">
        <w:rPr>
          <w:b/>
          <w:bCs/>
          <w:sz w:val="20"/>
          <w:szCs w:val="20"/>
        </w:rPr>
        <w:t>6</w:t>
      </w:r>
      <w:r w:rsidRPr="00C04B4C">
        <w:rPr>
          <w:b/>
          <w:bCs/>
          <w:sz w:val="20"/>
          <w:szCs w:val="20"/>
        </w:rPr>
        <w:t xml:space="preserve">: </w:t>
      </w:r>
      <w:r w:rsidR="0099414E" w:rsidRPr="00C04B4C">
        <w:rPr>
          <w:b/>
          <w:bCs/>
          <w:sz w:val="20"/>
          <w:szCs w:val="20"/>
        </w:rPr>
        <w:t xml:space="preserve">For ISAC, the requirements are: localization accuracy of 1m and range resolution of 1m. </w:t>
      </w:r>
    </w:p>
    <w:p w14:paraId="6948989A" w14:textId="77777777" w:rsidR="0013589E" w:rsidRDefault="0013589E" w:rsidP="0013589E">
      <w:pPr>
        <w:rPr>
          <w:sz w:val="20"/>
          <w:szCs w:val="20"/>
        </w:rPr>
      </w:pPr>
    </w:p>
    <w:p w14:paraId="7A0A1A3E" w14:textId="229CE864" w:rsidR="0013589E" w:rsidRDefault="0013589E" w:rsidP="0013589E">
      <w:pPr>
        <w:rPr>
          <w:sz w:val="20"/>
          <w:szCs w:val="20"/>
        </w:rPr>
      </w:pPr>
      <w:r>
        <w:rPr>
          <w:sz w:val="20"/>
          <w:szCs w:val="20"/>
        </w:rPr>
        <w:t xml:space="preserve">Furthermore, </w:t>
      </w:r>
      <w:r w:rsidR="00913FF4">
        <w:rPr>
          <w:sz w:val="20"/>
          <w:szCs w:val="20"/>
        </w:rPr>
        <w:t xml:space="preserve">sensing functionality (and the </w:t>
      </w:r>
      <w:r w:rsidR="00284C32">
        <w:rPr>
          <w:sz w:val="20"/>
          <w:szCs w:val="20"/>
        </w:rPr>
        <w:t>evaluation</w:t>
      </w:r>
      <w:r w:rsidR="00913FF4">
        <w:rPr>
          <w:sz w:val="20"/>
          <w:szCs w:val="20"/>
        </w:rPr>
        <w:t>) would differ depending on:</w:t>
      </w:r>
    </w:p>
    <w:p w14:paraId="756423FD" w14:textId="29A3BD8D" w:rsidR="00913FF4" w:rsidRDefault="00913FF4" w:rsidP="00913FF4">
      <w:pPr>
        <w:pStyle w:val="ListParagraph"/>
        <w:numPr>
          <w:ilvl w:val="0"/>
          <w:numId w:val="34"/>
        </w:numPr>
        <w:ind w:leftChars="0"/>
        <w:rPr>
          <w:szCs w:val="20"/>
        </w:rPr>
      </w:pPr>
      <w:r>
        <w:rPr>
          <w:szCs w:val="20"/>
        </w:rPr>
        <w:t xml:space="preserve">Mono-static vs. bi-static vs. multi-static mode of operation, and </w:t>
      </w:r>
    </w:p>
    <w:p w14:paraId="13FF0252" w14:textId="6152410D" w:rsidR="00913FF4" w:rsidRDefault="00913FF4" w:rsidP="00913FF4">
      <w:pPr>
        <w:pStyle w:val="ListParagraph"/>
        <w:numPr>
          <w:ilvl w:val="0"/>
          <w:numId w:val="34"/>
        </w:numPr>
        <w:ind w:leftChars="0"/>
        <w:rPr>
          <w:szCs w:val="20"/>
        </w:rPr>
      </w:pPr>
      <w:r>
        <w:rPr>
          <w:szCs w:val="20"/>
        </w:rPr>
        <w:t>UE-based vs. network-based sensing</w:t>
      </w:r>
    </w:p>
    <w:p w14:paraId="48253F67" w14:textId="77777777" w:rsidR="00913FF4" w:rsidRDefault="00913FF4" w:rsidP="00913FF4">
      <w:pPr>
        <w:rPr>
          <w:szCs w:val="20"/>
        </w:rPr>
      </w:pPr>
    </w:p>
    <w:p w14:paraId="7A9A4297" w14:textId="7D13B525" w:rsidR="00913FF4" w:rsidRDefault="00913FF4" w:rsidP="00913FF4">
      <w:pPr>
        <w:rPr>
          <w:sz w:val="20"/>
          <w:szCs w:val="20"/>
        </w:rPr>
      </w:pPr>
      <w:r>
        <w:rPr>
          <w:sz w:val="20"/>
          <w:szCs w:val="20"/>
        </w:rPr>
        <w:t xml:space="preserve">On the former, we suggest </w:t>
      </w:r>
      <w:proofErr w:type="gramStart"/>
      <w:r>
        <w:rPr>
          <w:sz w:val="20"/>
          <w:szCs w:val="20"/>
        </w:rPr>
        <w:t>to focus</w:t>
      </w:r>
      <w:proofErr w:type="gramEnd"/>
      <w:r>
        <w:rPr>
          <w:sz w:val="20"/>
          <w:szCs w:val="20"/>
        </w:rPr>
        <w:t xml:space="preserve"> (for the purpose of evaluation) on mono-static, as the other variants are more dependent on implementation details and harder to evaluate. On the latter, it is important to cover both UE-based and network-based sensing in the evaluation. </w:t>
      </w:r>
    </w:p>
    <w:p w14:paraId="1338148F" w14:textId="77777777" w:rsidR="00913FF4" w:rsidRDefault="00913FF4" w:rsidP="00913FF4">
      <w:pPr>
        <w:rPr>
          <w:sz w:val="20"/>
          <w:szCs w:val="20"/>
        </w:rPr>
      </w:pPr>
    </w:p>
    <w:p w14:paraId="72C1866B" w14:textId="112E1773" w:rsidR="00913FF4" w:rsidRDefault="00913FF4" w:rsidP="00913FF4">
      <w:pPr>
        <w:rPr>
          <w:b/>
          <w:bCs/>
          <w:sz w:val="20"/>
          <w:szCs w:val="20"/>
        </w:rPr>
      </w:pPr>
      <w:r w:rsidRPr="00913FF4">
        <w:rPr>
          <w:b/>
          <w:bCs/>
          <w:sz w:val="20"/>
          <w:szCs w:val="20"/>
        </w:rPr>
        <w:t xml:space="preserve">Proposal </w:t>
      </w:r>
      <w:r w:rsidR="00193800">
        <w:rPr>
          <w:b/>
          <w:bCs/>
          <w:sz w:val="20"/>
          <w:szCs w:val="20"/>
        </w:rPr>
        <w:t>7</w:t>
      </w:r>
      <w:r w:rsidRPr="00913FF4">
        <w:rPr>
          <w:b/>
          <w:bCs/>
          <w:sz w:val="20"/>
          <w:szCs w:val="20"/>
        </w:rPr>
        <w:t>: ISAC evaluation should focus on mono-static sensing and should cover both UE-based and network-based sensing</w:t>
      </w:r>
      <w:r w:rsidR="00284C32">
        <w:rPr>
          <w:b/>
          <w:bCs/>
          <w:sz w:val="20"/>
          <w:szCs w:val="20"/>
        </w:rPr>
        <w:t xml:space="preserve"> (e.g. UE-based can be evaluated in an Indoor TE while network-based evaluated in an Outdoor TE)</w:t>
      </w:r>
      <w:r w:rsidRPr="00913FF4">
        <w:rPr>
          <w:b/>
          <w:bCs/>
          <w:sz w:val="20"/>
          <w:szCs w:val="20"/>
        </w:rPr>
        <w:t xml:space="preserve">. </w:t>
      </w:r>
    </w:p>
    <w:p w14:paraId="5BE210F8" w14:textId="1A2A2C6A" w:rsidR="00515A8A" w:rsidRPr="00515A8A" w:rsidRDefault="00515A8A" w:rsidP="00515A8A">
      <w:pPr>
        <w:rPr>
          <w:sz w:val="20"/>
          <w:szCs w:val="20"/>
        </w:rPr>
      </w:pPr>
    </w:p>
    <w:p w14:paraId="27C72553" w14:textId="0D62FB23" w:rsidR="00C57853" w:rsidRDefault="00C57853" w:rsidP="00C57853">
      <w:pPr>
        <w:pStyle w:val="Heading1"/>
      </w:pPr>
      <w:r>
        <w:t>Conclusion and Proposals</w:t>
      </w:r>
    </w:p>
    <w:p w14:paraId="11EBFA36" w14:textId="77777777" w:rsidR="001E5DE8" w:rsidRDefault="001E5DE8" w:rsidP="001E5DE8">
      <w:pPr>
        <w:rPr>
          <w:b/>
          <w:bCs/>
          <w:sz w:val="20"/>
          <w:szCs w:val="20"/>
          <w:lang w:val="en-GB"/>
        </w:rPr>
      </w:pPr>
      <w:r w:rsidRPr="00534760">
        <w:rPr>
          <w:b/>
          <w:bCs/>
          <w:sz w:val="20"/>
          <w:szCs w:val="20"/>
          <w:lang w:val="en-GB"/>
        </w:rPr>
        <w:t xml:space="preserve">Observation </w:t>
      </w:r>
      <w:r>
        <w:rPr>
          <w:b/>
          <w:bCs/>
          <w:sz w:val="20"/>
          <w:szCs w:val="20"/>
          <w:lang w:val="en-GB"/>
        </w:rPr>
        <w:t>1</w:t>
      </w:r>
      <w:r w:rsidRPr="00534760">
        <w:rPr>
          <w:b/>
          <w:bCs/>
          <w:sz w:val="20"/>
          <w:szCs w:val="20"/>
          <w:lang w:val="en-GB"/>
        </w:rPr>
        <w:t xml:space="preserve">: the gap between what 5G/IMT-2020 can deliver “on paper” and what is </w:t>
      </w:r>
      <w:proofErr w:type="gramStart"/>
      <w:r w:rsidRPr="00534760">
        <w:rPr>
          <w:b/>
          <w:bCs/>
          <w:sz w:val="20"/>
          <w:szCs w:val="20"/>
          <w:lang w:val="en-GB"/>
        </w:rPr>
        <w:t>actually being</w:t>
      </w:r>
      <w:proofErr w:type="gramEnd"/>
      <w:r w:rsidRPr="00534760">
        <w:rPr>
          <w:b/>
          <w:bCs/>
          <w:sz w:val="20"/>
          <w:szCs w:val="20"/>
          <w:lang w:val="en-GB"/>
        </w:rPr>
        <w:t xml:space="preserve"> deployed is significant</w:t>
      </w:r>
      <w:r>
        <w:rPr>
          <w:b/>
          <w:bCs/>
          <w:sz w:val="20"/>
          <w:szCs w:val="20"/>
          <w:lang w:val="en-GB"/>
        </w:rPr>
        <w:t>; such gap is unhealthy for the ecosystem.</w:t>
      </w:r>
    </w:p>
    <w:p w14:paraId="24EAB286" w14:textId="77777777" w:rsidR="001E5DE8" w:rsidRDefault="001E5DE8" w:rsidP="001E5DE8">
      <w:pPr>
        <w:rPr>
          <w:b/>
          <w:bCs/>
          <w:sz w:val="20"/>
          <w:szCs w:val="20"/>
        </w:rPr>
      </w:pPr>
      <w:r w:rsidRPr="00C04B4C">
        <w:rPr>
          <w:b/>
          <w:bCs/>
          <w:sz w:val="20"/>
          <w:szCs w:val="20"/>
        </w:rPr>
        <w:t xml:space="preserve">Observation </w:t>
      </w:r>
      <w:r>
        <w:rPr>
          <w:b/>
          <w:bCs/>
          <w:sz w:val="20"/>
          <w:szCs w:val="20"/>
        </w:rPr>
        <w:t>2</w:t>
      </w:r>
      <w:r w:rsidRPr="00C04B4C">
        <w:rPr>
          <w:b/>
          <w:bCs/>
          <w:sz w:val="20"/>
          <w:szCs w:val="20"/>
        </w:rPr>
        <w:t>: IMT-2030 positioning accuracy requirements can be based on 5G positioning requirements; going beyond those should be justified with clear market use cases and requirements.</w:t>
      </w:r>
    </w:p>
    <w:p w14:paraId="5ACF8E67" w14:textId="77777777" w:rsidR="001E5DE8" w:rsidRPr="00C04B4C" w:rsidRDefault="001E5DE8" w:rsidP="001E5DE8">
      <w:pPr>
        <w:rPr>
          <w:b/>
          <w:bCs/>
          <w:sz w:val="20"/>
          <w:szCs w:val="20"/>
        </w:rPr>
      </w:pPr>
      <w:r w:rsidRPr="00C04B4C">
        <w:rPr>
          <w:b/>
          <w:bCs/>
          <w:sz w:val="20"/>
          <w:szCs w:val="20"/>
        </w:rPr>
        <w:t xml:space="preserve">Observation </w:t>
      </w:r>
      <w:r>
        <w:rPr>
          <w:b/>
          <w:bCs/>
          <w:sz w:val="20"/>
          <w:szCs w:val="20"/>
        </w:rPr>
        <w:t>3</w:t>
      </w:r>
      <w:r w:rsidRPr="00C04B4C">
        <w:rPr>
          <w:b/>
          <w:bCs/>
          <w:sz w:val="20"/>
          <w:szCs w:val="20"/>
        </w:rPr>
        <w:t>: positioning accuracy numbers depend on whether they are to be evaluated in a commercial (e.g. IC) or industrial (e.g. HRRLC) TE.</w:t>
      </w:r>
    </w:p>
    <w:p w14:paraId="7FC3D2D2" w14:textId="77777777" w:rsidR="001E5DE8" w:rsidRPr="00534760" w:rsidRDefault="001E5DE8" w:rsidP="001E5DE8">
      <w:pPr>
        <w:rPr>
          <w:b/>
          <w:bCs/>
          <w:sz w:val="20"/>
          <w:szCs w:val="20"/>
        </w:rPr>
      </w:pPr>
    </w:p>
    <w:p w14:paraId="167BC378" w14:textId="77777777" w:rsidR="001E5DE8" w:rsidRDefault="001E5DE8" w:rsidP="001E5DE8">
      <w:pPr>
        <w:rPr>
          <w:b/>
          <w:bCs/>
          <w:sz w:val="20"/>
          <w:szCs w:val="20"/>
          <w:lang w:val="en-GB"/>
        </w:rPr>
      </w:pPr>
      <w:r w:rsidRPr="00534760">
        <w:rPr>
          <w:b/>
          <w:bCs/>
          <w:sz w:val="20"/>
          <w:szCs w:val="20"/>
        </w:rPr>
        <w:t xml:space="preserve">Proposal 1: </w:t>
      </w:r>
      <w:r w:rsidRPr="00534760">
        <w:rPr>
          <w:b/>
          <w:bCs/>
          <w:sz w:val="20"/>
          <w:szCs w:val="20"/>
          <w:lang w:val="en-GB"/>
        </w:rPr>
        <w:t xml:space="preserve">6G/IMT-2030 should </w:t>
      </w:r>
      <w:r>
        <w:rPr>
          <w:b/>
          <w:bCs/>
          <w:sz w:val="20"/>
          <w:szCs w:val="20"/>
          <w:lang w:val="en-GB"/>
        </w:rPr>
        <w:t xml:space="preserve">address real market needs and therefore should </w:t>
      </w:r>
      <w:r w:rsidRPr="00534760">
        <w:rPr>
          <w:b/>
          <w:bCs/>
          <w:sz w:val="20"/>
          <w:szCs w:val="20"/>
          <w:lang w:val="en-GB"/>
        </w:rPr>
        <w:t>focus on new services and new markets (e.g. Sensing, AI/ML) rather than pushing the theoretical data rates higher (in disconnect with real deployments).</w:t>
      </w:r>
    </w:p>
    <w:p w14:paraId="25068BC4" w14:textId="77777777" w:rsidR="001E5DE8" w:rsidRDefault="001E5DE8" w:rsidP="001E5DE8">
      <w:pPr>
        <w:rPr>
          <w:b/>
          <w:bCs/>
          <w:sz w:val="20"/>
          <w:szCs w:val="20"/>
          <w:lang w:val="en-GB"/>
        </w:rPr>
      </w:pPr>
      <w:r>
        <w:rPr>
          <w:b/>
          <w:bCs/>
          <w:sz w:val="20"/>
          <w:szCs w:val="20"/>
          <w:lang w:val="en-GB"/>
        </w:rPr>
        <w:t xml:space="preserve">Proposal 2: do not define IMT-2030/6G peak data rate requirement. </w:t>
      </w:r>
    </w:p>
    <w:p w14:paraId="072CA863" w14:textId="77777777" w:rsidR="001E5DE8" w:rsidRDefault="001E5DE8" w:rsidP="001E5DE8">
      <w:pPr>
        <w:rPr>
          <w:b/>
          <w:bCs/>
          <w:sz w:val="20"/>
          <w:szCs w:val="20"/>
          <w:lang w:val="en-GB"/>
        </w:rPr>
      </w:pPr>
      <w:r w:rsidRPr="005E1DA7">
        <w:rPr>
          <w:b/>
          <w:bCs/>
          <w:sz w:val="20"/>
          <w:szCs w:val="20"/>
          <w:lang w:val="en-GB"/>
        </w:rPr>
        <w:t>Proposal 3: for 700 MHz, 4 GHz and 7 GHz the number of UE antenna elements is up to 8 Tx /Rx.</w:t>
      </w:r>
    </w:p>
    <w:p w14:paraId="57448AB2" w14:textId="77777777" w:rsidR="001E5DE8" w:rsidRPr="00326631" w:rsidRDefault="001E5DE8" w:rsidP="001E5DE8">
      <w:pPr>
        <w:rPr>
          <w:b/>
          <w:bCs/>
          <w:sz w:val="20"/>
          <w:szCs w:val="20"/>
        </w:rPr>
      </w:pPr>
      <w:r w:rsidRPr="00A10787">
        <w:rPr>
          <w:b/>
          <w:bCs/>
          <w:sz w:val="20"/>
          <w:szCs w:val="20"/>
        </w:rPr>
        <w:t xml:space="preserve">Proposal </w:t>
      </w:r>
      <w:r>
        <w:rPr>
          <w:b/>
          <w:bCs/>
          <w:sz w:val="20"/>
          <w:szCs w:val="20"/>
        </w:rPr>
        <w:t>4</w:t>
      </w:r>
      <w:r w:rsidRPr="00A10787">
        <w:rPr>
          <w:b/>
          <w:bCs/>
          <w:sz w:val="20"/>
          <w:szCs w:val="20"/>
        </w:rPr>
        <w:t>: to include the values provided in Table 2 in the TR and to communicate them to ITU-R WP5D.</w:t>
      </w:r>
    </w:p>
    <w:p w14:paraId="7B89B95C" w14:textId="77777777" w:rsidR="001E5DE8" w:rsidRDefault="001E5DE8" w:rsidP="001E5DE8">
      <w:pPr>
        <w:rPr>
          <w:b/>
          <w:bCs/>
          <w:sz w:val="20"/>
          <w:szCs w:val="20"/>
        </w:rPr>
      </w:pPr>
      <w:r w:rsidRPr="00BC10C3">
        <w:rPr>
          <w:b/>
          <w:bCs/>
          <w:sz w:val="20"/>
          <w:szCs w:val="20"/>
        </w:rPr>
        <w:t xml:space="preserve">Proposal </w:t>
      </w:r>
      <w:r>
        <w:rPr>
          <w:b/>
          <w:bCs/>
          <w:sz w:val="20"/>
          <w:szCs w:val="20"/>
        </w:rPr>
        <w:t>5</w:t>
      </w:r>
      <w:r w:rsidRPr="00BC10C3">
        <w:rPr>
          <w:b/>
          <w:bCs/>
          <w:sz w:val="20"/>
          <w:szCs w:val="20"/>
        </w:rPr>
        <w:t>:  positioning accuracy requirement</w:t>
      </w:r>
      <w:r>
        <w:rPr>
          <w:b/>
          <w:bCs/>
          <w:sz w:val="20"/>
          <w:szCs w:val="20"/>
        </w:rPr>
        <w:t>s are based on Release-17 numbers (when evaluated in an IC TE) and on Release-18 numbers when evaluated in a MC or HRLLC TE</w:t>
      </w:r>
      <w:r w:rsidRPr="00BC10C3">
        <w:rPr>
          <w:b/>
          <w:bCs/>
          <w:sz w:val="20"/>
          <w:szCs w:val="20"/>
        </w:rPr>
        <w:t>.</w:t>
      </w:r>
    </w:p>
    <w:p w14:paraId="6D98F16F" w14:textId="77777777" w:rsidR="001E5DE8" w:rsidRPr="00DA3F88" w:rsidRDefault="001E5DE8" w:rsidP="001E5DE8">
      <w:pPr>
        <w:rPr>
          <w:b/>
          <w:bCs/>
          <w:sz w:val="20"/>
          <w:szCs w:val="20"/>
        </w:rPr>
      </w:pPr>
      <w:r w:rsidRPr="00C04B4C">
        <w:rPr>
          <w:b/>
          <w:bCs/>
          <w:sz w:val="20"/>
          <w:szCs w:val="20"/>
        </w:rPr>
        <w:t xml:space="preserve">Proposal </w:t>
      </w:r>
      <w:r>
        <w:rPr>
          <w:b/>
          <w:bCs/>
          <w:sz w:val="20"/>
          <w:szCs w:val="20"/>
        </w:rPr>
        <w:t>6</w:t>
      </w:r>
      <w:r w:rsidRPr="00C04B4C">
        <w:rPr>
          <w:b/>
          <w:bCs/>
          <w:sz w:val="20"/>
          <w:szCs w:val="20"/>
        </w:rPr>
        <w:t xml:space="preserve">: For ISAC, the requirements are: localization accuracy of 1m and range resolution of 1m. </w:t>
      </w:r>
    </w:p>
    <w:p w14:paraId="10CFE0B3" w14:textId="6D00BE27" w:rsidR="001E5DE8" w:rsidRPr="001E5DE8" w:rsidRDefault="001E5DE8" w:rsidP="001E5DE8">
      <w:pPr>
        <w:rPr>
          <w:b/>
          <w:bCs/>
          <w:sz w:val="20"/>
          <w:szCs w:val="20"/>
        </w:rPr>
      </w:pPr>
      <w:r w:rsidRPr="00913FF4">
        <w:rPr>
          <w:b/>
          <w:bCs/>
          <w:sz w:val="20"/>
          <w:szCs w:val="20"/>
        </w:rPr>
        <w:t xml:space="preserve">Proposal </w:t>
      </w:r>
      <w:r>
        <w:rPr>
          <w:b/>
          <w:bCs/>
          <w:sz w:val="20"/>
          <w:szCs w:val="20"/>
        </w:rPr>
        <w:t>7</w:t>
      </w:r>
      <w:r w:rsidRPr="00913FF4">
        <w:rPr>
          <w:b/>
          <w:bCs/>
          <w:sz w:val="20"/>
          <w:szCs w:val="20"/>
        </w:rPr>
        <w:t>: ISAC evaluation should focus on mono-static sensing and should cover both UE-based and network-based sensing</w:t>
      </w:r>
      <w:r>
        <w:rPr>
          <w:b/>
          <w:bCs/>
          <w:sz w:val="20"/>
          <w:szCs w:val="20"/>
        </w:rPr>
        <w:t xml:space="preserve"> (e.g. UE-based can be evaluated in an Indoor TE while network-based evaluated in an Outdoor TE)</w:t>
      </w:r>
      <w:r w:rsidRPr="00913FF4">
        <w:rPr>
          <w:b/>
          <w:bCs/>
          <w:sz w:val="20"/>
          <w:szCs w:val="20"/>
        </w:rPr>
        <w:t xml:space="preserve">. </w:t>
      </w:r>
    </w:p>
    <w:p w14:paraId="1E79C3A8" w14:textId="68F37B7C" w:rsidR="00D23A2C" w:rsidRDefault="00D23A2C" w:rsidP="00D23A2C">
      <w:pPr>
        <w:pStyle w:val="Heading1"/>
      </w:pPr>
      <w:r>
        <w:t>References</w:t>
      </w:r>
    </w:p>
    <w:p w14:paraId="0FE72EE5" w14:textId="3E0D8A4B" w:rsidR="00C17B67" w:rsidRDefault="00D23A2C" w:rsidP="008A3E30">
      <w:pPr>
        <w:pStyle w:val="0Maintext"/>
      </w:pPr>
      <w:r w:rsidRPr="00997BFC">
        <w:t>[1]</w:t>
      </w:r>
      <w:r w:rsidRPr="00997BFC">
        <w:tab/>
      </w:r>
      <w:r w:rsidR="00531349" w:rsidRPr="00531349">
        <w:t>RP-243327</w:t>
      </w:r>
      <w:r w:rsidR="00531349">
        <w:tab/>
      </w:r>
      <w:r w:rsidR="00531349" w:rsidRPr="00531349">
        <w:t>New SID: Study on 6G Scenarios and requirements</w:t>
      </w:r>
    </w:p>
    <w:p w14:paraId="2B1350FD" w14:textId="0A071D7F" w:rsidR="00411EE6" w:rsidRDefault="00411EE6" w:rsidP="008A3E30">
      <w:pPr>
        <w:pStyle w:val="0Maintext"/>
      </w:pPr>
      <w:r>
        <w:t>[2]</w:t>
      </w:r>
      <w:r>
        <w:tab/>
      </w:r>
      <w:r w:rsidR="00BD0B0D" w:rsidRPr="00BD0B0D">
        <w:t>RP-250819</w:t>
      </w:r>
      <w:r w:rsidR="00BD0B0D">
        <w:tab/>
      </w:r>
      <w:r w:rsidR="00370E11" w:rsidRPr="00370E11">
        <w:t>Moderator's summary for IMT-2030 TPRs</w:t>
      </w:r>
    </w:p>
    <w:p w14:paraId="3344A68D" w14:textId="5531310C" w:rsidR="00F501B7" w:rsidRDefault="00F501B7" w:rsidP="008A3E30">
      <w:pPr>
        <w:pStyle w:val="0Maintext"/>
      </w:pPr>
      <w:r>
        <w:t>[3]</w:t>
      </w:r>
      <w:r>
        <w:tab/>
      </w:r>
      <w:r w:rsidRPr="00F501B7">
        <w:t>RT-250024</w:t>
      </w:r>
      <w:r>
        <w:tab/>
      </w:r>
      <w:r w:rsidR="006E0328" w:rsidRPr="006E0328">
        <w:t>Moderator's summary for IMT-2030 TPRs in CC#1</w:t>
      </w:r>
    </w:p>
    <w:p w14:paraId="2F1382AA" w14:textId="19006292" w:rsidR="006E0328" w:rsidRDefault="001C0008" w:rsidP="00B04EBE">
      <w:pPr>
        <w:pStyle w:val="0Maintext"/>
        <w:ind w:left="720" w:hanging="360"/>
        <w:rPr>
          <w:lang w:val="en-US"/>
        </w:rPr>
      </w:pPr>
      <w:r>
        <w:lastRenderedPageBreak/>
        <w:t>[4]</w:t>
      </w:r>
      <w:r>
        <w:tab/>
      </w:r>
      <w:r w:rsidRPr="001C0008">
        <w:rPr>
          <w:lang w:val="en-US"/>
        </w:rPr>
        <w:t>RT-250023</w:t>
      </w:r>
      <w:r>
        <w:rPr>
          <w:lang w:val="en-US"/>
        </w:rPr>
        <w:tab/>
      </w:r>
      <w:r w:rsidR="000A357B" w:rsidRPr="000A357B">
        <w:rPr>
          <w:lang w:val="en-US"/>
        </w:rPr>
        <w:t>Operator’s</w:t>
      </w:r>
      <w:r w:rsidR="000A357B">
        <w:rPr>
          <w:lang w:val="en-US"/>
        </w:rPr>
        <w:t xml:space="preserve"> </w:t>
      </w:r>
      <w:r w:rsidR="000A357B" w:rsidRPr="000A357B">
        <w:rPr>
          <w:lang w:val="en-US"/>
        </w:rPr>
        <w:t xml:space="preserve">view on </w:t>
      </w:r>
      <w:r w:rsidR="000A357B" w:rsidRPr="000A357B">
        <w:rPr>
          <w:u w:val="single"/>
          <w:lang w:val="en-US"/>
        </w:rPr>
        <w:t>realistic</w:t>
      </w:r>
      <w:r w:rsidR="000A357B" w:rsidRPr="000A357B">
        <w:rPr>
          <w:lang w:val="en-US"/>
        </w:rPr>
        <w:t xml:space="preserve"> TPR definition for IMT-2030 / “6G”</w:t>
      </w:r>
      <w:r w:rsidR="00B04EBE">
        <w:rPr>
          <w:lang w:val="en-US"/>
        </w:rPr>
        <w:t xml:space="preserve"> </w:t>
      </w:r>
      <w:r w:rsidR="00B04EBE">
        <w:rPr>
          <w:lang w:val="en-US"/>
        </w:rPr>
        <w:tab/>
      </w:r>
      <w:r w:rsidR="00B04EBE" w:rsidRPr="00B04EBE">
        <w:rPr>
          <w:lang w:val="en-US"/>
        </w:rPr>
        <w:t>Deutsche Telekom,</w:t>
      </w:r>
      <w:r w:rsidR="00B04EBE">
        <w:rPr>
          <w:lang w:val="en-US"/>
        </w:rPr>
        <w:t xml:space="preserve"> </w:t>
      </w:r>
      <w:r w:rsidR="00B04EBE" w:rsidRPr="00B04EBE">
        <w:rPr>
          <w:lang w:val="en-US"/>
        </w:rPr>
        <w:t xml:space="preserve">Telenor, Spark NZ, </w:t>
      </w:r>
      <w:proofErr w:type="spellStart"/>
      <w:r w:rsidR="00B04EBE" w:rsidRPr="00B04EBE">
        <w:rPr>
          <w:lang w:val="en-US"/>
        </w:rPr>
        <w:t>Odido</w:t>
      </w:r>
      <w:proofErr w:type="spellEnd"/>
      <w:r w:rsidR="00B04EBE" w:rsidRPr="00B04EBE">
        <w:rPr>
          <w:lang w:val="en-US"/>
        </w:rPr>
        <w:t>, BT, Vodafone, Bouygues Telecom, Telia Company, Orange, KPN, TIM</w:t>
      </w:r>
    </w:p>
    <w:p w14:paraId="429DC8C9" w14:textId="60E25159" w:rsidR="0038173A" w:rsidRDefault="0038173A" w:rsidP="00B04EBE">
      <w:pPr>
        <w:pStyle w:val="0Maintext"/>
        <w:ind w:left="720" w:hanging="360"/>
        <w:rPr>
          <w:lang w:val="en-US"/>
        </w:rPr>
      </w:pPr>
      <w:r>
        <w:rPr>
          <w:lang w:val="en-US"/>
        </w:rPr>
        <w:t>[5]</w:t>
      </w:r>
      <w:r>
        <w:rPr>
          <w:lang w:val="en-US"/>
        </w:rPr>
        <w:tab/>
      </w:r>
      <w:r w:rsidR="001608E5" w:rsidRPr="001608E5">
        <w:rPr>
          <w:lang w:val="en-US"/>
        </w:rPr>
        <w:t>RT-250020</w:t>
      </w:r>
      <w:r w:rsidR="001608E5">
        <w:rPr>
          <w:lang w:val="en-US"/>
        </w:rPr>
        <w:tab/>
      </w:r>
      <w:r w:rsidR="001608E5" w:rsidRPr="001608E5">
        <w:rPr>
          <w:lang w:val="en-US"/>
        </w:rPr>
        <w:t>AT&amp;T input to CC on IMT-2030 TPR discussion, AT&amp;T</w:t>
      </w:r>
    </w:p>
    <w:p w14:paraId="2F523BDB" w14:textId="179717BD" w:rsidR="00D007A2" w:rsidRDefault="00D007A2" w:rsidP="00B04EBE">
      <w:pPr>
        <w:pStyle w:val="0Maintext"/>
        <w:ind w:left="720" w:hanging="360"/>
        <w:rPr>
          <w:lang w:val="en-US"/>
        </w:rPr>
      </w:pPr>
      <w:r>
        <w:rPr>
          <w:lang w:val="en-US"/>
        </w:rPr>
        <w:t>[6]</w:t>
      </w:r>
      <w:r>
        <w:rPr>
          <w:lang w:val="en-US"/>
        </w:rPr>
        <w:tab/>
      </w:r>
      <w:r w:rsidRPr="00D007A2">
        <w:rPr>
          <w:lang w:val="en-US"/>
        </w:rPr>
        <w:t>M.2412</w:t>
      </w:r>
      <w:r>
        <w:rPr>
          <w:lang w:val="en-US"/>
        </w:rPr>
        <w:tab/>
      </w:r>
      <w:r>
        <w:rPr>
          <w:lang w:val="en-US"/>
        </w:rPr>
        <w:tab/>
      </w:r>
      <w:r w:rsidR="00834E5C" w:rsidRPr="00834E5C">
        <w:rPr>
          <w:lang w:val="en-US"/>
        </w:rPr>
        <w:t>Guidelines for evaluation of radio interface technologies for IMT-2020</w:t>
      </w:r>
    </w:p>
    <w:p w14:paraId="1FD93EE8" w14:textId="77777777" w:rsidR="00D007A2" w:rsidRDefault="00D007A2" w:rsidP="00B04EBE">
      <w:pPr>
        <w:pStyle w:val="0Maintext"/>
        <w:ind w:left="720" w:hanging="360"/>
        <w:rPr>
          <w:lang w:val="en-US"/>
        </w:rPr>
      </w:pPr>
    </w:p>
    <w:p w14:paraId="3140EC6C" w14:textId="77777777" w:rsidR="00D007A2" w:rsidRDefault="00D007A2" w:rsidP="00B04EBE">
      <w:pPr>
        <w:pStyle w:val="0Maintext"/>
        <w:ind w:left="720" w:hanging="360"/>
      </w:pPr>
    </w:p>
    <w:p w14:paraId="5873C016" w14:textId="4A60BBA5" w:rsidR="008A10A9" w:rsidRDefault="008A10A9" w:rsidP="008A3E30">
      <w:pPr>
        <w:pStyle w:val="0Maintext"/>
        <w:rPr>
          <w:lang w:val="en-US"/>
        </w:rPr>
      </w:pPr>
    </w:p>
    <w:sectPr w:rsidR="008A10A9">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81836" w14:textId="77777777" w:rsidR="00E560A5" w:rsidRDefault="00E560A5" w:rsidP="00BE5007">
      <w:r>
        <w:separator/>
      </w:r>
    </w:p>
  </w:endnote>
  <w:endnote w:type="continuationSeparator" w:id="0">
    <w:p w14:paraId="1D528944" w14:textId="77777777" w:rsidR="00E560A5" w:rsidRDefault="00E560A5" w:rsidP="00BE5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Dotum">
    <w:altName w:val="돋움"/>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7A914" w14:textId="77777777" w:rsidR="00E560A5" w:rsidRDefault="00E560A5" w:rsidP="00BE5007">
      <w:r>
        <w:separator/>
      </w:r>
    </w:p>
  </w:footnote>
  <w:footnote w:type="continuationSeparator" w:id="0">
    <w:p w14:paraId="341DB036" w14:textId="77777777" w:rsidR="00E560A5" w:rsidRDefault="00E560A5" w:rsidP="00BE50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27653C9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alt="/Users/sasha.sirotkin/Library/Containers/com.microsoft.Powerpoint/Data/tmp/art026D2570" style="width:75pt;height:75pt;visibility:visible;mso-wrap-style:square;mso-left-percent:-10001;mso-top-percent:-10001;mso-position-horizontal:absolute;mso-position-horizontal-relative:char;mso-position-vertical:absolute;mso-position-vertical-relative:line;mso-left-percent:-10001;mso-top-percent:-10001">
            <w10:anchorlock/>
          </v:shape>
        </w:pict>
      </mc:Choice>
      <mc:Fallback>
        <w:drawing>
          <wp:inline distT="0" distB="0" distL="0" distR="0" wp14:anchorId="763861D8" wp14:editId="763861D9">
            <wp:extent cx="952500" cy="952500"/>
            <wp:effectExtent l="0" t="0" r="0" b="0"/>
            <wp:docPr id="1942075809" name="Picture 1" descr="/Users/sasha.sirotkin/Library/Containers/com.microsoft.Powerpoint/Data/tmp/art026D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75690" name="Picture 142675690" descr="/Users/sasha.sirotkin/Library/Containers/com.microsoft.Powerpoint/Data/tmp/art026D2570"/>
                    <pic:cNvPicPr/>
                  </pic:nvPicPr>
                  <pic:blipFill>
                    <a:blip>
                      <a:extLst>
                        <a:ext uri="{28A0092B-C50C-407E-A947-70E740481C1C}">
                          <a14:useLocalDpi xmlns:a14="http://schemas.microsoft.com/office/drawing/2010/main" val="0"/>
                        </a:ext>
                      </a:extLst>
                    </a:blip>
                    <a:stretch>
                      <a:fillRect/>
                    </a:stretch>
                  </pic:blipFill>
                  <pic:spPr>
                    <a:xfrm>
                      <a:off x="0" y="0"/>
                      <a:ext cx="952500" cy="952500"/>
                    </a:xfrm>
                    <a:prstGeom prst="rect">
                      <a:avLst/>
                    </a:prstGeom>
                  </pic:spPr>
                </pic:pic>
              </a:graphicData>
            </a:graphic>
          </wp:inline>
        </w:drawing>
      </mc:Fallback>
    </mc:AlternateContent>
  </w:numPicBullet>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8DD38F0"/>
    <w:multiLevelType w:val="hybridMultilevel"/>
    <w:tmpl w:val="1BDE9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F2E25"/>
    <w:multiLevelType w:val="hybridMultilevel"/>
    <w:tmpl w:val="E37A6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C7A2FC2"/>
    <w:multiLevelType w:val="hybridMultilevel"/>
    <w:tmpl w:val="543E302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E3E68E9"/>
    <w:multiLevelType w:val="hybridMultilevel"/>
    <w:tmpl w:val="EF147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78669C"/>
    <w:multiLevelType w:val="hybridMultilevel"/>
    <w:tmpl w:val="9948E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C51E55"/>
    <w:multiLevelType w:val="hybridMultilevel"/>
    <w:tmpl w:val="94027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BE75DE"/>
    <w:multiLevelType w:val="hybridMultilevel"/>
    <w:tmpl w:val="4E266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D70030"/>
    <w:multiLevelType w:val="hybridMultilevel"/>
    <w:tmpl w:val="A4A25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A666A5"/>
    <w:multiLevelType w:val="hybridMultilevel"/>
    <w:tmpl w:val="4F4EC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EA2F62"/>
    <w:multiLevelType w:val="hybridMultilevel"/>
    <w:tmpl w:val="02DE6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474567"/>
    <w:multiLevelType w:val="hybridMultilevel"/>
    <w:tmpl w:val="7BC00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5" w15:restartNumberingAfterBreak="0">
    <w:nsid w:val="3FA5683A"/>
    <w:multiLevelType w:val="hybridMultilevel"/>
    <w:tmpl w:val="78887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EE5712"/>
    <w:multiLevelType w:val="hybridMultilevel"/>
    <w:tmpl w:val="0F348664"/>
    <w:lvl w:ilvl="0" w:tplc="1212C16E">
      <w:start w:val="1"/>
      <w:numFmt w:val="bullet"/>
      <w:lvlText w:val="•"/>
      <w:lvlJc w:val="left"/>
      <w:pPr>
        <w:tabs>
          <w:tab w:val="num" w:pos="720"/>
        </w:tabs>
        <w:ind w:left="720" w:hanging="360"/>
      </w:pPr>
      <w:rPr>
        <w:rFonts w:ascii="Arial" w:hAnsi="Arial" w:hint="default"/>
      </w:rPr>
    </w:lvl>
    <w:lvl w:ilvl="1" w:tplc="54A24978">
      <w:start w:val="1"/>
      <w:numFmt w:val="bullet"/>
      <w:lvlText w:val="•"/>
      <w:lvlJc w:val="left"/>
      <w:pPr>
        <w:tabs>
          <w:tab w:val="num" w:pos="1440"/>
        </w:tabs>
        <w:ind w:left="1440" w:hanging="360"/>
      </w:pPr>
      <w:rPr>
        <w:rFonts w:ascii="Arial" w:hAnsi="Arial" w:hint="default"/>
      </w:rPr>
    </w:lvl>
    <w:lvl w:ilvl="2" w:tplc="17B6FCF2">
      <w:numFmt w:val="bullet"/>
      <w:lvlText w:val="•"/>
      <w:lvlJc w:val="left"/>
      <w:pPr>
        <w:tabs>
          <w:tab w:val="num" w:pos="2160"/>
        </w:tabs>
        <w:ind w:left="2160" w:hanging="360"/>
      </w:pPr>
      <w:rPr>
        <w:rFonts w:ascii="Arial" w:hAnsi="Arial" w:hint="default"/>
      </w:rPr>
    </w:lvl>
    <w:lvl w:ilvl="3" w:tplc="8AAC821A" w:tentative="1">
      <w:start w:val="1"/>
      <w:numFmt w:val="bullet"/>
      <w:lvlText w:val="•"/>
      <w:lvlJc w:val="left"/>
      <w:pPr>
        <w:tabs>
          <w:tab w:val="num" w:pos="2880"/>
        </w:tabs>
        <w:ind w:left="2880" w:hanging="360"/>
      </w:pPr>
      <w:rPr>
        <w:rFonts w:ascii="Arial" w:hAnsi="Arial" w:hint="default"/>
      </w:rPr>
    </w:lvl>
    <w:lvl w:ilvl="4" w:tplc="A9E0783A" w:tentative="1">
      <w:start w:val="1"/>
      <w:numFmt w:val="bullet"/>
      <w:lvlText w:val="•"/>
      <w:lvlJc w:val="left"/>
      <w:pPr>
        <w:tabs>
          <w:tab w:val="num" w:pos="3600"/>
        </w:tabs>
        <w:ind w:left="3600" w:hanging="360"/>
      </w:pPr>
      <w:rPr>
        <w:rFonts w:ascii="Arial" w:hAnsi="Arial" w:hint="default"/>
      </w:rPr>
    </w:lvl>
    <w:lvl w:ilvl="5" w:tplc="D6A62C32" w:tentative="1">
      <w:start w:val="1"/>
      <w:numFmt w:val="bullet"/>
      <w:lvlText w:val="•"/>
      <w:lvlJc w:val="left"/>
      <w:pPr>
        <w:tabs>
          <w:tab w:val="num" w:pos="4320"/>
        </w:tabs>
        <w:ind w:left="4320" w:hanging="360"/>
      </w:pPr>
      <w:rPr>
        <w:rFonts w:ascii="Arial" w:hAnsi="Arial" w:hint="default"/>
      </w:rPr>
    </w:lvl>
    <w:lvl w:ilvl="6" w:tplc="00504A6A" w:tentative="1">
      <w:start w:val="1"/>
      <w:numFmt w:val="bullet"/>
      <w:lvlText w:val="•"/>
      <w:lvlJc w:val="left"/>
      <w:pPr>
        <w:tabs>
          <w:tab w:val="num" w:pos="5040"/>
        </w:tabs>
        <w:ind w:left="5040" w:hanging="360"/>
      </w:pPr>
      <w:rPr>
        <w:rFonts w:ascii="Arial" w:hAnsi="Arial" w:hint="default"/>
      </w:rPr>
    </w:lvl>
    <w:lvl w:ilvl="7" w:tplc="242C1AEA" w:tentative="1">
      <w:start w:val="1"/>
      <w:numFmt w:val="bullet"/>
      <w:lvlText w:val="•"/>
      <w:lvlJc w:val="left"/>
      <w:pPr>
        <w:tabs>
          <w:tab w:val="num" w:pos="5760"/>
        </w:tabs>
        <w:ind w:left="5760" w:hanging="360"/>
      </w:pPr>
      <w:rPr>
        <w:rFonts w:ascii="Arial" w:hAnsi="Arial" w:hint="default"/>
      </w:rPr>
    </w:lvl>
    <w:lvl w:ilvl="8" w:tplc="F9F852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4008F4"/>
    <w:multiLevelType w:val="hybridMultilevel"/>
    <w:tmpl w:val="5E30C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115A0A"/>
    <w:multiLevelType w:val="hybridMultilevel"/>
    <w:tmpl w:val="E19E1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62377E"/>
    <w:multiLevelType w:val="hybridMultilevel"/>
    <w:tmpl w:val="14A8C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3F0B1A"/>
    <w:multiLevelType w:val="hybridMultilevel"/>
    <w:tmpl w:val="14962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6CF7DE7"/>
    <w:multiLevelType w:val="hybridMultilevel"/>
    <w:tmpl w:val="9BEA0106"/>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77916CB"/>
    <w:multiLevelType w:val="hybridMultilevel"/>
    <w:tmpl w:val="310E3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693DC8"/>
    <w:multiLevelType w:val="hybridMultilevel"/>
    <w:tmpl w:val="D4F44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8D711E"/>
    <w:multiLevelType w:val="hybridMultilevel"/>
    <w:tmpl w:val="CEC28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256E9B"/>
    <w:multiLevelType w:val="hybridMultilevel"/>
    <w:tmpl w:val="E3F4C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B80526"/>
    <w:multiLevelType w:val="hybridMultilevel"/>
    <w:tmpl w:val="6FC2D480"/>
    <w:lvl w:ilvl="0" w:tplc="C89C89A8">
      <w:start w:val="1"/>
      <w:numFmt w:val="bullet"/>
      <w:lvlText w:val="•"/>
      <w:lvlJc w:val="left"/>
      <w:pPr>
        <w:tabs>
          <w:tab w:val="num" w:pos="360"/>
        </w:tabs>
        <w:ind w:left="360" w:hanging="360"/>
      </w:pPr>
      <w:rPr>
        <w:rFonts w:ascii="Arial" w:hAnsi="Arial" w:hint="default"/>
      </w:rPr>
    </w:lvl>
    <w:lvl w:ilvl="1" w:tplc="95348B06">
      <w:start w:val="1"/>
      <w:numFmt w:val="bullet"/>
      <w:lvlText w:val="•"/>
      <w:lvlJc w:val="left"/>
      <w:pPr>
        <w:tabs>
          <w:tab w:val="num" w:pos="1080"/>
        </w:tabs>
        <w:ind w:left="1080" w:hanging="360"/>
      </w:pPr>
      <w:rPr>
        <w:rFonts w:ascii="Arial" w:hAnsi="Arial" w:hint="default"/>
      </w:rPr>
    </w:lvl>
    <w:lvl w:ilvl="2" w:tplc="CB9218EC">
      <w:numFmt w:val="bullet"/>
      <w:lvlText w:val="•"/>
      <w:lvlJc w:val="left"/>
      <w:pPr>
        <w:tabs>
          <w:tab w:val="num" w:pos="1800"/>
        </w:tabs>
        <w:ind w:left="1800" w:hanging="360"/>
      </w:pPr>
      <w:rPr>
        <w:rFonts w:ascii="Arial" w:hAnsi="Arial" w:hint="default"/>
      </w:rPr>
    </w:lvl>
    <w:lvl w:ilvl="3" w:tplc="70ECAB0E" w:tentative="1">
      <w:start w:val="1"/>
      <w:numFmt w:val="bullet"/>
      <w:lvlText w:val="•"/>
      <w:lvlJc w:val="left"/>
      <w:pPr>
        <w:tabs>
          <w:tab w:val="num" w:pos="2520"/>
        </w:tabs>
        <w:ind w:left="2520" w:hanging="360"/>
      </w:pPr>
      <w:rPr>
        <w:rFonts w:ascii="Arial" w:hAnsi="Arial" w:hint="default"/>
      </w:rPr>
    </w:lvl>
    <w:lvl w:ilvl="4" w:tplc="E092DBFC" w:tentative="1">
      <w:start w:val="1"/>
      <w:numFmt w:val="bullet"/>
      <w:lvlText w:val="•"/>
      <w:lvlJc w:val="left"/>
      <w:pPr>
        <w:tabs>
          <w:tab w:val="num" w:pos="3240"/>
        </w:tabs>
        <w:ind w:left="3240" w:hanging="360"/>
      </w:pPr>
      <w:rPr>
        <w:rFonts w:ascii="Arial" w:hAnsi="Arial" w:hint="default"/>
      </w:rPr>
    </w:lvl>
    <w:lvl w:ilvl="5" w:tplc="EC225F04" w:tentative="1">
      <w:start w:val="1"/>
      <w:numFmt w:val="bullet"/>
      <w:lvlText w:val="•"/>
      <w:lvlJc w:val="left"/>
      <w:pPr>
        <w:tabs>
          <w:tab w:val="num" w:pos="3960"/>
        </w:tabs>
        <w:ind w:left="3960" w:hanging="360"/>
      </w:pPr>
      <w:rPr>
        <w:rFonts w:ascii="Arial" w:hAnsi="Arial" w:hint="default"/>
      </w:rPr>
    </w:lvl>
    <w:lvl w:ilvl="6" w:tplc="968E67DC" w:tentative="1">
      <w:start w:val="1"/>
      <w:numFmt w:val="bullet"/>
      <w:lvlText w:val="•"/>
      <w:lvlJc w:val="left"/>
      <w:pPr>
        <w:tabs>
          <w:tab w:val="num" w:pos="4680"/>
        </w:tabs>
        <w:ind w:left="4680" w:hanging="360"/>
      </w:pPr>
      <w:rPr>
        <w:rFonts w:ascii="Arial" w:hAnsi="Arial" w:hint="default"/>
      </w:rPr>
    </w:lvl>
    <w:lvl w:ilvl="7" w:tplc="EEA6E6F6" w:tentative="1">
      <w:start w:val="1"/>
      <w:numFmt w:val="bullet"/>
      <w:lvlText w:val="•"/>
      <w:lvlJc w:val="left"/>
      <w:pPr>
        <w:tabs>
          <w:tab w:val="num" w:pos="5400"/>
        </w:tabs>
        <w:ind w:left="5400" w:hanging="360"/>
      </w:pPr>
      <w:rPr>
        <w:rFonts w:ascii="Arial" w:hAnsi="Arial" w:hint="default"/>
      </w:rPr>
    </w:lvl>
    <w:lvl w:ilvl="8" w:tplc="0E2E598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1500A78"/>
    <w:multiLevelType w:val="hybridMultilevel"/>
    <w:tmpl w:val="B2AAB1DC"/>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32" w15:restartNumberingAfterBreak="0">
    <w:nsid w:val="63DE04B8"/>
    <w:multiLevelType w:val="hybridMultilevel"/>
    <w:tmpl w:val="8692F7BE"/>
    <w:lvl w:ilvl="0" w:tplc="F38E37BA">
      <w:start w:val="1"/>
      <w:numFmt w:val="bullet"/>
      <w:lvlText w:val="•"/>
      <w:lvlJc w:val="left"/>
      <w:pPr>
        <w:tabs>
          <w:tab w:val="num" w:pos="720"/>
        </w:tabs>
        <w:ind w:left="720" w:hanging="360"/>
      </w:pPr>
      <w:rPr>
        <w:rFonts w:ascii="Arial" w:hAnsi="Arial" w:hint="default"/>
      </w:rPr>
    </w:lvl>
    <w:lvl w:ilvl="1" w:tplc="56F8D7C8">
      <w:start w:val="1"/>
      <w:numFmt w:val="bullet"/>
      <w:lvlText w:val="•"/>
      <w:lvlJc w:val="left"/>
      <w:pPr>
        <w:tabs>
          <w:tab w:val="num" w:pos="1440"/>
        </w:tabs>
        <w:ind w:left="1440" w:hanging="360"/>
      </w:pPr>
      <w:rPr>
        <w:rFonts w:ascii="Arial" w:hAnsi="Arial" w:hint="default"/>
      </w:rPr>
    </w:lvl>
    <w:lvl w:ilvl="2" w:tplc="AE5EDB78">
      <w:numFmt w:val="bullet"/>
      <w:lvlText w:val="•"/>
      <w:lvlJc w:val="left"/>
      <w:pPr>
        <w:tabs>
          <w:tab w:val="num" w:pos="2160"/>
        </w:tabs>
        <w:ind w:left="2160" w:hanging="360"/>
      </w:pPr>
      <w:rPr>
        <w:rFonts w:ascii="Arial" w:hAnsi="Arial" w:hint="default"/>
      </w:rPr>
    </w:lvl>
    <w:lvl w:ilvl="3" w:tplc="32E038A6" w:tentative="1">
      <w:start w:val="1"/>
      <w:numFmt w:val="bullet"/>
      <w:lvlText w:val="•"/>
      <w:lvlJc w:val="left"/>
      <w:pPr>
        <w:tabs>
          <w:tab w:val="num" w:pos="2880"/>
        </w:tabs>
        <w:ind w:left="2880" w:hanging="360"/>
      </w:pPr>
      <w:rPr>
        <w:rFonts w:ascii="Arial" w:hAnsi="Arial" w:hint="default"/>
      </w:rPr>
    </w:lvl>
    <w:lvl w:ilvl="4" w:tplc="B872A08E" w:tentative="1">
      <w:start w:val="1"/>
      <w:numFmt w:val="bullet"/>
      <w:lvlText w:val="•"/>
      <w:lvlJc w:val="left"/>
      <w:pPr>
        <w:tabs>
          <w:tab w:val="num" w:pos="3600"/>
        </w:tabs>
        <w:ind w:left="3600" w:hanging="360"/>
      </w:pPr>
      <w:rPr>
        <w:rFonts w:ascii="Arial" w:hAnsi="Arial" w:hint="default"/>
      </w:rPr>
    </w:lvl>
    <w:lvl w:ilvl="5" w:tplc="D0E2FCE4" w:tentative="1">
      <w:start w:val="1"/>
      <w:numFmt w:val="bullet"/>
      <w:lvlText w:val="•"/>
      <w:lvlJc w:val="left"/>
      <w:pPr>
        <w:tabs>
          <w:tab w:val="num" w:pos="4320"/>
        </w:tabs>
        <w:ind w:left="4320" w:hanging="360"/>
      </w:pPr>
      <w:rPr>
        <w:rFonts w:ascii="Arial" w:hAnsi="Arial" w:hint="default"/>
      </w:rPr>
    </w:lvl>
    <w:lvl w:ilvl="6" w:tplc="3D228F38" w:tentative="1">
      <w:start w:val="1"/>
      <w:numFmt w:val="bullet"/>
      <w:lvlText w:val="•"/>
      <w:lvlJc w:val="left"/>
      <w:pPr>
        <w:tabs>
          <w:tab w:val="num" w:pos="5040"/>
        </w:tabs>
        <w:ind w:left="5040" w:hanging="360"/>
      </w:pPr>
      <w:rPr>
        <w:rFonts w:ascii="Arial" w:hAnsi="Arial" w:hint="default"/>
      </w:rPr>
    </w:lvl>
    <w:lvl w:ilvl="7" w:tplc="BE38166C" w:tentative="1">
      <w:start w:val="1"/>
      <w:numFmt w:val="bullet"/>
      <w:lvlText w:val="•"/>
      <w:lvlJc w:val="left"/>
      <w:pPr>
        <w:tabs>
          <w:tab w:val="num" w:pos="5760"/>
        </w:tabs>
        <w:ind w:left="5760" w:hanging="360"/>
      </w:pPr>
      <w:rPr>
        <w:rFonts w:ascii="Arial" w:hAnsi="Arial" w:hint="default"/>
      </w:rPr>
    </w:lvl>
    <w:lvl w:ilvl="8" w:tplc="98A8072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5" w15:restartNumberingAfterBreak="0">
    <w:nsid w:val="695B21D7"/>
    <w:multiLevelType w:val="hybridMultilevel"/>
    <w:tmpl w:val="D19A979C"/>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B40439A"/>
    <w:multiLevelType w:val="hybridMultilevel"/>
    <w:tmpl w:val="E306DC66"/>
    <w:lvl w:ilvl="0" w:tplc="40090017">
      <w:start w:val="1"/>
      <w:numFmt w:val="lowerLetter"/>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F25855"/>
    <w:multiLevelType w:val="hybridMultilevel"/>
    <w:tmpl w:val="F3023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E63F96"/>
    <w:multiLevelType w:val="hybridMultilevel"/>
    <w:tmpl w:val="43962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7170504">
    <w:abstractNumId w:val="1"/>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23"/>
  </w:num>
  <w:num w:numId="4" w16cid:durableId="1500922045">
    <w:abstractNumId w:val="33"/>
  </w:num>
  <w:num w:numId="5" w16cid:durableId="402070213">
    <w:abstractNumId w:val="39"/>
  </w:num>
  <w:num w:numId="6" w16cid:durableId="1249382853">
    <w:abstractNumId w:val="34"/>
  </w:num>
  <w:num w:numId="7" w16cid:durableId="1937329399">
    <w:abstractNumId w:val="37"/>
  </w:num>
  <w:num w:numId="8" w16cid:durableId="97070147">
    <w:abstractNumId w:val="16"/>
  </w:num>
  <w:num w:numId="9" w16cid:durableId="1697460755">
    <w:abstractNumId w:val="32"/>
  </w:num>
  <w:num w:numId="10" w16cid:durableId="833110543">
    <w:abstractNumId w:val="17"/>
  </w:num>
  <w:num w:numId="11" w16cid:durableId="957372470">
    <w:abstractNumId w:val="28"/>
  </w:num>
  <w:num w:numId="12" w16cid:durableId="1441099388">
    <w:abstractNumId w:val="19"/>
  </w:num>
  <w:num w:numId="13" w16cid:durableId="112094939">
    <w:abstractNumId w:val="10"/>
  </w:num>
  <w:num w:numId="14" w16cid:durableId="959603700">
    <w:abstractNumId w:val="25"/>
  </w:num>
  <w:num w:numId="15" w16cid:durableId="455218578">
    <w:abstractNumId w:val="5"/>
  </w:num>
  <w:num w:numId="16" w16cid:durableId="1322587628">
    <w:abstractNumId w:val="30"/>
  </w:num>
  <w:num w:numId="17" w16cid:durableId="1027559369">
    <w:abstractNumId w:val="11"/>
  </w:num>
  <w:num w:numId="18" w16cid:durableId="365713008">
    <w:abstractNumId w:val="22"/>
  </w:num>
  <w:num w:numId="19" w16cid:durableId="1717311850">
    <w:abstractNumId w:val="6"/>
  </w:num>
  <w:num w:numId="20" w16cid:durableId="496461356">
    <w:abstractNumId w:val="21"/>
  </w:num>
  <w:num w:numId="21" w16cid:durableId="329213269">
    <w:abstractNumId w:val="13"/>
  </w:num>
  <w:num w:numId="22" w16cid:durableId="42759152">
    <w:abstractNumId w:val="2"/>
  </w:num>
  <w:num w:numId="23" w16cid:durableId="469860248">
    <w:abstractNumId w:val="40"/>
  </w:num>
  <w:num w:numId="24" w16cid:durableId="1190142424">
    <w:abstractNumId w:val="14"/>
  </w:num>
  <w:num w:numId="25" w16cid:durableId="152723333">
    <w:abstractNumId w:val="26"/>
  </w:num>
  <w:num w:numId="26" w16cid:durableId="1959213388">
    <w:abstractNumId w:val="36"/>
  </w:num>
  <w:num w:numId="27" w16cid:durableId="823811900">
    <w:abstractNumId w:val="15"/>
  </w:num>
  <w:num w:numId="28" w16cid:durableId="565187333">
    <w:abstractNumId w:val="27"/>
  </w:num>
  <w:num w:numId="29" w16cid:durableId="594899283">
    <w:abstractNumId w:val="29"/>
  </w:num>
  <w:num w:numId="30" w16cid:durableId="1984699402">
    <w:abstractNumId w:val="31"/>
  </w:num>
  <w:num w:numId="31" w16cid:durableId="1867862648">
    <w:abstractNumId w:val="41"/>
  </w:num>
  <w:num w:numId="32" w16cid:durableId="176887727">
    <w:abstractNumId w:val="18"/>
  </w:num>
  <w:num w:numId="33" w16cid:durableId="115107594">
    <w:abstractNumId w:val="12"/>
  </w:num>
  <w:num w:numId="34" w16cid:durableId="48306204">
    <w:abstractNumId w:val="3"/>
  </w:num>
  <w:num w:numId="35" w16cid:durableId="1678312712">
    <w:abstractNumId w:val="7"/>
  </w:num>
  <w:num w:numId="36" w16cid:durableId="261106587">
    <w:abstractNumId w:val="9"/>
  </w:num>
  <w:num w:numId="37" w16cid:durableId="640958899">
    <w:abstractNumId w:val="8"/>
  </w:num>
  <w:num w:numId="38" w16cid:durableId="1110859621">
    <w:abstractNumId w:val="35"/>
  </w:num>
  <w:num w:numId="39" w16cid:durableId="1269462409">
    <w:abstractNumId w:val="24"/>
  </w:num>
  <w:num w:numId="40" w16cid:durableId="123894649">
    <w:abstractNumId w:val="4"/>
  </w:num>
  <w:num w:numId="41" w16cid:durableId="15473947">
    <w:abstractNumId w:val="20"/>
  </w:num>
  <w:num w:numId="42" w16cid:durableId="180565759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17BB"/>
    <w:rsid w:val="00001FA8"/>
    <w:rsid w:val="00003990"/>
    <w:rsid w:val="000166E3"/>
    <w:rsid w:val="00017B94"/>
    <w:rsid w:val="00017E93"/>
    <w:rsid w:val="000209A2"/>
    <w:rsid w:val="000210CB"/>
    <w:rsid w:val="000212EC"/>
    <w:rsid w:val="00027F4A"/>
    <w:rsid w:val="00031D27"/>
    <w:rsid w:val="00031E68"/>
    <w:rsid w:val="000321B8"/>
    <w:rsid w:val="000354D1"/>
    <w:rsid w:val="00035D3E"/>
    <w:rsid w:val="00036CF2"/>
    <w:rsid w:val="00036DC1"/>
    <w:rsid w:val="00037E22"/>
    <w:rsid w:val="00041988"/>
    <w:rsid w:val="00042D5F"/>
    <w:rsid w:val="00044CC2"/>
    <w:rsid w:val="00045E71"/>
    <w:rsid w:val="00046585"/>
    <w:rsid w:val="00050D4A"/>
    <w:rsid w:val="000531E2"/>
    <w:rsid w:val="00055D16"/>
    <w:rsid w:val="00055F76"/>
    <w:rsid w:val="0005612B"/>
    <w:rsid w:val="000605BB"/>
    <w:rsid w:val="00062AD2"/>
    <w:rsid w:val="0006765A"/>
    <w:rsid w:val="000705CD"/>
    <w:rsid w:val="00073CCA"/>
    <w:rsid w:val="000758A0"/>
    <w:rsid w:val="0007732F"/>
    <w:rsid w:val="00077851"/>
    <w:rsid w:val="00084F13"/>
    <w:rsid w:val="00085223"/>
    <w:rsid w:val="00095C68"/>
    <w:rsid w:val="000A1890"/>
    <w:rsid w:val="000A357B"/>
    <w:rsid w:val="000B0018"/>
    <w:rsid w:val="000B4160"/>
    <w:rsid w:val="000B4A13"/>
    <w:rsid w:val="000B669B"/>
    <w:rsid w:val="000C14D5"/>
    <w:rsid w:val="000D0B8C"/>
    <w:rsid w:val="000D0F78"/>
    <w:rsid w:val="000D2660"/>
    <w:rsid w:val="000D36CE"/>
    <w:rsid w:val="000D4FE5"/>
    <w:rsid w:val="000D57FF"/>
    <w:rsid w:val="000D6BB4"/>
    <w:rsid w:val="000E10FE"/>
    <w:rsid w:val="000E5CF2"/>
    <w:rsid w:val="000E6FF8"/>
    <w:rsid w:val="000E71B3"/>
    <w:rsid w:val="000F2C70"/>
    <w:rsid w:val="000F7C5B"/>
    <w:rsid w:val="00100BE4"/>
    <w:rsid w:val="001013A0"/>
    <w:rsid w:val="0010269A"/>
    <w:rsid w:val="001032CE"/>
    <w:rsid w:val="0010526F"/>
    <w:rsid w:val="00105285"/>
    <w:rsid w:val="00120F0E"/>
    <w:rsid w:val="0012163E"/>
    <w:rsid w:val="00127219"/>
    <w:rsid w:val="00130892"/>
    <w:rsid w:val="0013108B"/>
    <w:rsid w:val="0013589E"/>
    <w:rsid w:val="001360F7"/>
    <w:rsid w:val="001363B0"/>
    <w:rsid w:val="00140849"/>
    <w:rsid w:val="00142822"/>
    <w:rsid w:val="0014691C"/>
    <w:rsid w:val="001511AC"/>
    <w:rsid w:val="00153773"/>
    <w:rsid w:val="00155354"/>
    <w:rsid w:val="001554E2"/>
    <w:rsid w:val="00156F47"/>
    <w:rsid w:val="00160149"/>
    <w:rsid w:val="001608E5"/>
    <w:rsid w:val="00161E92"/>
    <w:rsid w:val="00162C20"/>
    <w:rsid w:val="001812F0"/>
    <w:rsid w:val="00181B8D"/>
    <w:rsid w:val="0018214E"/>
    <w:rsid w:val="0018607A"/>
    <w:rsid w:val="00193222"/>
    <w:rsid w:val="00193800"/>
    <w:rsid w:val="00194BBD"/>
    <w:rsid w:val="00196340"/>
    <w:rsid w:val="001A5A42"/>
    <w:rsid w:val="001A5F2D"/>
    <w:rsid w:val="001A61C8"/>
    <w:rsid w:val="001B377D"/>
    <w:rsid w:val="001C0008"/>
    <w:rsid w:val="001C299A"/>
    <w:rsid w:val="001C5177"/>
    <w:rsid w:val="001D1AEC"/>
    <w:rsid w:val="001D27A7"/>
    <w:rsid w:val="001D4551"/>
    <w:rsid w:val="001D5EA6"/>
    <w:rsid w:val="001D6EE4"/>
    <w:rsid w:val="001E5DE8"/>
    <w:rsid w:val="001E62A2"/>
    <w:rsid w:val="001F1442"/>
    <w:rsid w:val="001F144E"/>
    <w:rsid w:val="001F239F"/>
    <w:rsid w:val="002006BC"/>
    <w:rsid w:val="00203A0D"/>
    <w:rsid w:val="00203B50"/>
    <w:rsid w:val="002043CF"/>
    <w:rsid w:val="00210840"/>
    <w:rsid w:val="002134C9"/>
    <w:rsid w:val="00222F83"/>
    <w:rsid w:val="0022367D"/>
    <w:rsid w:val="00232779"/>
    <w:rsid w:val="00232EDC"/>
    <w:rsid w:val="002376B9"/>
    <w:rsid w:val="00242013"/>
    <w:rsid w:val="002454C7"/>
    <w:rsid w:val="00245D27"/>
    <w:rsid w:val="00252B41"/>
    <w:rsid w:val="002637E7"/>
    <w:rsid w:val="00265C62"/>
    <w:rsid w:val="002661EE"/>
    <w:rsid w:val="00266E0F"/>
    <w:rsid w:val="0027174D"/>
    <w:rsid w:val="0027181A"/>
    <w:rsid w:val="00274F27"/>
    <w:rsid w:val="00282CB8"/>
    <w:rsid w:val="00283CD3"/>
    <w:rsid w:val="00284AB0"/>
    <w:rsid w:val="00284C32"/>
    <w:rsid w:val="00285B13"/>
    <w:rsid w:val="002948FF"/>
    <w:rsid w:val="0029769A"/>
    <w:rsid w:val="002A0285"/>
    <w:rsid w:val="002A274D"/>
    <w:rsid w:val="002A4D50"/>
    <w:rsid w:val="002A50CD"/>
    <w:rsid w:val="002A5B21"/>
    <w:rsid w:val="002A6731"/>
    <w:rsid w:val="002B0171"/>
    <w:rsid w:val="002B45EE"/>
    <w:rsid w:val="002B483A"/>
    <w:rsid w:val="002B72F3"/>
    <w:rsid w:val="002C4EFD"/>
    <w:rsid w:val="002C6FB5"/>
    <w:rsid w:val="002C7B33"/>
    <w:rsid w:val="002D625C"/>
    <w:rsid w:val="002D636D"/>
    <w:rsid w:val="002D67D6"/>
    <w:rsid w:val="002D7E5D"/>
    <w:rsid w:val="002E066A"/>
    <w:rsid w:val="002E6F65"/>
    <w:rsid w:val="002E7A89"/>
    <w:rsid w:val="002F31B1"/>
    <w:rsid w:val="002F363E"/>
    <w:rsid w:val="002F643E"/>
    <w:rsid w:val="002F6BCC"/>
    <w:rsid w:val="0030554A"/>
    <w:rsid w:val="003105DC"/>
    <w:rsid w:val="00312225"/>
    <w:rsid w:val="003123C8"/>
    <w:rsid w:val="00315F36"/>
    <w:rsid w:val="00320127"/>
    <w:rsid w:val="00322B27"/>
    <w:rsid w:val="00324EF2"/>
    <w:rsid w:val="003262D0"/>
    <w:rsid w:val="00326AED"/>
    <w:rsid w:val="003358BE"/>
    <w:rsid w:val="0034417B"/>
    <w:rsid w:val="00344AE3"/>
    <w:rsid w:val="003466C0"/>
    <w:rsid w:val="00347021"/>
    <w:rsid w:val="00351207"/>
    <w:rsid w:val="00360322"/>
    <w:rsid w:val="00360D3B"/>
    <w:rsid w:val="00361704"/>
    <w:rsid w:val="00361D33"/>
    <w:rsid w:val="003667C1"/>
    <w:rsid w:val="00366F52"/>
    <w:rsid w:val="00367DFA"/>
    <w:rsid w:val="00370267"/>
    <w:rsid w:val="00370E11"/>
    <w:rsid w:val="003802E1"/>
    <w:rsid w:val="0038173A"/>
    <w:rsid w:val="00382EFA"/>
    <w:rsid w:val="00384B5B"/>
    <w:rsid w:val="0038526E"/>
    <w:rsid w:val="003856D0"/>
    <w:rsid w:val="003945C6"/>
    <w:rsid w:val="00395974"/>
    <w:rsid w:val="003A0744"/>
    <w:rsid w:val="003A08AB"/>
    <w:rsid w:val="003A1631"/>
    <w:rsid w:val="003A76C0"/>
    <w:rsid w:val="003A7CA0"/>
    <w:rsid w:val="003B34FF"/>
    <w:rsid w:val="003B4CC2"/>
    <w:rsid w:val="003B5D44"/>
    <w:rsid w:val="003B620C"/>
    <w:rsid w:val="003C47B0"/>
    <w:rsid w:val="003C49B0"/>
    <w:rsid w:val="003D0C14"/>
    <w:rsid w:val="003D2F32"/>
    <w:rsid w:val="003D51F2"/>
    <w:rsid w:val="003E66DF"/>
    <w:rsid w:val="003E75B6"/>
    <w:rsid w:val="00401910"/>
    <w:rsid w:val="00406032"/>
    <w:rsid w:val="00411EE6"/>
    <w:rsid w:val="004139ED"/>
    <w:rsid w:val="00414547"/>
    <w:rsid w:val="00417FC9"/>
    <w:rsid w:val="004202C6"/>
    <w:rsid w:val="00421DA4"/>
    <w:rsid w:val="0042327A"/>
    <w:rsid w:val="00431A7C"/>
    <w:rsid w:val="00432C4C"/>
    <w:rsid w:val="00432D29"/>
    <w:rsid w:val="00433858"/>
    <w:rsid w:val="004340D3"/>
    <w:rsid w:val="00446F00"/>
    <w:rsid w:val="004527EA"/>
    <w:rsid w:val="00454CE0"/>
    <w:rsid w:val="00461B15"/>
    <w:rsid w:val="0046215C"/>
    <w:rsid w:val="00475A4C"/>
    <w:rsid w:val="00492F20"/>
    <w:rsid w:val="00493FB2"/>
    <w:rsid w:val="004A2991"/>
    <w:rsid w:val="004A37A8"/>
    <w:rsid w:val="004A41EF"/>
    <w:rsid w:val="004A6FB8"/>
    <w:rsid w:val="004B0577"/>
    <w:rsid w:val="004B0741"/>
    <w:rsid w:val="004B3124"/>
    <w:rsid w:val="004B368D"/>
    <w:rsid w:val="004B4D8D"/>
    <w:rsid w:val="004B58DE"/>
    <w:rsid w:val="004B6FDB"/>
    <w:rsid w:val="004B744E"/>
    <w:rsid w:val="004B74CC"/>
    <w:rsid w:val="004B7539"/>
    <w:rsid w:val="004B7C51"/>
    <w:rsid w:val="004C04C7"/>
    <w:rsid w:val="004C31B1"/>
    <w:rsid w:val="004C3FE9"/>
    <w:rsid w:val="004C4A14"/>
    <w:rsid w:val="004D79CD"/>
    <w:rsid w:val="004E2654"/>
    <w:rsid w:val="004E35B0"/>
    <w:rsid w:val="004E3DEF"/>
    <w:rsid w:val="004F1382"/>
    <w:rsid w:val="004F68AE"/>
    <w:rsid w:val="00505AE1"/>
    <w:rsid w:val="005062CA"/>
    <w:rsid w:val="00507402"/>
    <w:rsid w:val="00515A8A"/>
    <w:rsid w:val="00516AED"/>
    <w:rsid w:val="00517ADD"/>
    <w:rsid w:val="00523492"/>
    <w:rsid w:val="00523D91"/>
    <w:rsid w:val="00531349"/>
    <w:rsid w:val="005327E9"/>
    <w:rsid w:val="00534760"/>
    <w:rsid w:val="0053782C"/>
    <w:rsid w:val="005436ED"/>
    <w:rsid w:val="00551E36"/>
    <w:rsid w:val="005554AA"/>
    <w:rsid w:val="00556671"/>
    <w:rsid w:val="00557D98"/>
    <w:rsid w:val="00565431"/>
    <w:rsid w:val="005668B0"/>
    <w:rsid w:val="00566FAC"/>
    <w:rsid w:val="0057794A"/>
    <w:rsid w:val="00583230"/>
    <w:rsid w:val="005900C9"/>
    <w:rsid w:val="0059417B"/>
    <w:rsid w:val="00594BEE"/>
    <w:rsid w:val="005955BC"/>
    <w:rsid w:val="00596063"/>
    <w:rsid w:val="005A4056"/>
    <w:rsid w:val="005B0F7A"/>
    <w:rsid w:val="005B1AD1"/>
    <w:rsid w:val="005B6997"/>
    <w:rsid w:val="005C0F56"/>
    <w:rsid w:val="005C6666"/>
    <w:rsid w:val="005C6679"/>
    <w:rsid w:val="005C6A60"/>
    <w:rsid w:val="005D0ACB"/>
    <w:rsid w:val="005D45F7"/>
    <w:rsid w:val="005D5233"/>
    <w:rsid w:val="005E1DA7"/>
    <w:rsid w:val="005E275C"/>
    <w:rsid w:val="005E39DD"/>
    <w:rsid w:val="005F7200"/>
    <w:rsid w:val="005F7A0E"/>
    <w:rsid w:val="00602753"/>
    <w:rsid w:val="00604C3D"/>
    <w:rsid w:val="00611A6D"/>
    <w:rsid w:val="006131DF"/>
    <w:rsid w:val="0061765C"/>
    <w:rsid w:val="00622552"/>
    <w:rsid w:val="006248A5"/>
    <w:rsid w:val="00626534"/>
    <w:rsid w:val="00626B33"/>
    <w:rsid w:val="00631A14"/>
    <w:rsid w:val="00631E79"/>
    <w:rsid w:val="00634AF5"/>
    <w:rsid w:val="00634BB6"/>
    <w:rsid w:val="00636D7B"/>
    <w:rsid w:val="006414B9"/>
    <w:rsid w:val="00641951"/>
    <w:rsid w:val="00642A96"/>
    <w:rsid w:val="00643433"/>
    <w:rsid w:val="00645994"/>
    <w:rsid w:val="00646946"/>
    <w:rsid w:val="006531B1"/>
    <w:rsid w:val="006637C0"/>
    <w:rsid w:val="00664A1E"/>
    <w:rsid w:val="00666868"/>
    <w:rsid w:val="00682B83"/>
    <w:rsid w:val="00682F29"/>
    <w:rsid w:val="006842D0"/>
    <w:rsid w:val="00685C73"/>
    <w:rsid w:val="00693A1D"/>
    <w:rsid w:val="00693B8E"/>
    <w:rsid w:val="00694016"/>
    <w:rsid w:val="006A45D6"/>
    <w:rsid w:val="006A501A"/>
    <w:rsid w:val="006A57C0"/>
    <w:rsid w:val="006A655B"/>
    <w:rsid w:val="006A7301"/>
    <w:rsid w:val="006B2109"/>
    <w:rsid w:val="006B5B94"/>
    <w:rsid w:val="006C2D08"/>
    <w:rsid w:val="006C4E0D"/>
    <w:rsid w:val="006C58FE"/>
    <w:rsid w:val="006D54CF"/>
    <w:rsid w:val="006D6B1A"/>
    <w:rsid w:val="006E0328"/>
    <w:rsid w:val="006E6598"/>
    <w:rsid w:val="006E74D1"/>
    <w:rsid w:val="006F07E3"/>
    <w:rsid w:val="006F0EC9"/>
    <w:rsid w:val="006F10B4"/>
    <w:rsid w:val="006F6192"/>
    <w:rsid w:val="00703B63"/>
    <w:rsid w:val="00704414"/>
    <w:rsid w:val="00707829"/>
    <w:rsid w:val="0071257B"/>
    <w:rsid w:val="007128A2"/>
    <w:rsid w:val="00720EBF"/>
    <w:rsid w:val="00723A6C"/>
    <w:rsid w:val="00727B93"/>
    <w:rsid w:val="00732388"/>
    <w:rsid w:val="0073426D"/>
    <w:rsid w:val="0075077C"/>
    <w:rsid w:val="00751E2A"/>
    <w:rsid w:val="00754B81"/>
    <w:rsid w:val="0075517A"/>
    <w:rsid w:val="007570AB"/>
    <w:rsid w:val="007635DD"/>
    <w:rsid w:val="00770366"/>
    <w:rsid w:val="0077092E"/>
    <w:rsid w:val="0077201A"/>
    <w:rsid w:val="007727CB"/>
    <w:rsid w:val="00774E32"/>
    <w:rsid w:val="00776FDC"/>
    <w:rsid w:val="0078114E"/>
    <w:rsid w:val="0078326A"/>
    <w:rsid w:val="0079632E"/>
    <w:rsid w:val="00796733"/>
    <w:rsid w:val="007A1F9E"/>
    <w:rsid w:val="007B1BAD"/>
    <w:rsid w:val="007C4FBA"/>
    <w:rsid w:val="007D09B6"/>
    <w:rsid w:val="007D1FCA"/>
    <w:rsid w:val="007D465A"/>
    <w:rsid w:val="007D6DCE"/>
    <w:rsid w:val="007E3054"/>
    <w:rsid w:val="007E392F"/>
    <w:rsid w:val="007E554B"/>
    <w:rsid w:val="007E629D"/>
    <w:rsid w:val="007E6ADC"/>
    <w:rsid w:val="007E6FF6"/>
    <w:rsid w:val="007F128C"/>
    <w:rsid w:val="007F1321"/>
    <w:rsid w:val="007F3960"/>
    <w:rsid w:val="007F4737"/>
    <w:rsid w:val="007F5342"/>
    <w:rsid w:val="007F7E0C"/>
    <w:rsid w:val="00801A9C"/>
    <w:rsid w:val="00803B37"/>
    <w:rsid w:val="008071BD"/>
    <w:rsid w:val="00810631"/>
    <w:rsid w:val="00813078"/>
    <w:rsid w:val="00813E10"/>
    <w:rsid w:val="008149CF"/>
    <w:rsid w:val="00815B8D"/>
    <w:rsid w:val="008200DD"/>
    <w:rsid w:val="00820D52"/>
    <w:rsid w:val="00822058"/>
    <w:rsid w:val="00824E08"/>
    <w:rsid w:val="00827E5C"/>
    <w:rsid w:val="00834E5C"/>
    <w:rsid w:val="0083672B"/>
    <w:rsid w:val="00837D8A"/>
    <w:rsid w:val="00844F84"/>
    <w:rsid w:val="008464DF"/>
    <w:rsid w:val="00851E8D"/>
    <w:rsid w:val="00860F75"/>
    <w:rsid w:val="0086391A"/>
    <w:rsid w:val="008670BC"/>
    <w:rsid w:val="00870F0E"/>
    <w:rsid w:val="008736B9"/>
    <w:rsid w:val="00880EB0"/>
    <w:rsid w:val="00882A4D"/>
    <w:rsid w:val="00887C4A"/>
    <w:rsid w:val="00887FA6"/>
    <w:rsid w:val="00890CE5"/>
    <w:rsid w:val="0089138A"/>
    <w:rsid w:val="00894787"/>
    <w:rsid w:val="00894B5F"/>
    <w:rsid w:val="0089524F"/>
    <w:rsid w:val="008A0861"/>
    <w:rsid w:val="008A10A9"/>
    <w:rsid w:val="008A25E9"/>
    <w:rsid w:val="008A3E30"/>
    <w:rsid w:val="008A5F33"/>
    <w:rsid w:val="008A65A1"/>
    <w:rsid w:val="008B17B7"/>
    <w:rsid w:val="008B24BF"/>
    <w:rsid w:val="008B49BE"/>
    <w:rsid w:val="008B73CE"/>
    <w:rsid w:val="008C2187"/>
    <w:rsid w:val="008C7B3A"/>
    <w:rsid w:val="008D0789"/>
    <w:rsid w:val="008D5723"/>
    <w:rsid w:val="008D6AE1"/>
    <w:rsid w:val="008E13F2"/>
    <w:rsid w:val="008E2649"/>
    <w:rsid w:val="008E5333"/>
    <w:rsid w:val="008F11CC"/>
    <w:rsid w:val="008F46AE"/>
    <w:rsid w:val="008F4B6D"/>
    <w:rsid w:val="008F535A"/>
    <w:rsid w:val="008F54FC"/>
    <w:rsid w:val="008F6C88"/>
    <w:rsid w:val="008F7250"/>
    <w:rsid w:val="00901D2D"/>
    <w:rsid w:val="00901E25"/>
    <w:rsid w:val="00906E5E"/>
    <w:rsid w:val="00911E05"/>
    <w:rsid w:val="00911EFA"/>
    <w:rsid w:val="009128D9"/>
    <w:rsid w:val="00913FF4"/>
    <w:rsid w:val="009169C4"/>
    <w:rsid w:val="00916E49"/>
    <w:rsid w:val="00916FBA"/>
    <w:rsid w:val="00917ABB"/>
    <w:rsid w:val="00920159"/>
    <w:rsid w:val="00920227"/>
    <w:rsid w:val="009203BC"/>
    <w:rsid w:val="00922BBD"/>
    <w:rsid w:val="00923285"/>
    <w:rsid w:val="00923A3D"/>
    <w:rsid w:val="009242FD"/>
    <w:rsid w:val="00925F54"/>
    <w:rsid w:val="00926ACF"/>
    <w:rsid w:val="00927D99"/>
    <w:rsid w:val="0093336F"/>
    <w:rsid w:val="00933C63"/>
    <w:rsid w:val="009351FA"/>
    <w:rsid w:val="00935AC3"/>
    <w:rsid w:val="00937025"/>
    <w:rsid w:val="00951436"/>
    <w:rsid w:val="00956383"/>
    <w:rsid w:val="0095741E"/>
    <w:rsid w:val="009622B6"/>
    <w:rsid w:val="00964417"/>
    <w:rsid w:val="00965BA8"/>
    <w:rsid w:val="00970368"/>
    <w:rsid w:val="00977119"/>
    <w:rsid w:val="009816E7"/>
    <w:rsid w:val="00983F09"/>
    <w:rsid w:val="00985108"/>
    <w:rsid w:val="00985F99"/>
    <w:rsid w:val="00992D77"/>
    <w:rsid w:val="00993596"/>
    <w:rsid w:val="00993DAC"/>
    <w:rsid w:val="0099414E"/>
    <w:rsid w:val="0099425A"/>
    <w:rsid w:val="00997267"/>
    <w:rsid w:val="00997BFC"/>
    <w:rsid w:val="009B22D3"/>
    <w:rsid w:val="009B3458"/>
    <w:rsid w:val="009B7B3B"/>
    <w:rsid w:val="009C1674"/>
    <w:rsid w:val="009C3FB2"/>
    <w:rsid w:val="009C6BB3"/>
    <w:rsid w:val="009D117D"/>
    <w:rsid w:val="009D18CF"/>
    <w:rsid w:val="009D1C4F"/>
    <w:rsid w:val="009D5A1E"/>
    <w:rsid w:val="009D7D7D"/>
    <w:rsid w:val="009E0E57"/>
    <w:rsid w:val="009E16AA"/>
    <w:rsid w:val="009E4EEA"/>
    <w:rsid w:val="009E703E"/>
    <w:rsid w:val="009E7CA5"/>
    <w:rsid w:val="009F490B"/>
    <w:rsid w:val="009F58CE"/>
    <w:rsid w:val="009F61FA"/>
    <w:rsid w:val="009F7D20"/>
    <w:rsid w:val="00A10787"/>
    <w:rsid w:val="00A111CE"/>
    <w:rsid w:val="00A13568"/>
    <w:rsid w:val="00A14109"/>
    <w:rsid w:val="00A31600"/>
    <w:rsid w:val="00A31F8F"/>
    <w:rsid w:val="00A352F0"/>
    <w:rsid w:val="00A41EE3"/>
    <w:rsid w:val="00A53594"/>
    <w:rsid w:val="00A6087C"/>
    <w:rsid w:val="00A631BA"/>
    <w:rsid w:val="00A70540"/>
    <w:rsid w:val="00A75C36"/>
    <w:rsid w:val="00A805B9"/>
    <w:rsid w:val="00A80DF8"/>
    <w:rsid w:val="00A81DA7"/>
    <w:rsid w:val="00A86777"/>
    <w:rsid w:val="00A87595"/>
    <w:rsid w:val="00A9043B"/>
    <w:rsid w:val="00A93734"/>
    <w:rsid w:val="00A93DEE"/>
    <w:rsid w:val="00A95A78"/>
    <w:rsid w:val="00A96615"/>
    <w:rsid w:val="00A96977"/>
    <w:rsid w:val="00AA4EE3"/>
    <w:rsid w:val="00AA626C"/>
    <w:rsid w:val="00AB0956"/>
    <w:rsid w:val="00AB125A"/>
    <w:rsid w:val="00AB26E1"/>
    <w:rsid w:val="00AB3802"/>
    <w:rsid w:val="00AC2430"/>
    <w:rsid w:val="00AC43B0"/>
    <w:rsid w:val="00AD1997"/>
    <w:rsid w:val="00AE3A9B"/>
    <w:rsid w:val="00AF13FC"/>
    <w:rsid w:val="00AF515E"/>
    <w:rsid w:val="00AF7DC9"/>
    <w:rsid w:val="00B00560"/>
    <w:rsid w:val="00B00E98"/>
    <w:rsid w:val="00B02855"/>
    <w:rsid w:val="00B04EBE"/>
    <w:rsid w:val="00B0669A"/>
    <w:rsid w:val="00B12FE5"/>
    <w:rsid w:val="00B21F63"/>
    <w:rsid w:val="00B229DD"/>
    <w:rsid w:val="00B23EB7"/>
    <w:rsid w:val="00B32DCD"/>
    <w:rsid w:val="00B4058C"/>
    <w:rsid w:val="00B44B45"/>
    <w:rsid w:val="00B44DB0"/>
    <w:rsid w:val="00B50B34"/>
    <w:rsid w:val="00B628E5"/>
    <w:rsid w:val="00B65704"/>
    <w:rsid w:val="00B658E6"/>
    <w:rsid w:val="00B7196B"/>
    <w:rsid w:val="00B72388"/>
    <w:rsid w:val="00B76F27"/>
    <w:rsid w:val="00B81924"/>
    <w:rsid w:val="00B86B50"/>
    <w:rsid w:val="00B875E8"/>
    <w:rsid w:val="00BA0528"/>
    <w:rsid w:val="00BA2E33"/>
    <w:rsid w:val="00BB4F97"/>
    <w:rsid w:val="00BB551D"/>
    <w:rsid w:val="00BB64B1"/>
    <w:rsid w:val="00BB7080"/>
    <w:rsid w:val="00BC10C3"/>
    <w:rsid w:val="00BC6390"/>
    <w:rsid w:val="00BD0B0D"/>
    <w:rsid w:val="00BD1C70"/>
    <w:rsid w:val="00BD5870"/>
    <w:rsid w:val="00BE2769"/>
    <w:rsid w:val="00BE2B6D"/>
    <w:rsid w:val="00BE5007"/>
    <w:rsid w:val="00BF3CC8"/>
    <w:rsid w:val="00BF487F"/>
    <w:rsid w:val="00BF6DEF"/>
    <w:rsid w:val="00C03647"/>
    <w:rsid w:val="00C04B4C"/>
    <w:rsid w:val="00C118D0"/>
    <w:rsid w:val="00C13A95"/>
    <w:rsid w:val="00C17B67"/>
    <w:rsid w:val="00C20B5B"/>
    <w:rsid w:val="00C2111A"/>
    <w:rsid w:val="00C25191"/>
    <w:rsid w:val="00C25A82"/>
    <w:rsid w:val="00C30549"/>
    <w:rsid w:val="00C310AB"/>
    <w:rsid w:val="00C36E32"/>
    <w:rsid w:val="00C40418"/>
    <w:rsid w:val="00C44C2F"/>
    <w:rsid w:val="00C46B5C"/>
    <w:rsid w:val="00C57853"/>
    <w:rsid w:val="00C63891"/>
    <w:rsid w:val="00C66A4A"/>
    <w:rsid w:val="00C70860"/>
    <w:rsid w:val="00C73D02"/>
    <w:rsid w:val="00C7607E"/>
    <w:rsid w:val="00C8088E"/>
    <w:rsid w:val="00C81B40"/>
    <w:rsid w:val="00C84FE2"/>
    <w:rsid w:val="00C862F2"/>
    <w:rsid w:val="00C87EA1"/>
    <w:rsid w:val="00C9022B"/>
    <w:rsid w:val="00C94C28"/>
    <w:rsid w:val="00CA64AF"/>
    <w:rsid w:val="00CB1134"/>
    <w:rsid w:val="00CB1899"/>
    <w:rsid w:val="00CB3368"/>
    <w:rsid w:val="00CB39B6"/>
    <w:rsid w:val="00CB5D21"/>
    <w:rsid w:val="00CC7DB0"/>
    <w:rsid w:val="00CD1D69"/>
    <w:rsid w:val="00CD27DB"/>
    <w:rsid w:val="00CD7F6C"/>
    <w:rsid w:val="00CE171E"/>
    <w:rsid w:val="00CE2EA5"/>
    <w:rsid w:val="00CE50FC"/>
    <w:rsid w:val="00CE5D9B"/>
    <w:rsid w:val="00CE7503"/>
    <w:rsid w:val="00CF4C5A"/>
    <w:rsid w:val="00D007A2"/>
    <w:rsid w:val="00D00CD0"/>
    <w:rsid w:val="00D01ACB"/>
    <w:rsid w:val="00D033BC"/>
    <w:rsid w:val="00D07261"/>
    <w:rsid w:val="00D1218B"/>
    <w:rsid w:val="00D177E7"/>
    <w:rsid w:val="00D22343"/>
    <w:rsid w:val="00D23A2C"/>
    <w:rsid w:val="00D263F1"/>
    <w:rsid w:val="00D313A3"/>
    <w:rsid w:val="00D31FF2"/>
    <w:rsid w:val="00D3242E"/>
    <w:rsid w:val="00D402CA"/>
    <w:rsid w:val="00D41C66"/>
    <w:rsid w:val="00D41C90"/>
    <w:rsid w:val="00D448BD"/>
    <w:rsid w:val="00D44CB2"/>
    <w:rsid w:val="00D45E02"/>
    <w:rsid w:val="00D471A6"/>
    <w:rsid w:val="00D50268"/>
    <w:rsid w:val="00D516C8"/>
    <w:rsid w:val="00D53C1D"/>
    <w:rsid w:val="00D6213F"/>
    <w:rsid w:val="00D623A6"/>
    <w:rsid w:val="00D64CB6"/>
    <w:rsid w:val="00D66967"/>
    <w:rsid w:val="00D72144"/>
    <w:rsid w:val="00D74596"/>
    <w:rsid w:val="00D82BE1"/>
    <w:rsid w:val="00D86C99"/>
    <w:rsid w:val="00D9083F"/>
    <w:rsid w:val="00D90D94"/>
    <w:rsid w:val="00D92B71"/>
    <w:rsid w:val="00DA19B5"/>
    <w:rsid w:val="00DA1C78"/>
    <w:rsid w:val="00DA26BD"/>
    <w:rsid w:val="00DA3F88"/>
    <w:rsid w:val="00DB1A36"/>
    <w:rsid w:val="00DB481F"/>
    <w:rsid w:val="00DB7E34"/>
    <w:rsid w:val="00DC2136"/>
    <w:rsid w:val="00DC2D3B"/>
    <w:rsid w:val="00DD53ED"/>
    <w:rsid w:val="00DE2383"/>
    <w:rsid w:val="00DE6C20"/>
    <w:rsid w:val="00DF0066"/>
    <w:rsid w:val="00DF7804"/>
    <w:rsid w:val="00E00694"/>
    <w:rsid w:val="00E064CA"/>
    <w:rsid w:val="00E06A06"/>
    <w:rsid w:val="00E10633"/>
    <w:rsid w:val="00E11B95"/>
    <w:rsid w:val="00E1410C"/>
    <w:rsid w:val="00E157F7"/>
    <w:rsid w:val="00E21B49"/>
    <w:rsid w:val="00E31EEB"/>
    <w:rsid w:val="00E327AE"/>
    <w:rsid w:val="00E52B37"/>
    <w:rsid w:val="00E54B4F"/>
    <w:rsid w:val="00E55EB5"/>
    <w:rsid w:val="00E560A5"/>
    <w:rsid w:val="00E56A0E"/>
    <w:rsid w:val="00E57B56"/>
    <w:rsid w:val="00E60394"/>
    <w:rsid w:val="00E60BDA"/>
    <w:rsid w:val="00E63E75"/>
    <w:rsid w:val="00E70688"/>
    <w:rsid w:val="00E7103D"/>
    <w:rsid w:val="00E75888"/>
    <w:rsid w:val="00E80518"/>
    <w:rsid w:val="00E85032"/>
    <w:rsid w:val="00E852C2"/>
    <w:rsid w:val="00E944DC"/>
    <w:rsid w:val="00EA33B8"/>
    <w:rsid w:val="00EA4006"/>
    <w:rsid w:val="00EA73C1"/>
    <w:rsid w:val="00EA7B3B"/>
    <w:rsid w:val="00EB463F"/>
    <w:rsid w:val="00EB4CAE"/>
    <w:rsid w:val="00EB77A4"/>
    <w:rsid w:val="00EB78F3"/>
    <w:rsid w:val="00EC0F55"/>
    <w:rsid w:val="00EC167C"/>
    <w:rsid w:val="00EC2A35"/>
    <w:rsid w:val="00EC5440"/>
    <w:rsid w:val="00EC54C2"/>
    <w:rsid w:val="00ED0C58"/>
    <w:rsid w:val="00ED0E59"/>
    <w:rsid w:val="00EE18CC"/>
    <w:rsid w:val="00EF5AFE"/>
    <w:rsid w:val="00EF7114"/>
    <w:rsid w:val="00F01BD8"/>
    <w:rsid w:val="00F03573"/>
    <w:rsid w:val="00F03B62"/>
    <w:rsid w:val="00F05BCC"/>
    <w:rsid w:val="00F1461C"/>
    <w:rsid w:val="00F17D02"/>
    <w:rsid w:val="00F24869"/>
    <w:rsid w:val="00F36F33"/>
    <w:rsid w:val="00F37734"/>
    <w:rsid w:val="00F403F7"/>
    <w:rsid w:val="00F419A6"/>
    <w:rsid w:val="00F43CD1"/>
    <w:rsid w:val="00F4509E"/>
    <w:rsid w:val="00F501B7"/>
    <w:rsid w:val="00F64136"/>
    <w:rsid w:val="00F66383"/>
    <w:rsid w:val="00F66CB2"/>
    <w:rsid w:val="00F730A3"/>
    <w:rsid w:val="00F763E7"/>
    <w:rsid w:val="00F77E38"/>
    <w:rsid w:val="00F86C35"/>
    <w:rsid w:val="00F874FE"/>
    <w:rsid w:val="00F87CB0"/>
    <w:rsid w:val="00F93C70"/>
    <w:rsid w:val="00FA0560"/>
    <w:rsid w:val="00FA48C3"/>
    <w:rsid w:val="00FA5250"/>
    <w:rsid w:val="00FA538C"/>
    <w:rsid w:val="00FB6A72"/>
    <w:rsid w:val="00FC1E83"/>
    <w:rsid w:val="00FC5003"/>
    <w:rsid w:val="00FC6350"/>
    <w:rsid w:val="00FC6E67"/>
    <w:rsid w:val="00FD335D"/>
    <w:rsid w:val="00FE04B1"/>
    <w:rsid w:val="00FE0ECE"/>
    <w:rsid w:val="00FE2969"/>
    <w:rsid w:val="00FE455C"/>
    <w:rsid w:val="00FE5522"/>
    <w:rsid w:val="00FE7353"/>
    <w:rsid w:val="00FF21FA"/>
    <w:rsid w:val="00FF2A5C"/>
    <w:rsid w:val="00FF4FC2"/>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8D0"/>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282CB8"/>
    <w:rPr>
      <w:color w:val="954F72" w:themeColor="followedHyperlink"/>
      <w:u w:val="single"/>
    </w:rPr>
  </w:style>
  <w:style w:type="character" w:styleId="UnresolvedMention">
    <w:name w:val="Unresolved Mention"/>
    <w:basedOn w:val="DefaultParagraphFont"/>
    <w:uiPriority w:val="99"/>
    <w:semiHidden/>
    <w:unhideWhenUsed/>
    <w:rsid w:val="007E629D"/>
    <w:rPr>
      <w:color w:val="605E5C"/>
      <w:shd w:val="clear" w:color="auto" w:fill="E1DFDD"/>
    </w:rPr>
  </w:style>
  <w:style w:type="paragraph" w:customStyle="1" w:styleId="Tabletext">
    <w:name w:val="Table_text"/>
    <w:basedOn w:val="Normal"/>
    <w:link w:val="TabletextChar"/>
    <w:qFormat/>
    <w:rsid w:val="006B210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0"/>
      <w:szCs w:val="20"/>
      <w:lang w:val="en-GB" w:eastAsia="en-US"/>
    </w:rPr>
  </w:style>
  <w:style w:type="paragraph" w:customStyle="1" w:styleId="Note">
    <w:name w:val="Note"/>
    <w:basedOn w:val="Normal"/>
    <w:next w:val="Normal"/>
    <w:rsid w:val="006B2109"/>
    <w:pPr>
      <w:tabs>
        <w:tab w:val="left" w:pos="284"/>
        <w:tab w:val="left" w:pos="1134"/>
        <w:tab w:val="left" w:pos="1871"/>
        <w:tab w:val="left" w:pos="2268"/>
      </w:tabs>
      <w:overflowPunct w:val="0"/>
      <w:autoSpaceDE w:val="0"/>
      <w:autoSpaceDN w:val="0"/>
      <w:adjustRightInd w:val="0"/>
      <w:spacing w:before="80"/>
      <w:textAlignment w:val="baseline"/>
    </w:pPr>
    <w:rPr>
      <w:sz w:val="22"/>
      <w:szCs w:val="20"/>
      <w:lang w:val="en-GB" w:eastAsia="en-US"/>
    </w:rPr>
  </w:style>
  <w:style w:type="paragraph" w:customStyle="1" w:styleId="Tablehead">
    <w:name w:val="Table_head"/>
    <w:basedOn w:val="Normal"/>
    <w:link w:val="TableheadChar"/>
    <w:qFormat/>
    <w:rsid w:val="006B2109"/>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sz w:val="20"/>
      <w:szCs w:val="20"/>
      <w:lang w:val="en-GB" w:eastAsia="en-US"/>
    </w:rPr>
  </w:style>
  <w:style w:type="paragraph" w:customStyle="1" w:styleId="Tabletitle">
    <w:name w:val="Table_title"/>
    <w:basedOn w:val="Normal"/>
    <w:next w:val="Tabletext"/>
    <w:rsid w:val="006B210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 w:val="20"/>
      <w:szCs w:val="20"/>
      <w:lang w:val="en-GB" w:eastAsia="en-US"/>
    </w:rPr>
  </w:style>
  <w:style w:type="paragraph" w:customStyle="1" w:styleId="Tablefin">
    <w:name w:val="Table_fin"/>
    <w:basedOn w:val="Normal"/>
    <w:rsid w:val="006B2109"/>
    <w:pPr>
      <w:overflowPunct w:val="0"/>
      <w:autoSpaceDE w:val="0"/>
      <w:autoSpaceDN w:val="0"/>
      <w:adjustRightInd w:val="0"/>
      <w:textAlignment w:val="baseline"/>
    </w:pPr>
    <w:rPr>
      <w:sz w:val="20"/>
      <w:szCs w:val="20"/>
      <w:lang w:val="en-GB"/>
    </w:rPr>
  </w:style>
  <w:style w:type="character" w:customStyle="1" w:styleId="TabletextChar">
    <w:name w:val="Table_text Char"/>
    <w:basedOn w:val="DefaultParagraphFont"/>
    <w:link w:val="Tabletext"/>
    <w:locked/>
    <w:rsid w:val="006B2109"/>
    <w:rPr>
      <w:rFonts w:ascii="Times New Roman" w:eastAsia="Times New Roman" w:hAnsi="Times New Roman" w:cs="Times New Roman"/>
      <w:lang w:val="en-GB" w:eastAsia="en-US"/>
    </w:rPr>
  </w:style>
  <w:style w:type="table" w:customStyle="1" w:styleId="TableGrid1">
    <w:name w:val="Table Grid1"/>
    <w:basedOn w:val="TableNormal"/>
    <w:next w:val="TableGrid"/>
    <w:uiPriority w:val="39"/>
    <w:qFormat/>
    <w:rsid w:val="002F643E"/>
    <w:pPr>
      <w:widowControl w:val="0"/>
      <w:autoSpaceDE w:val="0"/>
      <w:autoSpaceDN w:val="0"/>
      <w:adjustRightInd w:val="0"/>
      <w:spacing w:after="12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basedOn w:val="DefaultParagraphFont"/>
    <w:link w:val="Tablehead"/>
    <w:locked/>
    <w:rsid w:val="00E85032"/>
    <w:rPr>
      <w:rFonts w:ascii="Times New Roman Bold" w:eastAsia="Times New Roman" w:hAnsi="Times New Roman Bold" w:cs="Times New Roman Bold"/>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00937">
      <w:bodyDiv w:val="1"/>
      <w:marLeft w:val="0"/>
      <w:marRight w:val="0"/>
      <w:marTop w:val="0"/>
      <w:marBottom w:val="0"/>
      <w:divBdr>
        <w:top w:val="none" w:sz="0" w:space="0" w:color="auto"/>
        <w:left w:val="none" w:sz="0" w:space="0" w:color="auto"/>
        <w:bottom w:val="none" w:sz="0" w:space="0" w:color="auto"/>
        <w:right w:val="none" w:sz="0" w:space="0" w:color="auto"/>
      </w:divBdr>
    </w:div>
    <w:div w:id="223761467">
      <w:bodyDiv w:val="1"/>
      <w:marLeft w:val="0"/>
      <w:marRight w:val="0"/>
      <w:marTop w:val="0"/>
      <w:marBottom w:val="0"/>
      <w:divBdr>
        <w:top w:val="none" w:sz="0" w:space="0" w:color="auto"/>
        <w:left w:val="none" w:sz="0" w:space="0" w:color="auto"/>
        <w:bottom w:val="none" w:sz="0" w:space="0" w:color="auto"/>
        <w:right w:val="none" w:sz="0" w:space="0" w:color="auto"/>
      </w:divBdr>
    </w:div>
    <w:div w:id="266618845">
      <w:bodyDiv w:val="1"/>
      <w:marLeft w:val="0"/>
      <w:marRight w:val="0"/>
      <w:marTop w:val="0"/>
      <w:marBottom w:val="0"/>
      <w:divBdr>
        <w:top w:val="none" w:sz="0" w:space="0" w:color="auto"/>
        <w:left w:val="none" w:sz="0" w:space="0" w:color="auto"/>
        <w:bottom w:val="none" w:sz="0" w:space="0" w:color="auto"/>
        <w:right w:val="none" w:sz="0" w:space="0" w:color="auto"/>
      </w:divBdr>
    </w:div>
    <w:div w:id="365837257">
      <w:bodyDiv w:val="1"/>
      <w:marLeft w:val="0"/>
      <w:marRight w:val="0"/>
      <w:marTop w:val="0"/>
      <w:marBottom w:val="0"/>
      <w:divBdr>
        <w:top w:val="none" w:sz="0" w:space="0" w:color="auto"/>
        <w:left w:val="none" w:sz="0" w:space="0" w:color="auto"/>
        <w:bottom w:val="none" w:sz="0" w:space="0" w:color="auto"/>
        <w:right w:val="none" w:sz="0" w:space="0" w:color="auto"/>
      </w:divBdr>
    </w:div>
    <w:div w:id="393090684">
      <w:bodyDiv w:val="1"/>
      <w:marLeft w:val="0"/>
      <w:marRight w:val="0"/>
      <w:marTop w:val="0"/>
      <w:marBottom w:val="0"/>
      <w:divBdr>
        <w:top w:val="none" w:sz="0" w:space="0" w:color="auto"/>
        <w:left w:val="none" w:sz="0" w:space="0" w:color="auto"/>
        <w:bottom w:val="none" w:sz="0" w:space="0" w:color="auto"/>
        <w:right w:val="none" w:sz="0" w:space="0" w:color="auto"/>
      </w:divBdr>
      <w:divsChild>
        <w:div w:id="1141463073">
          <w:marLeft w:val="2405"/>
          <w:marRight w:val="0"/>
          <w:marTop w:val="86"/>
          <w:marBottom w:val="0"/>
          <w:divBdr>
            <w:top w:val="none" w:sz="0" w:space="0" w:color="auto"/>
            <w:left w:val="none" w:sz="0" w:space="0" w:color="auto"/>
            <w:bottom w:val="none" w:sz="0" w:space="0" w:color="auto"/>
            <w:right w:val="none" w:sz="0" w:space="0" w:color="auto"/>
          </w:divBdr>
        </w:div>
        <w:div w:id="1268073927">
          <w:marLeft w:val="2405"/>
          <w:marRight w:val="0"/>
          <w:marTop w:val="86"/>
          <w:marBottom w:val="0"/>
          <w:divBdr>
            <w:top w:val="none" w:sz="0" w:space="0" w:color="auto"/>
            <w:left w:val="none" w:sz="0" w:space="0" w:color="auto"/>
            <w:bottom w:val="none" w:sz="0" w:space="0" w:color="auto"/>
            <w:right w:val="none" w:sz="0" w:space="0" w:color="auto"/>
          </w:divBdr>
        </w:div>
        <w:div w:id="969822722">
          <w:marLeft w:val="2405"/>
          <w:marRight w:val="0"/>
          <w:marTop w:val="86"/>
          <w:marBottom w:val="0"/>
          <w:divBdr>
            <w:top w:val="none" w:sz="0" w:space="0" w:color="auto"/>
            <w:left w:val="none" w:sz="0" w:space="0" w:color="auto"/>
            <w:bottom w:val="none" w:sz="0" w:space="0" w:color="auto"/>
            <w:right w:val="none" w:sz="0" w:space="0" w:color="auto"/>
          </w:divBdr>
        </w:div>
        <w:div w:id="967779301">
          <w:marLeft w:val="2405"/>
          <w:marRight w:val="0"/>
          <w:marTop w:val="86"/>
          <w:marBottom w:val="0"/>
          <w:divBdr>
            <w:top w:val="none" w:sz="0" w:space="0" w:color="auto"/>
            <w:left w:val="none" w:sz="0" w:space="0" w:color="auto"/>
            <w:bottom w:val="none" w:sz="0" w:space="0" w:color="auto"/>
            <w:right w:val="none" w:sz="0" w:space="0" w:color="auto"/>
          </w:divBdr>
        </w:div>
      </w:divsChild>
    </w:div>
    <w:div w:id="477764054">
      <w:bodyDiv w:val="1"/>
      <w:marLeft w:val="0"/>
      <w:marRight w:val="0"/>
      <w:marTop w:val="0"/>
      <w:marBottom w:val="0"/>
      <w:divBdr>
        <w:top w:val="none" w:sz="0" w:space="0" w:color="auto"/>
        <w:left w:val="none" w:sz="0" w:space="0" w:color="auto"/>
        <w:bottom w:val="none" w:sz="0" w:space="0" w:color="auto"/>
        <w:right w:val="none" w:sz="0" w:space="0" w:color="auto"/>
      </w:divBdr>
    </w:div>
    <w:div w:id="547685379">
      <w:bodyDiv w:val="1"/>
      <w:marLeft w:val="0"/>
      <w:marRight w:val="0"/>
      <w:marTop w:val="0"/>
      <w:marBottom w:val="0"/>
      <w:divBdr>
        <w:top w:val="none" w:sz="0" w:space="0" w:color="auto"/>
        <w:left w:val="none" w:sz="0" w:space="0" w:color="auto"/>
        <w:bottom w:val="none" w:sz="0" w:space="0" w:color="auto"/>
        <w:right w:val="none" w:sz="0" w:space="0" w:color="auto"/>
      </w:divBdr>
    </w:div>
    <w:div w:id="722798653">
      <w:bodyDiv w:val="1"/>
      <w:marLeft w:val="0"/>
      <w:marRight w:val="0"/>
      <w:marTop w:val="0"/>
      <w:marBottom w:val="0"/>
      <w:divBdr>
        <w:top w:val="none" w:sz="0" w:space="0" w:color="auto"/>
        <w:left w:val="none" w:sz="0" w:space="0" w:color="auto"/>
        <w:bottom w:val="none" w:sz="0" w:space="0" w:color="auto"/>
        <w:right w:val="none" w:sz="0" w:space="0" w:color="auto"/>
      </w:divBdr>
    </w:div>
    <w:div w:id="742993709">
      <w:bodyDiv w:val="1"/>
      <w:marLeft w:val="0"/>
      <w:marRight w:val="0"/>
      <w:marTop w:val="0"/>
      <w:marBottom w:val="0"/>
      <w:divBdr>
        <w:top w:val="none" w:sz="0" w:space="0" w:color="auto"/>
        <w:left w:val="none" w:sz="0" w:space="0" w:color="auto"/>
        <w:bottom w:val="none" w:sz="0" w:space="0" w:color="auto"/>
        <w:right w:val="none" w:sz="0" w:space="0" w:color="auto"/>
      </w:divBdr>
    </w:div>
    <w:div w:id="764300612">
      <w:bodyDiv w:val="1"/>
      <w:marLeft w:val="0"/>
      <w:marRight w:val="0"/>
      <w:marTop w:val="0"/>
      <w:marBottom w:val="0"/>
      <w:divBdr>
        <w:top w:val="none" w:sz="0" w:space="0" w:color="auto"/>
        <w:left w:val="none" w:sz="0" w:space="0" w:color="auto"/>
        <w:bottom w:val="none" w:sz="0" w:space="0" w:color="auto"/>
        <w:right w:val="none" w:sz="0" w:space="0" w:color="auto"/>
      </w:divBdr>
    </w:div>
    <w:div w:id="769934969">
      <w:bodyDiv w:val="1"/>
      <w:marLeft w:val="0"/>
      <w:marRight w:val="0"/>
      <w:marTop w:val="0"/>
      <w:marBottom w:val="0"/>
      <w:divBdr>
        <w:top w:val="none" w:sz="0" w:space="0" w:color="auto"/>
        <w:left w:val="none" w:sz="0" w:space="0" w:color="auto"/>
        <w:bottom w:val="none" w:sz="0" w:space="0" w:color="auto"/>
        <w:right w:val="none" w:sz="0" w:space="0" w:color="auto"/>
      </w:divBdr>
      <w:divsChild>
        <w:div w:id="964388130">
          <w:marLeft w:val="1555"/>
          <w:marRight w:val="0"/>
          <w:marTop w:val="96"/>
          <w:marBottom w:val="0"/>
          <w:divBdr>
            <w:top w:val="none" w:sz="0" w:space="0" w:color="auto"/>
            <w:left w:val="none" w:sz="0" w:space="0" w:color="auto"/>
            <w:bottom w:val="none" w:sz="0" w:space="0" w:color="auto"/>
            <w:right w:val="none" w:sz="0" w:space="0" w:color="auto"/>
          </w:divBdr>
        </w:div>
        <w:div w:id="1752266397">
          <w:marLeft w:val="2405"/>
          <w:marRight w:val="0"/>
          <w:marTop w:val="90"/>
          <w:marBottom w:val="0"/>
          <w:divBdr>
            <w:top w:val="none" w:sz="0" w:space="0" w:color="auto"/>
            <w:left w:val="none" w:sz="0" w:space="0" w:color="auto"/>
            <w:bottom w:val="none" w:sz="0" w:space="0" w:color="auto"/>
            <w:right w:val="none" w:sz="0" w:space="0" w:color="auto"/>
          </w:divBdr>
        </w:div>
        <w:div w:id="1405834924">
          <w:marLeft w:val="2405"/>
          <w:marRight w:val="0"/>
          <w:marTop w:val="90"/>
          <w:marBottom w:val="0"/>
          <w:divBdr>
            <w:top w:val="none" w:sz="0" w:space="0" w:color="auto"/>
            <w:left w:val="none" w:sz="0" w:space="0" w:color="auto"/>
            <w:bottom w:val="none" w:sz="0" w:space="0" w:color="auto"/>
            <w:right w:val="none" w:sz="0" w:space="0" w:color="auto"/>
          </w:divBdr>
        </w:div>
        <w:div w:id="787359454">
          <w:marLeft w:val="2405"/>
          <w:marRight w:val="0"/>
          <w:marTop w:val="90"/>
          <w:marBottom w:val="0"/>
          <w:divBdr>
            <w:top w:val="none" w:sz="0" w:space="0" w:color="auto"/>
            <w:left w:val="none" w:sz="0" w:space="0" w:color="auto"/>
            <w:bottom w:val="none" w:sz="0" w:space="0" w:color="auto"/>
            <w:right w:val="none" w:sz="0" w:space="0" w:color="auto"/>
          </w:divBdr>
        </w:div>
      </w:divsChild>
    </w:div>
    <w:div w:id="927229431">
      <w:bodyDiv w:val="1"/>
      <w:marLeft w:val="0"/>
      <w:marRight w:val="0"/>
      <w:marTop w:val="0"/>
      <w:marBottom w:val="0"/>
      <w:divBdr>
        <w:top w:val="none" w:sz="0" w:space="0" w:color="auto"/>
        <w:left w:val="none" w:sz="0" w:space="0" w:color="auto"/>
        <w:bottom w:val="none" w:sz="0" w:space="0" w:color="auto"/>
        <w:right w:val="none" w:sz="0" w:space="0" w:color="auto"/>
      </w:divBdr>
    </w:div>
    <w:div w:id="989139841">
      <w:bodyDiv w:val="1"/>
      <w:marLeft w:val="0"/>
      <w:marRight w:val="0"/>
      <w:marTop w:val="0"/>
      <w:marBottom w:val="0"/>
      <w:divBdr>
        <w:top w:val="none" w:sz="0" w:space="0" w:color="auto"/>
        <w:left w:val="none" w:sz="0" w:space="0" w:color="auto"/>
        <w:bottom w:val="none" w:sz="0" w:space="0" w:color="auto"/>
        <w:right w:val="none" w:sz="0" w:space="0" w:color="auto"/>
      </w:divBdr>
    </w:div>
    <w:div w:id="992484730">
      <w:bodyDiv w:val="1"/>
      <w:marLeft w:val="0"/>
      <w:marRight w:val="0"/>
      <w:marTop w:val="0"/>
      <w:marBottom w:val="0"/>
      <w:divBdr>
        <w:top w:val="none" w:sz="0" w:space="0" w:color="auto"/>
        <w:left w:val="none" w:sz="0" w:space="0" w:color="auto"/>
        <w:bottom w:val="none" w:sz="0" w:space="0" w:color="auto"/>
        <w:right w:val="none" w:sz="0" w:space="0" w:color="auto"/>
      </w:divBdr>
    </w:div>
    <w:div w:id="1264338761">
      <w:bodyDiv w:val="1"/>
      <w:marLeft w:val="0"/>
      <w:marRight w:val="0"/>
      <w:marTop w:val="0"/>
      <w:marBottom w:val="0"/>
      <w:divBdr>
        <w:top w:val="none" w:sz="0" w:space="0" w:color="auto"/>
        <w:left w:val="none" w:sz="0" w:space="0" w:color="auto"/>
        <w:bottom w:val="none" w:sz="0" w:space="0" w:color="auto"/>
        <w:right w:val="none" w:sz="0" w:space="0" w:color="auto"/>
      </w:divBdr>
      <w:divsChild>
        <w:div w:id="1518108299">
          <w:marLeft w:val="590"/>
          <w:marRight w:val="0"/>
          <w:marTop w:val="96"/>
          <w:marBottom w:val="0"/>
          <w:divBdr>
            <w:top w:val="none" w:sz="0" w:space="0" w:color="auto"/>
            <w:left w:val="none" w:sz="0" w:space="0" w:color="auto"/>
            <w:bottom w:val="none" w:sz="0" w:space="0" w:color="auto"/>
            <w:right w:val="none" w:sz="0" w:space="0" w:color="auto"/>
          </w:divBdr>
        </w:div>
      </w:divsChild>
    </w:div>
    <w:div w:id="1301955068">
      <w:bodyDiv w:val="1"/>
      <w:marLeft w:val="0"/>
      <w:marRight w:val="0"/>
      <w:marTop w:val="0"/>
      <w:marBottom w:val="0"/>
      <w:divBdr>
        <w:top w:val="none" w:sz="0" w:space="0" w:color="auto"/>
        <w:left w:val="none" w:sz="0" w:space="0" w:color="auto"/>
        <w:bottom w:val="none" w:sz="0" w:space="0" w:color="auto"/>
        <w:right w:val="none" w:sz="0" w:space="0" w:color="auto"/>
      </w:divBdr>
    </w:div>
    <w:div w:id="1352297018">
      <w:bodyDiv w:val="1"/>
      <w:marLeft w:val="0"/>
      <w:marRight w:val="0"/>
      <w:marTop w:val="0"/>
      <w:marBottom w:val="0"/>
      <w:divBdr>
        <w:top w:val="none" w:sz="0" w:space="0" w:color="auto"/>
        <w:left w:val="none" w:sz="0" w:space="0" w:color="auto"/>
        <w:bottom w:val="none" w:sz="0" w:space="0" w:color="auto"/>
        <w:right w:val="none" w:sz="0" w:space="0" w:color="auto"/>
      </w:divBdr>
      <w:divsChild>
        <w:div w:id="963539703">
          <w:marLeft w:val="2405"/>
          <w:marRight w:val="0"/>
          <w:marTop w:val="86"/>
          <w:marBottom w:val="0"/>
          <w:divBdr>
            <w:top w:val="none" w:sz="0" w:space="0" w:color="auto"/>
            <w:left w:val="none" w:sz="0" w:space="0" w:color="auto"/>
            <w:bottom w:val="none" w:sz="0" w:space="0" w:color="auto"/>
            <w:right w:val="none" w:sz="0" w:space="0" w:color="auto"/>
          </w:divBdr>
        </w:div>
        <w:div w:id="1590231148">
          <w:marLeft w:val="2405"/>
          <w:marRight w:val="0"/>
          <w:marTop w:val="86"/>
          <w:marBottom w:val="0"/>
          <w:divBdr>
            <w:top w:val="none" w:sz="0" w:space="0" w:color="auto"/>
            <w:left w:val="none" w:sz="0" w:space="0" w:color="auto"/>
            <w:bottom w:val="none" w:sz="0" w:space="0" w:color="auto"/>
            <w:right w:val="none" w:sz="0" w:space="0" w:color="auto"/>
          </w:divBdr>
        </w:div>
        <w:div w:id="954823683">
          <w:marLeft w:val="2405"/>
          <w:marRight w:val="0"/>
          <w:marTop w:val="86"/>
          <w:marBottom w:val="0"/>
          <w:divBdr>
            <w:top w:val="none" w:sz="0" w:space="0" w:color="auto"/>
            <w:left w:val="none" w:sz="0" w:space="0" w:color="auto"/>
            <w:bottom w:val="none" w:sz="0" w:space="0" w:color="auto"/>
            <w:right w:val="none" w:sz="0" w:space="0" w:color="auto"/>
          </w:divBdr>
        </w:div>
        <w:div w:id="801727904">
          <w:marLeft w:val="2405"/>
          <w:marRight w:val="0"/>
          <w:marTop w:val="86"/>
          <w:marBottom w:val="0"/>
          <w:divBdr>
            <w:top w:val="none" w:sz="0" w:space="0" w:color="auto"/>
            <w:left w:val="none" w:sz="0" w:space="0" w:color="auto"/>
            <w:bottom w:val="none" w:sz="0" w:space="0" w:color="auto"/>
            <w:right w:val="none" w:sz="0" w:space="0" w:color="auto"/>
          </w:divBdr>
        </w:div>
      </w:divsChild>
    </w:div>
    <w:div w:id="1525359337">
      <w:bodyDiv w:val="1"/>
      <w:marLeft w:val="0"/>
      <w:marRight w:val="0"/>
      <w:marTop w:val="0"/>
      <w:marBottom w:val="0"/>
      <w:divBdr>
        <w:top w:val="none" w:sz="0" w:space="0" w:color="auto"/>
        <w:left w:val="none" w:sz="0" w:space="0" w:color="auto"/>
        <w:bottom w:val="none" w:sz="0" w:space="0" w:color="auto"/>
        <w:right w:val="none" w:sz="0" w:space="0" w:color="auto"/>
      </w:divBdr>
      <w:divsChild>
        <w:div w:id="386611489">
          <w:marLeft w:val="1267"/>
          <w:marRight w:val="0"/>
          <w:marTop w:val="0"/>
          <w:marBottom w:val="0"/>
          <w:divBdr>
            <w:top w:val="none" w:sz="0" w:space="0" w:color="auto"/>
            <w:left w:val="none" w:sz="0" w:space="0" w:color="auto"/>
            <w:bottom w:val="none" w:sz="0" w:space="0" w:color="auto"/>
            <w:right w:val="none" w:sz="0" w:space="0" w:color="auto"/>
          </w:divBdr>
        </w:div>
        <w:div w:id="825895567">
          <w:marLeft w:val="1886"/>
          <w:marRight w:val="0"/>
          <w:marTop w:val="0"/>
          <w:marBottom w:val="0"/>
          <w:divBdr>
            <w:top w:val="none" w:sz="0" w:space="0" w:color="auto"/>
            <w:left w:val="none" w:sz="0" w:space="0" w:color="auto"/>
            <w:bottom w:val="none" w:sz="0" w:space="0" w:color="auto"/>
            <w:right w:val="none" w:sz="0" w:space="0" w:color="auto"/>
          </w:divBdr>
        </w:div>
        <w:div w:id="1955821417">
          <w:marLeft w:val="1886"/>
          <w:marRight w:val="0"/>
          <w:marTop w:val="0"/>
          <w:marBottom w:val="0"/>
          <w:divBdr>
            <w:top w:val="none" w:sz="0" w:space="0" w:color="auto"/>
            <w:left w:val="none" w:sz="0" w:space="0" w:color="auto"/>
            <w:bottom w:val="none" w:sz="0" w:space="0" w:color="auto"/>
            <w:right w:val="none" w:sz="0" w:space="0" w:color="auto"/>
          </w:divBdr>
        </w:div>
        <w:div w:id="1834758750">
          <w:marLeft w:val="1267"/>
          <w:marRight w:val="0"/>
          <w:marTop w:val="0"/>
          <w:marBottom w:val="0"/>
          <w:divBdr>
            <w:top w:val="none" w:sz="0" w:space="0" w:color="auto"/>
            <w:left w:val="none" w:sz="0" w:space="0" w:color="auto"/>
            <w:bottom w:val="none" w:sz="0" w:space="0" w:color="auto"/>
            <w:right w:val="none" w:sz="0" w:space="0" w:color="auto"/>
          </w:divBdr>
        </w:div>
        <w:div w:id="828207695">
          <w:marLeft w:val="1267"/>
          <w:marRight w:val="0"/>
          <w:marTop w:val="0"/>
          <w:marBottom w:val="0"/>
          <w:divBdr>
            <w:top w:val="none" w:sz="0" w:space="0" w:color="auto"/>
            <w:left w:val="none" w:sz="0" w:space="0" w:color="auto"/>
            <w:bottom w:val="none" w:sz="0" w:space="0" w:color="auto"/>
            <w:right w:val="none" w:sz="0" w:space="0" w:color="auto"/>
          </w:divBdr>
        </w:div>
        <w:div w:id="1780031536">
          <w:marLeft w:val="1267"/>
          <w:marRight w:val="0"/>
          <w:marTop w:val="0"/>
          <w:marBottom w:val="0"/>
          <w:divBdr>
            <w:top w:val="none" w:sz="0" w:space="0" w:color="auto"/>
            <w:left w:val="none" w:sz="0" w:space="0" w:color="auto"/>
            <w:bottom w:val="none" w:sz="0" w:space="0" w:color="auto"/>
            <w:right w:val="none" w:sz="0" w:space="0" w:color="auto"/>
          </w:divBdr>
        </w:div>
        <w:div w:id="1250654332">
          <w:marLeft w:val="1267"/>
          <w:marRight w:val="0"/>
          <w:marTop w:val="0"/>
          <w:marBottom w:val="0"/>
          <w:divBdr>
            <w:top w:val="none" w:sz="0" w:space="0" w:color="auto"/>
            <w:left w:val="none" w:sz="0" w:space="0" w:color="auto"/>
            <w:bottom w:val="none" w:sz="0" w:space="0" w:color="auto"/>
            <w:right w:val="none" w:sz="0" w:space="0" w:color="auto"/>
          </w:divBdr>
        </w:div>
      </w:divsChild>
    </w:div>
    <w:div w:id="1536196041">
      <w:bodyDiv w:val="1"/>
      <w:marLeft w:val="0"/>
      <w:marRight w:val="0"/>
      <w:marTop w:val="0"/>
      <w:marBottom w:val="0"/>
      <w:divBdr>
        <w:top w:val="none" w:sz="0" w:space="0" w:color="auto"/>
        <w:left w:val="none" w:sz="0" w:space="0" w:color="auto"/>
        <w:bottom w:val="none" w:sz="0" w:space="0" w:color="auto"/>
        <w:right w:val="none" w:sz="0" w:space="0" w:color="auto"/>
      </w:divBdr>
      <w:divsChild>
        <w:div w:id="179205027">
          <w:marLeft w:val="1555"/>
          <w:marRight w:val="0"/>
          <w:marTop w:val="90"/>
          <w:marBottom w:val="0"/>
          <w:divBdr>
            <w:top w:val="none" w:sz="0" w:space="0" w:color="auto"/>
            <w:left w:val="none" w:sz="0" w:space="0" w:color="auto"/>
            <w:bottom w:val="none" w:sz="0" w:space="0" w:color="auto"/>
            <w:right w:val="none" w:sz="0" w:space="0" w:color="auto"/>
          </w:divBdr>
        </w:div>
        <w:div w:id="2009669421">
          <w:marLeft w:val="2405"/>
          <w:marRight w:val="0"/>
          <w:marTop w:val="86"/>
          <w:marBottom w:val="0"/>
          <w:divBdr>
            <w:top w:val="none" w:sz="0" w:space="0" w:color="auto"/>
            <w:left w:val="none" w:sz="0" w:space="0" w:color="auto"/>
            <w:bottom w:val="none" w:sz="0" w:space="0" w:color="auto"/>
            <w:right w:val="none" w:sz="0" w:space="0" w:color="auto"/>
          </w:divBdr>
        </w:div>
        <w:div w:id="477959447">
          <w:marLeft w:val="1555"/>
          <w:marRight w:val="0"/>
          <w:marTop w:val="90"/>
          <w:marBottom w:val="0"/>
          <w:divBdr>
            <w:top w:val="none" w:sz="0" w:space="0" w:color="auto"/>
            <w:left w:val="none" w:sz="0" w:space="0" w:color="auto"/>
            <w:bottom w:val="none" w:sz="0" w:space="0" w:color="auto"/>
            <w:right w:val="none" w:sz="0" w:space="0" w:color="auto"/>
          </w:divBdr>
        </w:div>
        <w:div w:id="234094636">
          <w:marLeft w:val="2405"/>
          <w:marRight w:val="0"/>
          <w:marTop w:val="86"/>
          <w:marBottom w:val="0"/>
          <w:divBdr>
            <w:top w:val="none" w:sz="0" w:space="0" w:color="auto"/>
            <w:left w:val="none" w:sz="0" w:space="0" w:color="auto"/>
            <w:bottom w:val="none" w:sz="0" w:space="0" w:color="auto"/>
            <w:right w:val="none" w:sz="0" w:space="0" w:color="auto"/>
          </w:divBdr>
        </w:div>
        <w:div w:id="350375508">
          <w:marLeft w:val="1555"/>
          <w:marRight w:val="0"/>
          <w:marTop w:val="90"/>
          <w:marBottom w:val="0"/>
          <w:divBdr>
            <w:top w:val="none" w:sz="0" w:space="0" w:color="auto"/>
            <w:left w:val="none" w:sz="0" w:space="0" w:color="auto"/>
            <w:bottom w:val="none" w:sz="0" w:space="0" w:color="auto"/>
            <w:right w:val="none" w:sz="0" w:space="0" w:color="auto"/>
          </w:divBdr>
        </w:div>
        <w:div w:id="1495341578">
          <w:marLeft w:val="2405"/>
          <w:marRight w:val="0"/>
          <w:marTop w:val="86"/>
          <w:marBottom w:val="0"/>
          <w:divBdr>
            <w:top w:val="none" w:sz="0" w:space="0" w:color="auto"/>
            <w:left w:val="none" w:sz="0" w:space="0" w:color="auto"/>
            <w:bottom w:val="none" w:sz="0" w:space="0" w:color="auto"/>
            <w:right w:val="none" w:sz="0" w:space="0" w:color="auto"/>
          </w:divBdr>
        </w:div>
        <w:div w:id="1746340530">
          <w:marLeft w:val="2405"/>
          <w:marRight w:val="0"/>
          <w:marTop w:val="86"/>
          <w:marBottom w:val="0"/>
          <w:divBdr>
            <w:top w:val="none" w:sz="0" w:space="0" w:color="auto"/>
            <w:left w:val="none" w:sz="0" w:space="0" w:color="auto"/>
            <w:bottom w:val="none" w:sz="0" w:space="0" w:color="auto"/>
            <w:right w:val="none" w:sz="0" w:space="0" w:color="auto"/>
          </w:divBdr>
        </w:div>
        <w:div w:id="1608346251">
          <w:marLeft w:val="2405"/>
          <w:marRight w:val="0"/>
          <w:marTop w:val="86"/>
          <w:marBottom w:val="0"/>
          <w:divBdr>
            <w:top w:val="none" w:sz="0" w:space="0" w:color="auto"/>
            <w:left w:val="none" w:sz="0" w:space="0" w:color="auto"/>
            <w:bottom w:val="none" w:sz="0" w:space="0" w:color="auto"/>
            <w:right w:val="none" w:sz="0" w:space="0" w:color="auto"/>
          </w:divBdr>
        </w:div>
        <w:div w:id="604533166">
          <w:marLeft w:val="2405"/>
          <w:marRight w:val="0"/>
          <w:marTop w:val="86"/>
          <w:marBottom w:val="0"/>
          <w:divBdr>
            <w:top w:val="none" w:sz="0" w:space="0" w:color="auto"/>
            <w:left w:val="none" w:sz="0" w:space="0" w:color="auto"/>
            <w:bottom w:val="none" w:sz="0" w:space="0" w:color="auto"/>
            <w:right w:val="none" w:sz="0" w:space="0" w:color="auto"/>
          </w:divBdr>
        </w:div>
      </w:divsChild>
    </w:div>
    <w:div w:id="1635216773">
      <w:bodyDiv w:val="1"/>
      <w:marLeft w:val="0"/>
      <w:marRight w:val="0"/>
      <w:marTop w:val="0"/>
      <w:marBottom w:val="0"/>
      <w:divBdr>
        <w:top w:val="none" w:sz="0" w:space="0" w:color="auto"/>
        <w:left w:val="none" w:sz="0" w:space="0" w:color="auto"/>
        <w:bottom w:val="none" w:sz="0" w:space="0" w:color="auto"/>
        <w:right w:val="none" w:sz="0" w:space="0" w:color="auto"/>
      </w:divBdr>
      <w:divsChild>
        <w:div w:id="582108888">
          <w:marLeft w:val="1267"/>
          <w:marRight w:val="0"/>
          <w:marTop w:val="0"/>
          <w:marBottom w:val="0"/>
          <w:divBdr>
            <w:top w:val="none" w:sz="0" w:space="0" w:color="auto"/>
            <w:left w:val="none" w:sz="0" w:space="0" w:color="auto"/>
            <w:bottom w:val="none" w:sz="0" w:space="0" w:color="auto"/>
            <w:right w:val="none" w:sz="0" w:space="0" w:color="auto"/>
          </w:divBdr>
        </w:div>
      </w:divsChild>
    </w:div>
    <w:div w:id="1641108546">
      <w:bodyDiv w:val="1"/>
      <w:marLeft w:val="0"/>
      <w:marRight w:val="0"/>
      <w:marTop w:val="0"/>
      <w:marBottom w:val="0"/>
      <w:divBdr>
        <w:top w:val="none" w:sz="0" w:space="0" w:color="auto"/>
        <w:left w:val="none" w:sz="0" w:space="0" w:color="auto"/>
        <w:bottom w:val="none" w:sz="0" w:space="0" w:color="auto"/>
        <w:right w:val="none" w:sz="0" w:space="0" w:color="auto"/>
      </w:divBdr>
    </w:div>
    <w:div w:id="1760562385">
      <w:bodyDiv w:val="1"/>
      <w:marLeft w:val="0"/>
      <w:marRight w:val="0"/>
      <w:marTop w:val="0"/>
      <w:marBottom w:val="0"/>
      <w:divBdr>
        <w:top w:val="none" w:sz="0" w:space="0" w:color="auto"/>
        <w:left w:val="none" w:sz="0" w:space="0" w:color="auto"/>
        <w:bottom w:val="none" w:sz="0" w:space="0" w:color="auto"/>
        <w:right w:val="none" w:sz="0" w:space="0" w:color="auto"/>
      </w:divBdr>
    </w:div>
    <w:div w:id="1790320979">
      <w:bodyDiv w:val="1"/>
      <w:marLeft w:val="0"/>
      <w:marRight w:val="0"/>
      <w:marTop w:val="0"/>
      <w:marBottom w:val="0"/>
      <w:divBdr>
        <w:top w:val="none" w:sz="0" w:space="0" w:color="auto"/>
        <w:left w:val="none" w:sz="0" w:space="0" w:color="auto"/>
        <w:bottom w:val="none" w:sz="0" w:space="0" w:color="auto"/>
        <w:right w:val="none" w:sz="0" w:space="0" w:color="auto"/>
      </w:divBdr>
    </w:div>
    <w:div w:id="1987273729">
      <w:bodyDiv w:val="1"/>
      <w:marLeft w:val="0"/>
      <w:marRight w:val="0"/>
      <w:marTop w:val="0"/>
      <w:marBottom w:val="0"/>
      <w:divBdr>
        <w:top w:val="none" w:sz="0" w:space="0" w:color="auto"/>
        <w:left w:val="none" w:sz="0" w:space="0" w:color="auto"/>
        <w:bottom w:val="none" w:sz="0" w:space="0" w:color="auto"/>
        <w:right w:val="none" w:sz="0" w:space="0" w:color="auto"/>
      </w:divBdr>
    </w:div>
    <w:div w:id="2048026233">
      <w:bodyDiv w:val="1"/>
      <w:marLeft w:val="0"/>
      <w:marRight w:val="0"/>
      <w:marTop w:val="0"/>
      <w:marBottom w:val="0"/>
      <w:divBdr>
        <w:top w:val="none" w:sz="0" w:space="0" w:color="auto"/>
        <w:left w:val="none" w:sz="0" w:space="0" w:color="auto"/>
        <w:bottom w:val="none" w:sz="0" w:space="0" w:color="auto"/>
        <w:right w:val="none" w:sz="0" w:space="0" w:color="auto"/>
      </w:divBdr>
    </w:div>
    <w:div w:id="20560073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225</TotalTime>
  <Pages>7</Pages>
  <Words>2482</Words>
  <Characters>14153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Sasha </cp:lastModifiedBy>
  <cp:revision>150</cp:revision>
  <dcterms:created xsi:type="dcterms:W3CDTF">2025-02-24T07:59:00Z</dcterms:created>
  <dcterms:modified xsi:type="dcterms:W3CDTF">2025-06-01T14:19:00Z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