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695F047F"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Pr="0061580F">
        <w:rPr>
          <w:sz w:val="24"/>
          <w:szCs w:val="24"/>
          <w:lang w:val="en-US"/>
        </w:rPr>
        <w:t>Meeting #10</w:t>
      </w:r>
      <w:r w:rsidR="002E7A03" w:rsidRPr="0061580F">
        <w:rPr>
          <w:sz w:val="24"/>
          <w:szCs w:val="24"/>
          <w:lang w:val="en-US"/>
        </w:rPr>
        <w:t>8</w:t>
      </w:r>
      <w:r w:rsidRPr="0061580F">
        <w:rPr>
          <w:bCs/>
          <w:sz w:val="24"/>
          <w:szCs w:val="24"/>
          <w:lang w:val="en-US"/>
        </w:rPr>
        <w:tab/>
        <w:t>RP-25</w:t>
      </w:r>
      <w:r w:rsidR="00E93B2A">
        <w:rPr>
          <w:bCs/>
          <w:sz w:val="24"/>
          <w:szCs w:val="24"/>
          <w:lang w:val="en-US"/>
        </w:rPr>
        <w:t>1007</w:t>
      </w:r>
      <w:r w:rsidR="00134BE5" w:rsidRPr="0061580F">
        <w:rPr>
          <w:bCs/>
          <w:sz w:val="24"/>
          <w:szCs w:val="24"/>
          <w:lang w:val="en-US"/>
        </w:rPr>
        <w:br/>
      </w:r>
      <w:r w:rsidR="002E7A03" w:rsidRPr="0061580F">
        <w:rPr>
          <w:rFonts w:eastAsia="Batang" w:cs="Arial"/>
          <w:color w:val="000000"/>
          <w:sz w:val="24"/>
          <w:szCs w:val="24"/>
          <w:lang w:val="en-US"/>
        </w:rPr>
        <w:t>Prague, Czech Republic, June 9-13,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40074560"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C015AB" w:rsidRPr="0061580F">
        <w:rPr>
          <w:rFonts w:cs="Arial"/>
          <w:b/>
          <w:bCs/>
          <w:sz w:val="24"/>
          <w:lang w:val="en-US"/>
        </w:rPr>
        <w:t>16</w:t>
      </w:r>
      <w:r w:rsidR="002E7A03" w:rsidRPr="0061580F">
        <w:rPr>
          <w:rFonts w:cs="Arial"/>
          <w:b/>
          <w:bCs/>
          <w:sz w:val="24"/>
          <w:lang w:val="en-US"/>
        </w:rPr>
        <w:t>.</w:t>
      </w:r>
      <w:r w:rsidR="009812D8">
        <w:rPr>
          <w:rFonts w:cs="Arial"/>
          <w:b/>
          <w:bCs/>
          <w:sz w:val="24"/>
          <w:lang w:val="en-US"/>
        </w:rPr>
        <w:t>1</w:t>
      </w:r>
    </w:p>
    <w:p w14:paraId="1A25E54B" w14:textId="122B183E"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950F0E">
        <w:rPr>
          <w:rFonts w:ascii="Arial" w:hAnsi="Arial" w:cs="Arial"/>
          <w:b/>
          <w:bCs/>
          <w:sz w:val="24"/>
          <w:lang w:val="en-US"/>
        </w:rPr>
        <w:t>Reliance jio</w:t>
      </w:r>
    </w:p>
    <w:p w14:paraId="3ADA391A" w14:textId="4C3C2AE6"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950F0E">
        <w:rPr>
          <w:rFonts w:ascii="Arial" w:hAnsi="Arial" w:cs="Arial"/>
          <w:b/>
          <w:bCs/>
          <w:sz w:val="24"/>
          <w:lang w:val="en-US"/>
        </w:rPr>
        <w:t>6G Waveform Study considerations</w:t>
      </w:r>
    </w:p>
    <w:p w14:paraId="60CD5F87" w14:textId="4E5B59BB"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7B108DCE" w14:textId="0D14542F" w:rsidR="00ED70FE" w:rsidRDefault="00644AA4" w:rsidP="00C94030">
      <w:pPr>
        <w:spacing w:after="0"/>
        <w:jc w:val="both"/>
        <w:rPr>
          <w:bCs/>
          <w:lang w:val="en-US"/>
        </w:rPr>
      </w:pPr>
      <w:r w:rsidRPr="00644AA4">
        <w:rPr>
          <w:bCs/>
          <w:lang w:val="en-US"/>
        </w:rPr>
        <w:t>Fifth-generation cellular technology uses the same waveform as the fourth generation, except that orthogonal frequency-division multiplexing (OFDM) is now mandatory both in downlink and uplink. Moreover, discrete Fourier transform-spread-OFDM (DFT-s-OFDM) can be used in the uplink. DFT-s-OFDM is a single carrier (SC) like transmission scheme mainly designed for coverage-limited cases due to its better power efficiency.</w:t>
      </w:r>
      <w:r w:rsidR="00ED70FE">
        <w:rPr>
          <w:bCs/>
          <w:lang w:val="en-US"/>
        </w:rPr>
        <w:t xml:space="preserve"> </w:t>
      </w:r>
      <w:r w:rsidRPr="00644AA4">
        <w:rPr>
          <w:bCs/>
          <w:lang w:val="en-US"/>
        </w:rPr>
        <w:t>As part of 5G NR evolution in 3GPP, a study item [</w:t>
      </w:r>
      <w:r w:rsidR="00734F1A">
        <w:rPr>
          <w:bCs/>
          <w:lang w:val="en-US"/>
        </w:rPr>
        <w:t>2</w:t>
      </w:r>
      <w:r w:rsidRPr="00644AA4">
        <w:rPr>
          <w:bCs/>
          <w:lang w:val="en-US"/>
        </w:rPr>
        <w:t>] towards the identification of new waveform beyond 52.6 GHz was undertaken in Release 16. The respective study decided to address only 52.6 GHz - 71 GHz spectrum and further spectrum consideration was left for the future.</w:t>
      </w:r>
      <w:r w:rsidR="00C94030">
        <w:rPr>
          <w:bCs/>
          <w:lang w:val="en-US"/>
        </w:rPr>
        <w:t xml:space="preserve"> </w:t>
      </w:r>
    </w:p>
    <w:p w14:paraId="05C6051D" w14:textId="77777777" w:rsidR="00ED70FE" w:rsidRDefault="00ED70FE" w:rsidP="00C94030">
      <w:pPr>
        <w:spacing w:after="0"/>
        <w:jc w:val="both"/>
        <w:rPr>
          <w:bCs/>
          <w:lang w:val="en-US"/>
        </w:rPr>
      </w:pPr>
    </w:p>
    <w:p w14:paraId="08D8DA0D" w14:textId="58F0BCF7" w:rsidR="00457E78" w:rsidRDefault="00644AA4" w:rsidP="00C94030">
      <w:pPr>
        <w:spacing w:after="0"/>
        <w:jc w:val="both"/>
        <w:rPr>
          <w:bCs/>
          <w:lang w:val="en-US"/>
        </w:rPr>
      </w:pPr>
      <w:r w:rsidRPr="00644AA4">
        <w:rPr>
          <w:bCs/>
          <w:lang w:val="en-US"/>
        </w:rPr>
        <w:t xml:space="preserve">However, no waveform change was introduced for the respective 52.6-71 GHz work item, apart from new SCS configurations. NR waveforms CP-OFDM DL with CPOFDM and DFT-s-OFDM UL were retained. </w:t>
      </w:r>
      <w:r w:rsidR="008018AB">
        <w:rPr>
          <w:bCs/>
          <w:lang w:val="en-US"/>
        </w:rPr>
        <w:t>Also,</w:t>
      </w:r>
      <w:r w:rsidR="002121FD">
        <w:rPr>
          <w:bCs/>
          <w:lang w:val="en-US"/>
        </w:rPr>
        <w:t xml:space="preserve"> i</w:t>
      </w:r>
      <w:r w:rsidR="00457E78">
        <w:rPr>
          <w:bCs/>
          <w:lang w:val="en-US"/>
        </w:rPr>
        <w:t>n 5G there was no study</w:t>
      </w:r>
      <w:r w:rsidR="00662798">
        <w:rPr>
          <w:bCs/>
          <w:lang w:val="en-US"/>
        </w:rPr>
        <w:t xml:space="preserve"> to</w:t>
      </w:r>
      <w:r w:rsidR="00457E78">
        <w:rPr>
          <w:bCs/>
          <w:lang w:val="en-US"/>
        </w:rPr>
        <w:t xml:space="preserve"> </w:t>
      </w:r>
      <w:r w:rsidR="00610900">
        <w:rPr>
          <w:bCs/>
          <w:lang w:val="en-US"/>
        </w:rPr>
        <w:t>address waveforms specific to vertical use cases or new services.</w:t>
      </w:r>
    </w:p>
    <w:p w14:paraId="4FC0F15C" w14:textId="77777777" w:rsidR="00457E78" w:rsidRDefault="00457E78" w:rsidP="00C94030">
      <w:pPr>
        <w:spacing w:after="0"/>
        <w:jc w:val="both"/>
        <w:rPr>
          <w:bCs/>
          <w:lang w:val="en-US"/>
        </w:rPr>
      </w:pPr>
    </w:p>
    <w:p w14:paraId="02174359" w14:textId="6E810F87" w:rsidR="008E48AB" w:rsidRDefault="00644AA4" w:rsidP="00434D1E">
      <w:pPr>
        <w:spacing w:after="0"/>
        <w:jc w:val="both"/>
        <w:rPr>
          <w:lang w:val="en-US"/>
        </w:rPr>
      </w:pPr>
      <w:r w:rsidRPr="00644AA4">
        <w:rPr>
          <w:bCs/>
          <w:lang w:val="en-US"/>
        </w:rPr>
        <w:t xml:space="preserve">However, the </w:t>
      </w:r>
      <w:r w:rsidR="004D24B9">
        <w:rPr>
          <w:bCs/>
          <w:lang w:val="en-US"/>
        </w:rPr>
        <w:t>6G SI for</w:t>
      </w:r>
      <w:r w:rsidRPr="00644AA4">
        <w:rPr>
          <w:bCs/>
          <w:lang w:val="en-US"/>
        </w:rPr>
        <w:t xml:space="preserve"> waveforms should not </w:t>
      </w:r>
      <w:r w:rsidR="004D24B9">
        <w:rPr>
          <w:bCs/>
          <w:lang w:val="en-US"/>
        </w:rPr>
        <w:t xml:space="preserve">be constrained </w:t>
      </w:r>
      <w:r w:rsidR="001C2C0F">
        <w:rPr>
          <w:bCs/>
          <w:lang w:val="en-US"/>
        </w:rPr>
        <w:t>and s</w:t>
      </w:r>
      <w:r w:rsidRPr="00644AA4">
        <w:rPr>
          <w:bCs/>
          <w:lang w:val="en-US"/>
        </w:rPr>
        <w:t xml:space="preserve">hall evaluate other potential new waveforms </w:t>
      </w:r>
      <w:r w:rsidR="003B3740">
        <w:rPr>
          <w:bCs/>
          <w:lang w:val="en-US"/>
        </w:rPr>
        <w:t>a</w:t>
      </w:r>
      <w:r w:rsidR="001C2C0F">
        <w:rPr>
          <w:bCs/>
          <w:lang w:val="en-US"/>
        </w:rPr>
        <w:t>cross FR1, FR2 and FR3</w:t>
      </w:r>
      <w:r w:rsidRPr="00644AA4">
        <w:rPr>
          <w:bCs/>
          <w:lang w:val="en-US"/>
        </w:rPr>
        <w:t>.</w:t>
      </w:r>
      <w:r w:rsidR="008F35FC">
        <w:rPr>
          <w:bCs/>
          <w:lang w:val="en-US"/>
        </w:rPr>
        <w:t xml:space="preserve"> </w:t>
      </w:r>
      <w:r w:rsidR="00434D1E">
        <w:rPr>
          <w:bCs/>
          <w:lang w:val="en-US"/>
        </w:rPr>
        <w:t xml:space="preserve"> </w:t>
      </w:r>
      <w:r w:rsidR="008E48AB">
        <w:rPr>
          <w:lang w:val="en-US"/>
        </w:rPr>
        <w:t xml:space="preserve">3GPP </w:t>
      </w:r>
      <w:r w:rsidR="00662798">
        <w:rPr>
          <w:lang w:val="en-US"/>
        </w:rPr>
        <w:t xml:space="preserve">now gets an opportunity </w:t>
      </w:r>
      <w:r w:rsidR="008F35FC">
        <w:rPr>
          <w:lang w:val="en-US"/>
        </w:rPr>
        <w:t xml:space="preserve">to not only evaluate new waveforms for different spectrum bands BUT also for </w:t>
      </w:r>
      <w:r w:rsidR="00434D1E">
        <w:rPr>
          <w:lang w:val="en-US"/>
        </w:rPr>
        <w:t>new services</w:t>
      </w:r>
    </w:p>
    <w:p w14:paraId="76582E9B" w14:textId="77777777" w:rsidR="00390B65" w:rsidRDefault="00390B65" w:rsidP="001D0B66">
      <w:pPr>
        <w:spacing w:after="0"/>
        <w:rPr>
          <w:lang w:val="en-US"/>
        </w:rPr>
      </w:pP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6C90D29A" w14:textId="5AA90264" w:rsidR="002D210F" w:rsidRDefault="009512FC" w:rsidP="00D95542">
      <w:pPr>
        <w:spacing w:after="0"/>
        <w:jc w:val="both"/>
        <w:rPr>
          <w:bCs/>
          <w:lang w:val="en-US"/>
        </w:rPr>
      </w:pPr>
      <w:r>
        <w:rPr>
          <w:bCs/>
          <w:lang w:val="en-US"/>
        </w:rPr>
        <w:t xml:space="preserve">6G should </w:t>
      </w:r>
      <w:r w:rsidR="002D210F" w:rsidRPr="0061580F">
        <w:rPr>
          <w:bCs/>
          <w:lang w:val="en-US"/>
        </w:rPr>
        <w:t xml:space="preserve">serve as a platform for introducing </w:t>
      </w:r>
      <w:r w:rsidR="004B42F4">
        <w:rPr>
          <w:bCs/>
          <w:lang w:val="en-US"/>
        </w:rPr>
        <w:t>radical</w:t>
      </w:r>
      <w:r w:rsidR="002D210F" w:rsidRPr="0061580F">
        <w:rPr>
          <w:bCs/>
          <w:lang w:val="en-US"/>
        </w:rPr>
        <w:t xml:space="preserve"> technologies that go beyond the incremental improvements</w:t>
      </w:r>
      <w:r w:rsidR="00C1516D">
        <w:rPr>
          <w:bCs/>
          <w:lang w:val="en-US"/>
        </w:rPr>
        <w:t>.</w:t>
      </w:r>
      <w:r w:rsidR="00D95542">
        <w:rPr>
          <w:bCs/>
          <w:lang w:val="en-US"/>
        </w:rPr>
        <w:t xml:space="preserve"> </w:t>
      </w:r>
      <w:r w:rsidR="002D210F" w:rsidRPr="0061580F">
        <w:rPr>
          <w:bCs/>
          <w:lang w:val="en-US"/>
        </w:rPr>
        <w:t>The transition from 4G to 5G, however, has not significantly enhanced spectral efficiency</w:t>
      </w:r>
      <w:r w:rsidR="00231C3D">
        <w:rPr>
          <w:bCs/>
          <w:lang w:val="en-US"/>
        </w:rPr>
        <w:t xml:space="preserve"> and </w:t>
      </w:r>
      <w:r w:rsidR="002D210F" w:rsidRPr="0061580F">
        <w:rPr>
          <w:bCs/>
          <w:lang w:val="en-US"/>
        </w:rPr>
        <w:t xml:space="preserve">Multi-User MIMO (MU-MIMO) </w:t>
      </w:r>
      <w:r w:rsidR="00231C3D">
        <w:rPr>
          <w:bCs/>
          <w:lang w:val="en-US"/>
        </w:rPr>
        <w:t xml:space="preserve">which was expected to </w:t>
      </w:r>
      <w:r w:rsidR="002D210F" w:rsidRPr="0061580F">
        <w:rPr>
          <w:bCs/>
          <w:lang w:val="en-US"/>
        </w:rPr>
        <w:t>boost spectral density</w:t>
      </w:r>
      <w:r w:rsidR="00A602A8">
        <w:rPr>
          <w:bCs/>
          <w:lang w:val="en-US"/>
        </w:rPr>
        <w:t xml:space="preserve"> has seen </w:t>
      </w:r>
      <w:r w:rsidR="000A53E6">
        <w:rPr>
          <w:bCs/>
          <w:lang w:val="en-US"/>
        </w:rPr>
        <w:t>impediments in realizing its potential given the imp</w:t>
      </w:r>
      <w:r w:rsidR="002D210F" w:rsidRPr="0061580F">
        <w:rPr>
          <w:bCs/>
          <w:lang w:val="en-US"/>
        </w:rPr>
        <w:t xml:space="preserve">lementation </w:t>
      </w:r>
      <w:r w:rsidR="0002458D">
        <w:rPr>
          <w:bCs/>
          <w:lang w:val="en-US"/>
        </w:rPr>
        <w:t xml:space="preserve">and complexity challenges. </w:t>
      </w:r>
    </w:p>
    <w:p w14:paraId="0CC10986" w14:textId="77777777" w:rsidR="0002458D" w:rsidRDefault="0002458D" w:rsidP="00D95542">
      <w:pPr>
        <w:spacing w:after="0"/>
        <w:jc w:val="both"/>
        <w:rPr>
          <w:bCs/>
          <w:lang w:val="en-US"/>
        </w:rPr>
      </w:pPr>
    </w:p>
    <w:p w14:paraId="138CD5F0" w14:textId="2478BDA5" w:rsidR="0002458D" w:rsidRPr="0061580F" w:rsidRDefault="0002458D" w:rsidP="00D95542">
      <w:pPr>
        <w:spacing w:after="0"/>
        <w:jc w:val="both"/>
        <w:rPr>
          <w:bCs/>
          <w:lang w:val="en-US"/>
        </w:rPr>
      </w:pPr>
      <w:r>
        <w:rPr>
          <w:bCs/>
          <w:lang w:val="en-US"/>
        </w:rPr>
        <w:t xml:space="preserve">Many of the verticals also render themselves for </w:t>
      </w:r>
      <w:r w:rsidR="00A822F3">
        <w:rPr>
          <w:bCs/>
          <w:lang w:val="en-US"/>
        </w:rPr>
        <w:t xml:space="preserve">intrinsically better waveforms than what’s generally developed for </w:t>
      </w:r>
      <w:proofErr w:type="spellStart"/>
      <w:r w:rsidR="00A822F3">
        <w:rPr>
          <w:bCs/>
          <w:lang w:val="en-US"/>
        </w:rPr>
        <w:t>eMBB</w:t>
      </w:r>
      <w:proofErr w:type="spellEnd"/>
      <w:r w:rsidR="00A822F3">
        <w:rPr>
          <w:bCs/>
          <w:lang w:val="en-US"/>
        </w:rPr>
        <w:t>.</w:t>
      </w:r>
    </w:p>
    <w:p w14:paraId="7D2C2813" w14:textId="77777777" w:rsidR="002D210F" w:rsidRPr="0061580F" w:rsidRDefault="002D210F" w:rsidP="002D210F">
      <w:pPr>
        <w:spacing w:after="0"/>
        <w:rPr>
          <w:bCs/>
          <w:lang w:val="en-US"/>
        </w:rPr>
      </w:pPr>
    </w:p>
    <w:p w14:paraId="3FEB046B" w14:textId="77777777" w:rsidR="006E56D7" w:rsidRPr="00163464" w:rsidRDefault="006E56D7" w:rsidP="006E56D7">
      <w:pPr>
        <w:spacing w:after="0"/>
        <w:rPr>
          <w:b/>
          <w:lang w:val="en-US"/>
        </w:rPr>
      </w:pPr>
      <w:r w:rsidRPr="00163464">
        <w:rPr>
          <w:b/>
          <w:lang w:val="en-US"/>
        </w:rPr>
        <w:t>Waveform Study</w:t>
      </w:r>
    </w:p>
    <w:p w14:paraId="4F97B446" w14:textId="77777777" w:rsidR="00A822F3" w:rsidRDefault="00A822F3" w:rsidP="0040758B">
      <w:pPr>
        <w:spacing w:after="0"/>
        <w:jc w:val="both"/>
        <w:rPr>
          <w:bCs/>
          <w:lang w:val="en-IN"/>
        </w:rPr>
      </w:pPr>
    </w:p>
    <w:p w14:paraId="1B68D33C" w14:textId="6A046361" w:rsidR="00940B83" w:rsidRDefault="00A822F3" w:rsidP="0040758B">
      <w:pPr>
        <w:spacing w:after="0"/>
        <w:jc w:val="both"/>
        <w:rPr>
          <w:bCs/>
          <w:lang w:val="en-IN"/>
        </w:rPr>
      </w:pPr>
      <w:r>
        <w:rPr>
          <w:bCs/>
          <w:lang w:val="en-IN"/>
        </w:rPr>
        <w:t xml:space="preserve">If we look at the requirements for </w:t>
      </w:r>
      <w:r w:rsidR="008F2C79">
        <w:rPr>
          <w:bCs/>
          <w:lang w:val="en-IN"/>
        </w:rPr>
        <w:t>each of the use cases (below</w:t>
      </w:r>
      <w:r w:rsidR="00A164EB">
        <w:rPr>
          <w:bCs/>
          <w:lang w:val="en-IN"/>
        </w:rPr>
        <w:t xml:space="preserve"> non exhaustive list in the</w:t>
      </w:r>
      <w:r w:rsidR="008F2C79">
        <w:rPr>
          <w:bCs/>
          <w:lang w:val="en-IN"/>
        </w:rPr>
        <w:t xml:space="preserve"> table), it’s clear </w:t>
      </w:r>
      <w:r w:rsidR="00C578AD">
        <w:rPr>
          <w:bCs/>
          <w:lang w:val="en-IN"/>
        </w:rPr>
        <w:t xml:space="preserve">that the </w:t>
      </w:r>
      <w:r w:rsidR="0040758B" w:rsidRPr="0040758B">
        <w:rPr>
          <w:bCs/>
          <w:lang w:val="en-IN"/>
        </w:rPr>
        <w:t xml:space="preserve">scenarios for evaluation </w:t>
      </w:r>
      <w:r w:rsidR="000813A6">
        <w:rPr>
          <w:bCs/>
          <w:lang w:val="en-IN"/>
        </w:rPr>
        <w:t xml:space="preserve">has to be </w:t>
      </w:r>
      <w:r w:rsidR="0040758B" w:rsidRPr="0040758B">
        <w:rPr>
          <w:bCs/>
          <w:lang w:val="en-IN"/>
        </w:rPr>
        <w:t xml:space="preserve">carefully curated to encompass both traditional and emerging use cases. From dense urban areas and suburban environments to rural and remote regions, each scenario presents unique challenges in terms of coverage, capacity, latency, energy efficiency, and quality of service. </w:t>
      </w:r>
    </w:p>
    <w:p w14:paraId="02E5897D" w14:textId="77777777" w:rsidR="00940B83" w:rsidRDefault="00940B83" w:rsidP="0040758B">
      <w:pPr>
        <w:spacing w:after="0"/>
        <w:jc w:val="both"/>
        <w:rPr>
          <w:bCs/>
          <w:lang w:val="en-IN"/>
        </w:rPr>
      </w:pPr>
    </w:p>
    <w:p w14:paraId="4C0FD3BB" w14:textId="19661909" w:rsidR="0040758B" w:rsidRPr="0040758B" w:rsidRDefault="006A0671" w:rsidP="0040758B">
      <w:pPr>
        <w:spacing w:after="0"/>
        <w:jc w:val="both"/>
        <w:rPr>
          <w:bCs/>
          <w:lang w:val="en-IN"/>
        </w:rPr>
      </w:pPr>
      <w:r>
        <w:rPr>
          <w:bCs/>
          <w:lang w:val="en-IN"/>
        </w:rPr>
        <w:t xml:space="preserve">6G waveform </w:t>
      </w:r>
      <w:r w:rsidR="0040758B" w:rsidRPr="0040758B">
        <w:rPr>
          <w:bCs/>
          <w:lang w:val="en-IN"/>
        </w:rPr>
        <w:t xml:space="preserve">evaluation </w:t>
      </w:r>
      <w:r>
        <w:rPr>
          <w:bCs/>
          <w:lang w:val="en-IN"/>
        </w:rPr>
        <w:t xml:space="preserve">should consider these </w:t>
      </w:r>
      <w:r w:rsidR="0040758B" w:rsidRPr="0040758B">
        <w:rPr>
          <w:bCs/>
          <w:lang w:val="en-IN"/>
        </w:rPr>
        <w:t>diverse scenarios</w:t>
      </w:r>
      <w:r>
        <w:rPr>
          <w:bCs/>
          <w:lang w:val="en-IN"/>
        </w:rPr>
        <w:t xml:space="preserve"> to achieve the best possible </w:t>
      </w:r>
      <w:r w:rsidR="0040758B" w:rsidRPr="0040758B">
        <w:rPr>
          <w:bCs/>
          <w:lang w:val="en-IN"/>
        </w:rPr>
        <w:t>performance</w:t>
      </w:r>
      <w:r>
        <w:rPr>
          <w:bCs/>
          <w:lang w:val="en-IN"/>
        </w:rPr>
        <w:t xml:space="preserve"> </w:t>
      </w:r>
      <w:r w:rsidR="002F1956">
        <w:rPr>
          <w:bCs/>
          <w:lang w:val="en-IN"/>
        </w:rPr>
        <w:t>across a set of waveforms</w:t>
      </w:r>
      <w:r w:rsidR="0040758B" w:rsidRPr="0040758B">
        <w:rPr>
          <w:bCs/>
          <w:lang w:val="en-IN"/>
        </w:rPr>
        <w:t>.</w:t>
      </w:r>
    </w:p>
    <w:p w14:paraId="65FA6AD9" w14:textId="77777777" w:rsidR="00AD00FB" w:rsidRDefault="00AD00FB" w:rsidP="002D210F">
      <w:pPr>
        <w:spacing w:after="0"/>
        <w:rPr>
          <w:bCs/>
          <w:lang w:val="en-US"/>
        </w:rPr>
      </w:pPr>
    </w:p>
    <w:tbl>
      <w:tblPr>
        <w:tblStyle w:val="TableGrid"/>
        <w:tblW w:w="0" w:type="auto"/>
        <w:jc w:val="center"/>
        <w:tblLook w:val="04A0" w:firstRow="1" w:lastRow="0" w:firstColumn="1" w:lastColumn="0" w:noHBand="0" w:noVBand="1"/>
      </w:tblPr>
      <w:tblGrid>
        <w:gridCol w:w="495"/>
        <w:gridCol w:w="1709"/>
        <w:gridCol w:w="2308"/>
        <w:gridCol w:w="1862"/>
        <w:gridCol w:w="2621"/>
      </w:tblGrid>
      <w:tr w:rsidR="00AA2DC6" w:rsidRPr="00AA2DC6" w14:paraId="0E47B669" w14:textId="77777777" w:rsidTr="00AA2DC6">
        <w:trPr>
          <w:tblHeader/>
          <w:jc w:val="center"/>
        </w:trPr>
        <w:tc>
          <w:tcPr>
            <w:tcW w:w="495" w:type="dxa"/>
            <w:tcBorders>
              <w:top w:val="single" w:sz="4" w:space="0" w:color="auto"/>
              <w:left w:val="single" w:sz="4" w:space="0" w:color="auto"/>
              <w:bottom w:val="single" w:sz="4" w:space="0" w:color="auto"/>
              <w:right w:val="single" w:sz="4" w:space="0" w:color="auto"/>
            </w:tcBorders>
            <w:hideMark/>
          </w:tcPr>
          <w:p w14:paraId="6CC37AF9" w14:textId="77777777" w:rsidR="00AA2DC6" w:rsidRPr="00AA2DC6" w:rsidRDefault="00AA2DC6" w:rsidP="00AA2DC6">
            <w:pPr>
              <w:spacing w:after="0"/>
              <w:rPr>
                <w:b/>
                <w:bCs/>
                <w:lang w:val="en-US"/>
              </w:rPr>
            </w:pPr>
            <w:r w:rsidRPr="00AA2DC6">
              <w:rPr>
                <w:b/>
                <w:bCs/>
                <w:lang w:val="en-US"/>
              </w:rPr>
              <w:t>Sr.</w:t>
            </w:r>
          </w:p>
        </w:tc>
        <w:tc>
          <w:tcPr>
            <w:tcW w:w="1709" w:type="dxa"/>
            <w:tcBorders>
              <w:top w:val="single" w:sz="4" w:space="0" w:color="auto"/>
              <w:left w:val="single" w:sz="4" w:space="0" w:color="auto"/>
              <w:bottom w:val="single" w:sz="4" w:space="0" w:color="auto"/>
              <w:right w:val="single" w:sz="4" w:space="0" w:color="auto"/>
            </w:tcBorders>
            <w:hideMark/>
          </w:tcPr>
          <w:p w14:paraId="225195C6" w14:textId="77777777" w:rsidR="00AA2DC6" w:rsidRPr="00AA2DC6" w:rsidRDefault="00AA2DC6" w:rsidP="00AA2DC6">
            <w:pPr>
              <w:spacing w:after="0"/>
              <w:rPr>
                <w:b/>
                <w:bCs/>
                <w:lang w:val="en-US"/>
              </w:rPr>
            </w:pPr>
            <w:r w:rsidRPr="00AA2DC6">
              <w:rPr>
                <w:b/>
                <w:bCs/>
                <w:lang w:val="en-US"/>
              </w:rPr>
              <w:t>Scenario</w:t>
            </w:r>
          </w:p>
        </w:tc>
        <w:tc>
          <w:tcPr>
            <w:tcW w:w="2308" w:type="dxa"/>
            <w:tcBorders>
              <w:top w:val="single" w:sz="4" w:space="0" w:color="auto"/>
              <w:left w:val="single" w:sz="4" w:space="0" w:color="auto"/>
              <w:bottom w:val="single" w:sz="4" w:space="0" w:color="auto"/>
              <w:right w:val="single" w:sz="4" w:space="0" w:color="auto"/>
            </w:tcBorders>
            <w:hideMark/>
          </w:tcPr>
          <w:p w14:paraId="2EEB9563" w14:textId="77777777" w:rsidR="00AA2DC6" w:rsidRPr="00AA2DC6" w:rsidRDefault="00AA2DC6" w:rsidP="00AA2DC6">
            <w:pPr>
              <w:spacing w:after="0"/>
              <w:rPr>
                <w:b/>
                <w:bCs/>
                <w:lang w:val="en-US"/>
              </w:rPr>
            </w:pPr>
            <w:r w:rsidRPr="00AA2DC6">
              <w:rPr>
                <w:b/>
                <w:bCs/>
                <w:lang w:val="en-US"/>
              </w:rPr>
              <w:t>Description</w:t>
            </w:r>
          </w:p>
        </w:tc>
        <w:tc>
          <w:tcPr>
            <w:tcW w:w="1862" w:type="dxa"/>
            <w:tcBorders>
              <w:top w:val="single" w:sz="4" w:space="0" w:color="auto"/>
              <w:left w:val="single" w:sz="4" w:space="0" w:color="auto"/>
              <w:bottom w:val="single" w:sz="4" w:space="0" w:color="auto"/>
              <w:right w:val="single" w:sz="4" w:space="0" w:color="auto"/>
            </w:tcBorders>
            <w:hideMark/>
          </w:tcPr>
          <w:p w14:paraId="1ECEC33F" w14:textId="77777777" w:rsidR="00AA2DC6" w:rsidRPr="00AA2DC6" w:rsidRDefault="00AA2DC6" w:rsidP="00AA2DC6">
            <w:pPr>
              <w:spacing w:after="0"/>
              <w:rPr>
                <w:b/>
                <w:bCs/>
                <w:lang w:val="en-US"/>
              </w:rPr>
            </w:pPr>
            <w:r w:rsidRPr="00AA2DC6">
              <w:rPr>
                <w:b/>
                <w:bCs/>
                <w:lang w:val="en-US"/>
              </w:rPr>
              <w:t>Impact on waveform</w:t>
            </w:r>
          </w:p>
        </w:tc>
        <w:tc>
          <w:tcPr>
            <w:tcW w:w="2621" w:type="dxa"/>
            <w:tcBorders>
              <w:top w:val="single" w:sz="4" w:space="0" w:color="auto"/>
              <w:left w:val="single" w:sz="4" w:space="0" w:color="auto"/>
              <w:bottom w:val="single" w:sz="4" w:space="0" w:color="auto"/>
              <w:right w:val="single" w:sz="4" w:space="0" w:color="auto"/>
            </w:tcBorders>
            <w:hideMark/>
          </w:tcPr>
          <w:p w14:paraId="7D24F7EA" w14:textId="77777777" w:rsidR="00AA2DC6" w:rsidRPr="00AA2DC6" w:rsidRDefault="00AA2DC6" w:rsidP="00AA2DC6">
            <w:pPr>
              <w:spacing w:after="0"/>
              <w:rPr>
                <w:b/>
                <w:bCs/>
                <w:lang w:val="en-US"/>
              </w:rPr>
            </w:pPr>
            <w:r w:rsidRPr="00AA2DC6">
              <w:rPr>
                <w:b/>
                <w:bCs/>
                <w:lang w:val="en-US"/>
              </w:rPr>
              <w:t>KPIs</w:t>
            </w:r>
          </w:p>
        </w:tc>
      </w:tr>
      <w:tr w:rsidR="00AA2DC6" w:rsidRPr="00AA2DC6" w14:paraId="24D20CFB"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702D8AEC" w14:textId="77777777" w:rsidR="00AA2DC6" w:rsidRPr="00AA2DC6" w:rsidRDefault="00AA2DC6" w:rsidP="00AA2DC6">
            <w:pPr>
              <w:spacing w:after="0"/>
              <w:rPr>
                <w:bCs/>
                <w:lang w:val="en-US"/>
              </w:rPr>
            </w:pPr>
            <w:r w:rsidRPr="00AA2DC6">
              <w:rPr>
                <w:bCs/>
                <w:lang w:val="en-US"/>
              </w:rPr>
              <w:t>1</w:t>
            </w:r>
          </w:p>
        </w:tc>
        <w:tc>
          <w:tcPr>
            <w:tcW w:w="1709" w:type="dxa"/>
            <w:tcBorders>
              <w:top w:val="single" w:sz="4" w:space="0" w:color="auto"/>
              <w:left w:val="single" w:sz="4" w:space="0" w:color="auto"/>
              <w:bottom w:val="single" w:sz="4" w:space="0" w:color="auto"/>
              <w:right w:val="single" w:sz="4" w:space="0" w:color="auto"/>
            </w:tcBorders>
            <w:hideMark/>
          </w:tcPr>
          <w:p w14:paraId="1E376317" w14:textId="77777777" w:rsidR="00AA2DC6" w:rsidRPr="00AA2DC6" w:rsidRDefault="00AA2DC6" w:rsidP="00AA2DC6">
            <w:pPr>
              <w:spacing w:after="0"/>
              <w:rPr>
                <w:bCs/>
                <w:lang w:val="en-US"/>
              </w:rPr>
            </w:pPr>
            <w:r w:rsidRPr="00AA2DC6">
              <w:rPr>
                <w:bCs/>
                <w:lang w:val="en-US"/>
              </w:rPr>
              <w:t>6G Mobile Broadband</w:t>
            </w:r>
          </w:p>
        </w:tc>
        <w:tc>
          <w:tcPr>
            <w:tcW w:w="2308" w:type="dxa"/>
            <w:tcBorders>
              <w:top w:val="single" w:sz="4" w:space="0" w:color="auto"/>
              <w:left w:val="single" w:sz="4" w:space="0" w:color="auto"/>
              <w:bottom w:val="single" w:sz="4" w:space="0" w:color="auto"/>
              <w:right w:val="single" w:sz="4" w:space="0" w:color="auto"/>
            </w:tcBorders>
            <w:hideMark/>
          </w:tcPr>
          <w:p w14:paraId="4DE13DCD" w14:textId="77777777" w:rsidR="00AA2DC6" w:rsidRPr="00AA2DC6" w:rsidRDefault="00AA2DC6" w:rsidP="00AA2DC6">
            <w:pPr>
              <w:spacing w:after="0"/>
              <w:rPr>
                <w:bCs/>
                <w:lang w:val="en-US"/>
              </w:rPr>
            </w:pPr>
            <w:r w:rsidRPr="00AA2DC6">
              <w:rPr>
                <w:bCs/>
                <w:lang w:val="en-US"/>
              </w:rPr>
              <w:t>Users are moving in pedestrian speed and have to do both voice and data together</w:t>
            </w:r>
          </w:p>
        </w:tc>
        <w:tc>
          <w:tcPr>
            <w:tcW w:w="1862" w:type="dxa"/>
            <w:tcBorders>
              <w:top w:val="single" w:sz="4" w:space="0" w:color="auto"/>
              <w:left w:val="single" w:sz="4" w:space="0" w:color="auto"/>
              <w:bottom w:val="single" w:sz="4" w:space="0" w:color="auto"/>
              <w:right w:val="single" w:sz="4" w:space="0" w:color="auto"/>
            </w:tcBorders>
            <w:hideMark/>
          </w:tcPr>
          <w:p w14:paraId="550CB025" w14:textId="77777777" w:rsidR="00AA2DC6" w:rsidRPr="00AA2DC6" w:rsidRDefault="00AA2DC6" w:rsidP="00AA2DC6">
            <w:pPr>
              <w:spacing w:after="0"/>
              <w:rPr>
                <w:bCs/>
                <w:lang w:val="en-US"/>
              </w:rPr>
            </w:pPr>
            <w:r w:rsidRPr="00AA2DC6">
              <w:rPr>
                <w:bCs/>
                <w:lang w:val="en-US"/>
              </w:rPr>
              <w:t>cell-edge or 5</w:t>
            </w:r>
            <w:r w:rsidRPr="00AA2DC6">
              <w:rPr>
                <w:bCs/>
                <w:vertAlign w:val="superscript"/>
                <w:lang w:val="en-US"/>
              </w:rPr>
              <w:t>th</w:t>
            </w:r>
            <w:r w:rsidRPr="00AA2DC6">
              <w:rPr>
                <w:bCs/>
                <w:lang w:val="en-US"/>
              </w:rPr>
              <w:t xml:space="preserve"> percentile throughput with ability to support voice of x Kbps and data of y Mbps </w:t>
            </w:r>
          </w:p>
        </w:tc>
        <w:tc>
          <w:tcPr>
            <w:tcW w:w="2621" w:type="dxa"/>
            <w:tcBorders>
              <w:top w:val="single" w:sz="4" w:space="0" w:color="auto"/>
              <w:left w:val="single" w:sz="4" w:space="0" w:color="auto"/>
              <w:bottom w:val="single" w:sz="4" w:space="0" w:color="auto"/>
              <w:right w:val="single" w:sz="4" w:space="0" w:color="auto"/>
            </w:tcBorders>
            <w:hideMark/>
          </w:tcPr>
          <w:p w14:paraId="62CE7101" w14:textId="77777777" w:rsidR="00AA2DC6" w:rsidRPr="00AA2DC6" w:rsidRDefault="00AA2DC6" w:rsidP="00AA2DC6">
            <w:pPr>
              <w:spacing w:after="0"/>
              <w:rPr>
                <w:bCs/>
                <w:lang w:val="en-US"/>
              </w:rPr>
            </w:pPr>
            <w:r w:rsidRPr="00AA2DC6">
              <w:rPr>
                <w:bCs/>
                <w:lang w:val="en-US"/>
              </w:rPr>
              <w:t>Low PAPR waveform, coverage/link budget &gt; 140dB (400-700 MHz)</w:t>
            </w:r>
          </w:p>
        </w:tc>
      </w:tr>
      <w:tr w:rsidR="00AA2DC6" w:rsidRPr="00AA2DC6" w14:paraId="49D651DC"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2948B5F4" w14:textId="77777777" w:rsidR="00AA2DC6" w:rsidRPr="00AA2DC6" w:rsidRDefault="00AA2DC6" w:rsidP="00AA2DC6">
            <w:pPr>
              <w:spacing w:after="0"/>
              <w:rPr>
                <w:bCs/>
                <w:lang w:val="en-US"/>
              </w:rPr>
            </w:pPr>
            <w:r w:rsidRPr="00AA2DC6">
              <w:rPr>
                <w:bCs/>
                <w:lang w:val="en-US"/>
              </w:rPr>
              <w:lastRenderedPageBreak/>
              <w:t>1</w:t>
            </w:r>
          </w:p>
        </w:tc>
        <w:tc>
          <w:tcPr>
            <w:tcW w:w="1709" w:type="dxa"/>
            <w:tcBorders>
              <w:top w:val="single" w:sz="4" w:space="0" w:color="auto"/>
              <w:left w:val="single" w:sz="4" w:space="0" w:color="auto"/>
              <w:bottom w:val="single" w:sz="4" w:space="0" w:color="auto"/>
              <w:right w:val="single" w:sz="4" w:space="0" w:color="auto"/>
            </w:tcBorders>
            <w:hideMark/>
          </w:tcPr>
          <w:p w14:paraId="65791107" w14:textId="77777777" w:rsidR="00AA2DC6" w:rsidRPr="00AA2DC6" w:rsidRDefault="00AA2DC6" w:rsidP="00AA2DC6">
            <w:pPr>
              <w:spacing w:after="0"/>
              <w:rPr>
                <w:bCs/>
                <w:lang w:val="en-US"/>
              </w:rPr>
            </w:pPr>
            <w:r w:rsidRPr="00AA2DC6">
              <w:rPr>
                <w:bCs/>
                <w:lang w:val="en-US"/>
              </w:rPr>
              <w:t>High Speed Vehicular</w:t>
            </w:r>
          </w:p>
        </w:tc>
        <w:tc>
          <w:tcPr>
            <w:tcW w:w="2308" w:type="dxa"/>
            <w:tcBorders>
              <w:top w:val="single" w:sz="4" w:space="0" w:color="auto"/>
              <w:left w:val="single" w:sz="4" w:space="0" w:color="auto"/>
              <w:bottom w:val="single" w:sz="4" w:space="0" w:color="auto"/>
              <w:right w:val="single" w:sz="4" w:space="0" w:color="auto"/>
            </w:tcBorders>
            <w:hideMark/>
          </w:tcPr>
          <w:p w14:paraId="708F2D01" w14:textId="1F7E01DD" w:rsidR="00AA2DC6" w:rsidRPr="00AA2DC6" w:rsidRDefault="00750CEB" w:rsidP="00AA2DC6">
            <w:pPr>
              <w:spacing w:after="0"/>
              <w:rPr>
                <w:bCs/>
                <w:lang w:val="en-US"/>
              </w:rPr>
            </w:pPr>
            <w:r>
              <w:rPr>
                <w:bCs/>
                <w:lang w:val="en-US"/>
              </w:rPr>
              <w:t>U</w:t>
            </w:r>
            <w:r w:rsidR="00AA2DC6" w:rsidRPr="00AA2DC6">
              <w:rPr>
                <w:bCs/>
                <w:lang w:val="en-US"/>
              </w:rPr>
              <w:t>sers or devices are in constant motion, such as high-speed trains, vehicles, or drones</w:t>
            </w:r>
          </w:p>
        </w:tc>
        <w:tc>
          <w:tcPr>
            <w:tcW w:w="1862" w:type="dxa"/>
            <w:tcBorders>
              <w:top w:val="single" w:sz="4" w:space="0" w:color="auto"/>
              <w:left w:val="single" w:sz="4" w:space="0" w:color="auto"/>
              <w:bottom w:val="single" w:sz="4" w:space="0" w:color="auto"/>
              <w:right w:val="single" w:sz="4" w:space="0" w:color="auto"/>
            </w:tcBorders>
            <w:hideMark/>
          </w:tcPr>
          <w:p w14:paraId="3FBE7C0B" w14:textId="77777777" w:rsidR="00AA2DC6" w:rsidRPr="00AA2DC6" w:rsidRDefault="00AA2DC6" w:rsidP="00AA2DC6">
            <w:pPr>
              <w:spacing w:after="0"/>
              <w:rPr>
                <w:bCs/>
                <w:lang w:val="en-US"/>
              </w:rPr>
            </w:pPr>
            <w:r w:rsidRPr="00AA2DC6">
              <w:rPr>
                <w:bCs/>
                <w:lang w:val="en-US"/>
              </w:rPr>
              <w:t>Resilient to high Doppler effects and rapidly changing channel conditions</w:t>
            </w:r>
          </w:p>
        </w:tc>
        <w:tc>
          <w:tcPr>
            <w:tcW w:w="2621" w:type="dxa"/>
            <w:tcBorders>
              <w:top w:val="single" w:sz="4" w:space="0" w:color="auto"/>
              <w:left w:val="single" w:sz="4" w:space="0" w:color="auto"/>
              <w:bottom w:val="single" w:sz="4" w:space="0" w:color="auto"/>
              <w:right w:val="single" w:sz="4" w:space="0" w:color="auto"/>
            </w:tcBorders>
            <w:hideMark/>
          </w:tcPr>
          <w:p w14:paraId="09A9956E" w14:textId="77777777" w:rsidR="00AA2DC6" w:rsidRPr="00AA2DC6" w:rsidRDefault="00AA2DC6" w:rsidP="00AA2DC6">
            <w:pPr>
              <w:spacing w:after="0"/>
              <w:rPr>
                <w:bCs/>
                <w:lang w:val="en-US"/>
              </w:rPr>
            </w:pPr>
            <w:r w:rsidRPr="00AA2DC6">
              <w:rPr>
                <w:bCs/>
                <w:lang w:val="en-US"/>
              </w:rPr>
              <w:t>Maximum Doppler tolerance. [Velocity: X m/s]</w:t>
            </w:r>
          </w:p>
        </w:tc>
      </w:tr>
      <w:tr w:rsidR="00AA2DC6" w:rsidRPr="00AA2DC6" w14:paraId="4A85488C"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3E0F47E7" w14:textId="77777777" w:rsidR="00AA2DC6" w:rsidRPr="00AA2DC6" w:rsidRDefault="00AA2DC6" w:rsidP="00AA2DC6">
            <w:pPr>
              <w:spacing w:after="0"/>
              <w:rPr>
                <w:bCs/>
                <w:lang w:val="en-US"/>
              </w:rPr>
            </w:pPr>
            <w:r w:rsidRPr="00AA2DC6">
              <w:rPr>
                <w:bCs/>
                <w:lang w:val="en-US"/>
              </w:rPr>
              <w:t>2</w:t>
            </w:r>
          </w:p>
        </w:tc>
        <w:tc>
          <w:tcPr>
            <w:tcW w:w="1709" w:type="dxa"/>
            <w:tcBorders>
              <w:top w:val="single" w:sz="4" w:space="0" w:color="auto"/>
              <w:left w:val="single" w:sz="4" w:space="0" w:color="auto"/>
              <w:bottom w:val="single" w:sz="4" w:space="0" w:color="auto"/>
              <w:right w:val="single" w:sz="4" w:space="0" w:color="auto"/>
            </w:tcBorders>
            <w:hideMark/>
          </w:tcPr>
          <w:p w14:paraId="6B4640BB" w14:textId="77777777" w:rsidR="00AA2DC6" w:rsidRPr="00AA2DC6" w:rsidRDefault="00AA2DC6" w:rsidP="00AA2DC6">
            <w:pPr>
              <w:spacing w:after="0"/>
              <w:rPr>
                <w:bCs/>
                <w:lang w:val="en-US"/>
              </w:rPr>
            </w:pPr>
            <w:r w:rsidRPr="00AA2DC6">
              <w:rPr>
                <w:bCs/>
                <w:lang w:val="en-US"/>
              </w:rPr>
              <w:t>Sub-THz communication</w:t>
            </w:r>
          </w:p>
        </w:tc>
        <w:tc>
          <w:tcPr>
            <w:tcW w:w="2308" w:type="dxa"/>
            <w:tcBorders>
              <w:top w:val="single" w:sz="4" w:space="0" w:color="auto"/>
              <w:left w:val="single" w:sz="4" w:space="0" w:color="auto"/>
              <w:bottom w:val="single" w:sz="4" w:space="0" w:color="auto"/>
              <w:right w:val="single" w:sz="4" w:space="0" w:color="auto"/>
            </w:tcBorders>
            <w:hideMark/>
          </w:tcPr>
          <w:p w14:paraId="012E41A5" w14:textId="374F488B" w:rsidR="00AA2DC6" w:rsidRPr="00AA2DC6" w:rsidRDefault="00750CEB" w:rsidP="00AA2DC6">
            <w:pPr>
              <w:spacing w:after="0"/>
              <w:rPr>
                <w:bCs/>
                <w:lang w:val="en-US"/>
              </w:rPr>
            </w:pPr>
            <w:r>
              <w:rPr>
                <w:bCs/>
                <w:lang w:val="en-US"/>
              </w:rPr>
              <w:t>U</w:t>
            </w:r>
            <w:r w:rsidR="00AA2DC6" w:rsidRPr="00AA2DC6">
              <w:rPr>
                <w:bCs/>
                <w:lang w:val="en-US"/>
              </w:rPr>
              <w:t>tilizing the frequency range in the sub-terahertz (THz) spectrum for wireless communication</w:t>
            </w:r>
          </w:p>
        </w:tc>
        <w:tc>
          <w:tcPr>
            <w:tcW w:w="1862" w:type="dxa"/>
            <w:tcBorders>
              <w:top w:val="single" w:sz="4" w:space="0" w:color="auto"/>
              <w:left w:val="single" w:sz="4" w:space="0" w:color="auto"/>
              <w:bottom w:val="single" w:sz="4" w:space="0" w:color="auto"/>
              <w:right w:val="single" w:sz="4" w:space="0" w:color="auto"/>
            </w:tcBorders>
            <w:hideMark/>
          </w:tcPr>
          <w:p w14:paraId="66990638" w14:textId="77777777" w:rsidR="00AA2DC6" w:rsidRPr="00AA2DC6" w:rsidRDefault="00AA2DC6" w:rsidP="00AA2DC6">
            <w:pPr>
              <w:spacing w:after="0"/>
              <w:rPr>
                <w:bCs/>
                <w:lang w:val="en-US"/>
              </w:rPr>
            </w:pPr>
            <w:r w:rsidRPr="00AA2DC6">
              <w:rPr>
                <w:bCs/>
                <w:lang w:val="en-US"/>
              </w:rPr>
              <w:t>Unique propagation characteristics of the terahertz band, such as high path loss and atmospheric absorption</w:t>
            </w:r>
          </w:p>
        </w:tc>
        <w:tc>
          <w:tcPr>
            <w:tcW w:w="2621" w:type="dxa"/>
            <w:tcBorders>
              <w:top w:val="single" w:sz="4" w:space="0" w:color="auto"/>
              <w:left w:val="single" w:sz="4" w:space="0" w:color="auto"/>
              <w:bottom w:val="single" w:sz="4" w:space="0" w:color="auto"/>
              <w:right w:val="single" w:sz="4" w:space="0" w:color="auto"/>
            </w:tcBorders>
            <w:hideMark/>
          </w:tcPr>
          <w:p w14:paraId="179083CA" w14:textId="77777777" w:rsidR="00AA2DC6" w:rsidRPr="00AA2DC6" w:rsidRDefault="00AA2DC6" w:rsidP="00AA2DC6">
            <w:pPr>
              <w:spacing w:after="0"/>
              <w:rPr>
                <w:bCs/>
                <w:lang w:val="en-US"/>
              </w:rPr>
            </w:pPr>
            <w:r w:rsidRPr="00AA2DC6">
              <w:rPr>
                <w:bCs/>
                <w:lang w:val="en-US"/>
              </w:rPr>
              <w:t>OOBE, Phase noise, timing jitter, Maximum Doppler tolerance, Maximum CFO tolerance, PA efficiency</w:t>
            </w:r>
          </w:p>
          <w:p w14:paraId="1E1C9B7A" w14:textId="77777777" w:rsidR="00AA2DC6" w:rsidRPr="00AA2DC6" w:rsidRDefault="00AA2DC6" w:rsidP="00AA2DC6">
            <w:pPr>
              <w:spacing w:after="0"/>
              <w:rPr>
                <w:bCs/>
                <w:lang w:val="en-US"/>
              </w:rPr>
            </w:pPr>
            <w:r w:rsidRPr="00AA2DC6">
              <w:rPr>
                <w:bCs/>
                <w:lang w:val="en-US"/>
              </w:rPr>
              <w:t>[ Not covered by TS 38.901]</w:t>
            </w:r>
          </w:p>
        </w:tc>
      </w:tr>
      <w:tr w:rsidR="00AA2DC6" w:rsidRPr="00AA2DC6" w14:paraId="656A43B1"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763D09A8" w14:textId="77777777" w:rsidR="00AA2DC6" w:rsidRPr="00AA2DC6" w:rsidRDefault="00AA2DC6" w:rsidP="00AA2DC6">
            <w:pPr>
              <w:spacing w:after="0"/>
              <w:rPr>
                <w:bCs/>
                <w:lang w:val="en-US"/>
              </w:rPr>
            </w:pPr>
            <w:r w:rsidRPr="00AA2DC6">
              <w:rPr>
                <w:bCs/>
                <w:lang w:val="en-US"/>
              </w:rPr>
              <w:t>3</w:t>
            </w:r>
          </w:p>
        </w:tc>
        <w:tc>
          <w:tcPr>
            <w:tcW w:w="1709" w:type="dxa"/>
            <w:tcBorders>
              <w:top w:val="single" w:sz="4" w:space="0" w:color="auto"/>
              <w:left w:val="single" w:sz="4" w:space="0" w:color="auto"/>
              <w:bottom w:val="single" w:sz="4" w:space="0" w:color="auto"/>
              <w:right w:val="single" w:sz="4" w:space="0" w:color="auto"/>
            </w:tcBorders>
            <w:hideMark/>
          </w:tcPr>
          <w:p w14:paraId="1EA87A54" w14:textId="38B4029E" w:rsidR="00AA2DC6" w:rsidRPr="00AA2DC6" w:rsidRDefault="00AA2DC6" w:rsidP="00AA2DC6">
            <w:pPr>
              <w:spacing w:after="0"/>
              <w:rPr>
                <w:bCs/>
                <w:lang w:val="en-US"/>
              </w:rPr>
            </w:pPr>
            <w:r w:rsidRPr="00AA2DC6">
              <w:rPr>
                <w:bCs/>
                <w:lang w:val="en-US"/>
              </w:rPr>
              <w:t>Satellite access</w:t>
            </w:r>
            <w:r w:rsidR="00C23911">
              <w:rPr>
                <w:bCs/>
                <w:lang w:val="en-US"/>
              </w:rPr>
              <w:t xml:space="preserve"> (NTN)</w:t>
            </w:r>
          </w:p>
        </w:tc>
        <w:tc>
          <w:tcPr>
            <w:tcW w:w="2308" w:type="dxa"/>
            <w:tcBorders>
              <w:top w:val="single" w:sz="4" w:space="0" w:color="auto"/>
              <w:left w:val="single" w:sz="4" w:space="0" w:color="auto"/>
              <w:bottom w:val="single" w:sz="4" w:space="0" w:color="auto"/>
              <w:right w:val="single" w:sz="4" w:space="0" w:color="auto"/>
            </w:tcBorders>
            <w:hideMark/>
          </w:tcPr>
          <w:p w14:paraId="4069AB94" w14:textId="637F67C1" w:rsidR="00AA2DC6" w:rsidRPr="00AA2DC6" w:rsidRDefault="00750CEB" w:rsidP="00AA2DC6">
            <w:pPr>
              <w:spacing w:after="0"/>
              <w:rPr>
                <w:bCs/>
                <w:lang w:val="en-US"/>
              </w:rPr>
            </w:pPr>
            <w:r>
              <w:rPr>
                <w:bCs/>
                <w:lang w:val="en-US"/>
              </w:rPr>
              <w:t>P</w:t>
            </w:r>
            <w:r w:rsidR="00AA2DC6" w:rsidRPr="00AA2DC6">
              <w:rPr>
                <w:bCs/>
                <w:lang w:val="en-US"/>
              </w:rPr>
              <w:t>roviding connectivity to remote or underserved areas through satellite links</w:t>
            </w:r>
          </w:p>
        </w:tc>
        <w:tc>
          <w:tcPr>
            <w:tcW w:w="1862" w:type="dxa"/>
            <w:tcBorders>
              <w:top w:val="single" w:sz="4" w:space="0" w:color="auto"/>
              <w:left w:val="single" w:sz="4" w:space="0" w:color="auto"/>
              <w:bottom w:val="single" w:sz="4" w:space="0" w:color="auto"/>
              <w:right w:val="single" w:sz="4" w:space="0" w:color="auto"/>
            </w:tcBorders>
            <w:hideMark/>
          </w:tcPr>
          <w:p w14:paraId="30E8160C" w14:textId="77777777" w:rsidR="00AA2DC6" w:rsidRPr="00AA2DC6" w:rsidRDefault="00AA2DC6" w:rsidP="00AA2DC6">
            <w:pPr>
              <w:spacing w:after="0"/>
              <w:rPr>
                <w:bCs/>
                <w:lang w:val="en-US"/>
              </w:rPr>
            </w:pPr>
            <w:r w:rsidRPr="00AA2DC6">
              <w:rPr>
                <w:bCs/>
                <w:lang w:val="en-US"/>
              </w:rPr>
              <w:t>Optimize spectral efficiency, provide robustness against doppler, fading, and ensure seamless integration with ground-based networks</w:t>
            </w:r>
          </w:p>
        </w:tc>
        <w:tc>
          <w:tcPr>
            <w:tcW w:w="2621" w:type="dxa"/>
            <w:tcBorders>
              <w:top w:val="single" w:sz="4" w:space="0" w:color="auto"/>
              <w:left w:val="single" w:sz="4" w:space="0" w:color="auto"/>
              <w:bottom w:val="single" w:sz="4" w:space="0" w:color="auto"/>
              <w:right w:val="single" w:sz="4" w:space="0" w:color="auto"/>
            </w:tcBorders>
            <w:hideMark/>
          </w:tcPr>
          <w:p w14:paraId="52A29690" w14:textId="77777777" w:rsidR="00AA2DC6" w:rsidRPr="00AA2DC6" w:rsidRDefault="00AA2DC6" w:rsidP="00AA2DC6">
            <w:pPr>
              <w:spacing w:after="0"/>
              <w:rPr>
                <w:bCs/>
                <w:lang w:val="en-US"/>
              </w:rPr>
            </w:pPr>
            <w:r w:rsidRPr="00AA2DC6">
              <w:rPr>
                <w:bCs/>
                <w:lang w:val="en-US"/>
              </w:rPr>
              <w:t>Energy efficiency, Reliability, Interference resilience, Doppler resilience, Coverage, PA efficiency</w:t>
            </w:r>
          </w:p>
          <w:p w14:paraId="4276E1BD" w14:textId="77777777" w:rsidR="00AA2DC6" w:rsidRPr="00AA2DC6" w:rsidRDefault="00AA2DC6" w:rsidP="00AA2DC6">
            <w:pPr>
              <w:spacing w:after="0"/>
              <w:rPr>
                <w:bCs/>
                <w:lang w:val="en-US"/>
              </w:rPr>
            </w:pPr>
            <w:r w:rsidRPr="00AA2DC6">
              <w:rPr>
                <w:bCs/>
                <w:lang w:val="en-US"/>
              </w:rPr>
              <w:t xml:space="preserve">]TS 38.811 </w:t>
            </w:r>
          </w:p>
          <w:p w14:paraId="65BED7D0" w14:textId="77777777" w:rsidR="00AA2DC6" w:rsidRPr="00AA2DC6" w:rsidRDefault="00AA2DC6" w:rsidP="00AA2DC6">
            <w:pPr>
              <w:spacing w:after="0"/>
              <w:rPr>
                <w:bCs/>
                <w:lang w:val="en-US"/>
              </w:rPr>
            </w:pPr>
            <w:r w:rsidRPr="00AA2DC6">
              <w:rPr>
                <w:bCs/>
                <w:lang w:val="en-US"/>
              </w:rPr>
              <w:t xml:space="preserve">Primarily </w:t>
            </w:r>
            <w:proofErr w:type="spellStart"/>
            <w:r w:rsidRPr="00AA2DC6">
              <w:rPr>
                <w:bCs/>
                <w:lang w:val="en-US"/>
              </w:rPr>
              <w:t>LoS</w:t>
            </w:r>
            <w:proofErr w:type="spellEnd"/>
            <w:r w:rsidRPr="00AA2DC6">
              <w:rPr>
                <w:bCs/>
                <w:lang w:val="en-US"/>
              </w:rPr>
              <w:t xml:space="preserve"> based channel model]</w:t>
            </w:r>
          </w:p>
        </w:tc>
      </w:tr>
      <w:tr w:rsidR="00AA2DC6" w:rsidRPr="00AA2DC6" w14:paraId="503F82E3"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38B3C42E" w14:textId="77777777" w:rsidR="00AA2DC6" w:rsidRPr="00AA2DC6" w:rsidRDefault="00AA2DC6" w:rsidP="00AA2DC6">
            <w:pPr>
              <w:spacing w:after="0"/>
              <w:rPr>
                <w:bCs/>
                <w:lang w:val="en-US"/>
              </w:rPr>
            </w:pPr>
            <w:r w:rsidRPr="00AA2DC6">
              <w:rPr>
                <w:bCs/>
                <w:lang w:val="en-US"/>
              </w:rPr>
              <w:t>4</w:t>
            </w:r>
          </w:p>
        </w:tc>
        <w:tc>
          <w:tcPr>
            <w:tcW w:w="1709" w:type="dxa"/>
            <w:tcBorders>
              <w:top w:val="single" w:sz="4" w:space="0" w:color="auto"/>
              <w:left w:val="single" w:sz="4" w:space="0" w:color="auto"/>
              <w:bottom w:val="single" w:sz="4" w:space="0" w:color="auto"/>
              <w:right w:val="single" w:sz="4" w:space="0" w:color="auto"/>
            </w:tcBorders>
            <w:hideMark/>
          </w:tcPr>
          <w:p w14:paraId="6379DB3F" w14:textId="77777777" w:rsidR="00AA2DC6" w:rsidRPr="00AA2DC6" w:rsidRDefault="00AA2DC6" w:rsidP="00AA2DC6">
            <w:pPr>
              <w:spacing w:after="0"/>
              <w:rPr>
                <w:bCs/>
                <w:lang w:val="en-US"/>
              </w:rPr>
            </w:pPr>
            <w:r w:rsidRPr="00AA2DC6">
              <w:rPr>
                <w:bCs/>
                <w:lang w:val="en-US"/>
              </w:rPr>
              <w:t>JCAS</w:t>
            </w:r>
          </w:p>
        </w:tc>
        <w:tc>
          <w:tcPr>
            <w:tcW w:w="2308" w:type="dxa"/>
            <w:tcBorders>
              <w:top w:val="single" w:sz="4" w:space="0" w:color="auto"/>
              <w:left w:val="single" w:sz="4" w:space="0" w:color="auto"/>
              <w:bottom w:val="single" w:sz="4" w:space="0" w:color="auto"/>
              <w:right w:val="single" w:sz="4" w:space="0" w:color="auto"/>
            </w:tcBorders>
            <w:hideMark/>
          </w:tcPr>
          <w:p w14:paraId="54DCE51D" w14:textId="77777777" w:rsidR="00AA2DC6" w:rsidRPr="00AA2DC6" w:rsidRDefault="00AA2DC6" w:rsidP="00AA2DC6">
            <w:pPr>
              <w:spacing w:after="0"/>
              <w:rPr>
                <w:bCs/>
                <w:lang w:val="en-US"/>
              </w:rPr>
            </w:pPr>
            <w:r w:rsidRPr="00AA2DC6">
              <w:rPr>
                <w:bCs/>
                <w:lang w:val="en-US"/>
              </w:rPr>
              <w:t>leveraging 6G waveforms for advanced sensing applications like environmental monitoring, industrial automation, healthcare, and smart infrastructure.</w:t>
            </w:r>
          </w:p>
        </w:tc>
        <w:tc>
          <w:tcPr>
            <w:tcW w:w="1862" w:type="dxa"/>
            <w:tcBorders>
              <w:top w:val="single" w:sz="4" w:space="0" w:color="auto"/>
              <w:left w:val="single" w:sz="4" w:space="0" w:color="auto"/>
              <w:bottom w:val="single" w:sz="4" w:space="0" w:color="auto"/>
              <w:right w:val="single" w:sz="4" w:space="0" w:color="auto"/>
            </w:tcBorders>
            <w:hideMark/>
          </w:tcPr>
          <w:p w14:paraId="394E7296" w14:textId="77777777" w:rsidR="00AA2DC6" w:rsidRPr="00AA2DC6" w:rsidRDefault="00AA2DC6" w:rsidP="00AA2DC6">
            <w:pPr>
              <w:spacing w:after="0"/>
              <w:rPr>
                <w:bCs/>
                <w:lang w:val="en-US"/>
              </w:rPr>
            </w:pPr>
            <w:r w:rsidRPr="00AA2DC6">
              <w:rPr>
                <w:bCs/>
                <w:lang w:val="en-US"/>
              </w:rPr>
              <w:t>Support for simultaneous communication and sensing with low interference</w:t>
            </w:r>
          </w:p>
        </w:tc>
        <w:tc>
          <w:tcPr>
            <w:tcW w:w="2621" w:type="dxa"/>
            <w:tcBorders>
              <w:top w:val="single" w:sz="4" w:space="0" w:color="auto"/>
              <w:left w:val="single" w:sz="4" w:space="0" w:color="auto"/>
              <w:bottom w:val="single" w:sz="4" w:space="0" w:color="auto"/>
              <w:right w:val="single" w:sz="4" w:space="0" w:color="auto"/>
            </w:tcBorders>
            <w:hideMark/>
          </w:tcPr>
          <w:p w14:paraId="118EB14C" w14:textId="77777777" w:rsidR="00AA2DC6" w:rsidRPr="00AA2DC6" w:rsidRDefault="00AA2DC6" w:rsidP="00AA2DC6">
            <w:pPr>
              <w:spacing w:after="0"/>
              <w:rPr>
                <w:bCs/>
                <w:lang w:val="en-US"/>
              </w:rPr>
            </w:pPr>
            <w:r w:rsidRPr="00AA2DC6">
              <w:rPr>
                <w:bCs/>
                <w:lang w:val="en-US"/>
              </w:rPr>
              <w:t>MSE of - Localization (velocity, angle, range) False alarm rate.</w:t>
            </w:r>
          </w:p>
          <w:p w14:paraId="2A346B0E" w14:textId="77777777" w:rsidR="00AA2DC6" w:rsidRPr="00AA2DC6" w:rsidRDefault="00AA2DC6" w:rsidP="00AA2DC6">
            <w:pPr>
              <w:spacing w:after="0"/>
              <w:rPr>
                <w:bCs/>
                <w:lang w:val="en-US"/>
              </w:rPr>
            </w:pPr>
            <w:r w:rsidRPr="00AA2DC6">
              <w:rPr>
                <w:bCs/>
                <w:lang w:val="en-US"/>
              </w:rPr>
              <w:t>[Maximum Doppler tolerance, SINR/SE of desired user]</w:t>
            </w:r>
          </w:p>
          <w:p w14:paraId="37FBC5A3" w14:textId="77777777" w:rsidR="00AA2DC6" w:rsidRPr="00AA2DC6" w:rsidRDefault="00AA2DC6" w:rsidP="00AA2DC6">
            <w:pPr>
              <w:spacing w:after="0"/>
              <w:rPr>
                <w:bCs/>
                <w:lang w:val="en-US"/>
              </w:rPr>
            </w:pPr>
            <w:r w:rsidRPr="00AA2DC6">
              <w:rPr>
                <w:bCs/>
                <w:lang w:val="en-US"/>
              </w:rPr>
              <w:t>[Ray tracing based channel]</w:t>
            </w:r>
          </w:p>
          <w:p w14:paraId="50D9D7FA" w14:textId="77777777" w:rsidR="00AA2DC6" w:rsidRPr="00AA2DC6" w:rsidRDefault="00AA2DC6" w:rsidP="00AA2DC6">
            <w:pPr>
              <w:spacing w:after="0"/>
              <w:rPr>
                <w:bCs/>
                <w:lang w:val="en-US"/>
              </w:rPr>
            </w:pPr>
            <w:r w:rsidRPr="00AA2DC6">
              <w:rPr>
                <w:bCs/>
                <w:lang w:val="en-US"/>
              </w:rPr>
              <w:t>[Representative cases]</w:t>
            </w:r>
          </w:p>
        </w:tc>
      </w:tr>
      <w:tr w:rsidR="00AA2DC6" w:rsidRPr="00AA2DC6" w14:paraId="3F2D4F2B" w14:textId="77777777" w:rsidTr="00AA2DC6">
        <w:trPr>
          <w:jc w:val="center"/>
        </w:trPr>
        <w:tc>
          <w:tcPr>
            <w:tcW w:w="495" w:type="dxa"/>
            <w:tcBorders>
              <w:top w:val="single" w:sz="4" w:space="0" w:color="auto"/>
              <w:left w:val="single" w:sz="4" w:space="0" w:color="auto"/>
              <w:bottom w:val="single" w:sz="4" w:space="0" w:color="auto"/>
              <w:right w:val="single" w:sz="4" w:space="0" w:color="auto"/>
            </w:tcBorders>
            <w:hideMark/>
          </w:tcPr>
          <w:p w14:paraId="2F8D1BFA" w14:textId="77777777" w:rsidR="00AA2DC6" w:rsidRPr="00AA2DC6" w:rsidRDefault="00AA2DC6" w:rsidP="00AA2DC6">
            <w:pPr>
              <w:spacing w:after="0"/>
              <w:rPr>
                <w:bCs/>
                <w:lang w:val="en-US"/>
              </w:rPr>
            </w:pPr>
            <w:r w:rsidRPr="00AA2DC6">
              <w:rPr>
                <w:bCs/>
                <w:lang w:val="en-US"/>
              </w:rPr>
              <w:t>5</w:t>
            </w:r>
          </w:p>
        </w:tc>
        <w:tc>
          <w:tcPr>
            <w:tcW w:w="1709" w:type="dxa"/>
            <w:tcBorders>
              <w:top w:val="single" w:sz="4" w:space="0" w:color="auto"/>
              <w:left w:val="single" w:sz="4" w:space="0" w:color="auto"/>
              <w:bottom w:val="single" w:sz="4" w:space="0" w:color="auto"/>
              <w:right w:val="single" w:sz="4" w:space="0" w:color="auto"/>
            </w:tcBorders>
            <w:hideMark/>
          </w:tcPr>
          <w:p w14:paraId="537713AC" w14:textId="77777777" w:rsidR="00AA2DC6" w:rsidRPr="00AA2DC6" w:rsidRDefault="00AA2DC6" w:rsidP="00AA2DC6">
            <w:pPr>
              <w:spacing w:after="0"/>
              <w:rPr>
                <w:bCs/>
                <w:lang w:val="en-US"/>
              </w:rPr>
            </w:pPr>
            <w:r w:rsidRPr="00AA2DC6">
              <w:rPr>
                <w:bCs/>
                <w:lang w:val="en-US"/>
              </w:rPr>
              <w:t>Industrial indoor scenario</w:t>
            </w:r>
          </w:p>
        </w:tc>
        <w:tc>
          <w:tcPr>
            <w:tcW w:w="2308" w:type="dxa"/>
            <w:tcBorders>
              <w:top w:val="single" w:sz="4" w:space="0" w:color="auto"/>
              <w:left w:val="single" w:sz="4" w:space="0" w:color="auto"/>
              <w:bottom w:val="single" w:sz="4" w:space="0" w:color="auto"/>
              <w:right w:val="single" w:sz="4" w:space="0" w:color="auto"/>
            </w:tcBorders>
          </w:tcPr>
          <w:p w14:paraId="50D0FF0F" w14:textId="77777777" w:rsidR="00AA2DC6" w:rsidRPr="00AA2DC6" w:rsidRDefault="00AA2DC6" w:rsidP="00AA2DC6">
            <w:pPr>
              <w:spacing w:after="0"/>
              <w:rPr>
                <w:bCs/>
                <w:lang w:val="en-US"/>
              </w:rPr>
            </w:pPr>
            <w:r w:rsidRPr="00AA2DC6">
              <w:rPr>
                <w:bCs/>
                <w:lang w:val="en-US"/>
              </w:rPr>
              <w:t>Consider two broad class of use cases, one pertaining to high throughput applications such as XR and digital twin, while the other pertaining to low power, low data rate applications such as sensors.</w:t>
            </w:r>
          </w:p>
        </w:tc>
        <w:tc>
          <w:tcPr>
            <w:tcW w:w="1862" w:type="dxa"/>
            <w:tcBorders>
              <w:top w:val="single" w:sz="4" w:space="0" w:color="auto"/>
              <w:left w:val="single" w:sz="4" w:space="0" w:color="auto"/>
              <w:bottom w:val="single" w:sz="4" w:space="0" w:color="auto"/>
              <w:right w:val="single" w:sz="4" w:space="0" w:color="auto"/>
            </w:tcBorders>
            <w:hideMark/>
          </w:tcPr>
          <w:p w14:paraId="7CD5C174" w14:textId="77777777" w:rsidR="00AA2DC6" w:rsidRPr="00AA2DC6" w:rsidRDefault="00AA2DC6" w:rsidP="00AA2DC6">
            <w:pPr>
              <w:spacing w:after="0"/>
              <w:rPr>
                <w:bCs/>
                <w:lang w:val="en-US"/>
              </w:rPr>
            </w:pPr>
            <w:r w:rsidRPr="00AA2DC6">
              <w:rPr>
                <w:bCs/>
                <w:lang w:val="en-US"/>
              </w:rPr>
              <w:t xml:space="preserve">Candidate waveforms that support the coexistence of two broad class of use cases </w:t>
            </w:r>
          </w:p>
        </w:tc>
        <w:tc>
          <w:tcPr>
            <w:tcW w:w="2621" w:type="dxa"/>
            <w:tcBorders>
              <w:top w:val="single" w:sz="4" w:space="0" w:color="auto"/>
              <w:left w:val="single" w:sz="4" w:space="0" w:color="auto"/>
              <w:bottom w:val="single" w:sz="4" w:space="0" w:color="auto"/>
              <w:right w:val="single" w:sz="4" w:space="0" w:color="auto"/>
            </w:tcBorders>
          </w:tcPr>
          <w:p w14:paraId="2F6B8BA2" w14:textId="77777777" w:rsidR="00AA2DC6" w:rsidRPr="00AA2DC6" w:rsidRDefault="00AA2DC6" w:rsidP="00AA2DC6">
            <w:pPr>
              <w:spacing w:after="0"/>
              <w:rPr>
                <w:bCs/>
                <w:lang w:val="en-US"/>
              </w:rPr>
            </w:pPr>
            <w:proofErr w:type="spellStart"/>
            <w:r w:rsidRPr="00AA2DC6">
              <w:rPr>
                <w:bCs/>
                <w:lang w:val="en-US"/>
              </w:rPr>
              <w:t>IIoT</w:t>
            </w:r>
            <w:proofErr w:type="spellEnd"/>
            <w:r w:rsidRPr="00AA2DC6">
              <w:rPr>
                <w:bCs/>
                <w:lang w:val="en-US"/>
              </w:rPr>
              <w:t>:</w:t>
            </w:r>
          </w:p>
          <w:p w14:paraId="4BD88F81" w14:textId="77777777" w:rsidR="00AA2DC6" w:rsidRPr="00AA2DC6" w:rsidRDefault="00AA2DC6" w:rsidP="00AA2DC6">
            <w:pPr>
              <w:numPr>
                <w:ilvl w:val="0"/>
                <w:numId w:val="48"/>
              </w:numPr>
              <w:spacing w:after="0"/>
              <w:rPr>
                <w:bCs/>
                <w:lang w:val="en-US"/>
              </w:rPr>
            </w:pPr>
            <w:r w:rsidRPr="00AA2DC6">
              <w:rPr>
                <w:bCs/>
                <w:lang w:val="en-US"/>
              </w:rPr>
              <w:t>High Throughput</w:t>
            </w:r>
          </w:p>
          <w:p w14:paraId="4E0636E8" w14:textId="77777777" w:rsidR="00AA2DC6" w:rsidRPr="00AA2DC6" w:rsidRDefault="00AA2DC6" w:rsidP="00AA2DC6">
            <w:pPr>
              <w:spacing w:after="0"/>
              <w:rPr>
                <w:bCs/>
                <w:lang w:val="en-US"/>
              </w:rPr>
            </w:pPr>
            <w:r w:rsidRPr="00AA2DC6">
              <w:rPr>
                <w:bCs/>
                <w:lang w:val="en-US"/>
              </w:rPr>
              <w:t>(Evaluation of High QAM case under Phase noise)</w:t>
            </w:r>
          </w:p>
          <w:p w14:paraId="5F754376" w14:textId="77777777" w:rsidR="00AA2DC6" w:rsidRPr="00AA2DC6" w:rsidRDefault="00AA2DC6" w:rsidP="00AA2DC6">
            <w:pPr>
              <w:numPr>
                <w:ilvl w:val="0"/>
                <w:numId w:val="48"/>
              </w:numPr>
              <w:spacing w:after="0"/>
              <w:rPr>
                <w:bCs/>
                <w:lang w:val="en-US"/>
              </w:rPr>
            </w:pPr>
            <w:r w:rsidRPr="00AA2DC6">
              <w:rPr>
                <w:bCs/>
                <w:lang w:val="en-US"/>
              </w:rPr>
              <w:t>Reliability</w:t>
            </w:r>
          </w:p>
          <w:p w14:paraId="30A9F643" w14:textId="77777777" w:rsidR="00AA2DC6" w:rsidRPr="00AA2DC6" w:rsidRDefault="00AA2DC6" w:rsidP="00AA2DC6">
            <w:pPr>
              <w:numPr>
                <w:ilvl w:val="0"/>
                <w:numId w:val="48"/>
              </w:numPr>
              <w:spacing w:after="0"/>
              <w:rPr>
                <w:bCs/>
                <w:lang w:val="en-US"/>
              </w:rPr>
            </w:pPr>
            <w:r w:rsidRPr="00AA2DC6">
              <w:rPr>
                <w:bCs/>
                <w:lang w:val="en-US"/>
              </w:rPr>
              <w:t>Latency</w:t>
            </w:r>
          </w:p>
          <w:p w14:paraId="03592D81" w14:textId="77777777" w:rsidR="00AA2DC6" w:rsidRPr="00AA2DC6" w:rsidRDefault="00AA2DC6" w:rsidP="00AA2DC6">
            <w:pPr>
              <w:spacing w:after="0"/>
              <w:rPr>
                <w:bCs/>
                <w:lang w:val="en-US"/>
              </w:rPr>
            </w:pPr>
          </w:p>
          <w:p w14:paraId="0F335414" w14:textId="77777777" w:rsidR="00AA2DC6" w:rsidRPr="00AA2DC6" w:rsidRDefault="00AA2DC6" w:rsidP="00AA2DC6">
            <w:pPr>
              <w:numPr>
                <w:ilvl w:val="0"/>
                <w:numId w:val="48"/>
              </w:numPr>
              <w:spacing w:after="0"/>
              <w:rPr>
                <w:bCs/>
                <w:lang w:val="en-US"/>
              </w:rPr>
            </w:pPr>
            <w:r w:rsidRPr="00AA2DC6">
              <w:rPr>
                <w:bCs/>
                <w:lang w:val="en-US"/>
              </w:rPr>
              <w:t xml:space="preserve"> </w:t>
            </w:r>
          </w:p>
        </w:tc>
      </w:tr>
    </w:tbl>
    <w:p w14:paraId="72D9CEFA" w14:textId="77777777" w:rsidR="00AA2DC6" w:rsidRPr="0061580F" w:rsidRDefault="00AA2DC6" w:rsidP="002D210F">
      <w:pPr>
        <w:spacing w:after="0"/>
        <w:rPr>
          <w:bCs/>
          <w:lang w:val="en-US"/>
        </w:rPr>
      </w:pPr>
    </w:p>
    <w:p w14:paraId="63573AE1" w14:textId="2658843D" w:rsidR="006D29CA" w:rsidRDefault="00750CEB" w:rsidP="00C23911">
      <w:pPr>
        <w:spacing w:after="0"/>
        <w:jc w:val="both"/>
        <w:rPr>
          <w:bCs/>
        </w:rPr>
      </w:pPr>
      <w:r>
        <w:rPr>
          <w:bCs/>
        </w:rPr>
        <w:t>Also,</w:t>
      </w:r>
      <w:r w:rsidR="00C23911">
        <w:rPr>
          <w:bCs/>
        </w:rPr>
        <w:t xml:space="preserve"> for broadcast, </w:t>
      </w:r>
      <w:r w:rsidR="001B54CF" w:rsidRPr="001B54CF">
        <w:rPr>
          <w:bCs/>
        </w:rPr>
        <w:t>ATSC 3.0 </w:t>
      </w:r>
      <w:r>
        <w:rPr>
          <w:bCs/>
        </w:rPr>
        <w:t xml:space="preserve">has </w:t>
      </w:r>
      <w:r w:rsidR="001B54CF" w:rsidRPr="001B54CF">
        <w:rPr>
          <w:bCs/>
        </w:rPr>
        <w:t>use</w:t>
      </w:r>
      <w:r>
        <w:rPr>
          <w:bCs/>
        </w:rPr>
        <w:t>d</w:t>
      </w:r>
      <w:r w:rsidR="001B54CF" w:rsidRPr="001B54CF">
        <w:rPr>
          <w:bCs/>
        </w:rPr>
        <w:t xml:space="preserve"> </w:t>
      </w:r>
      <w:r w:rsidR="00D23441">
        <w:rPr>
          <w:bCs/>
        </w:rPr>
        <w:t xml:space="preserve">a </w:t>
      </w:r>
      <w:r w:rsidR="001B54CF" w:rsidRPr="001B54CF">
        <w:rPr>
          <w:bCs/>
        </w:rPr>
        <w:t>digital waveform based on coded orthogonal frequency-division multiplexing (COFDM) with low-density parity-check (LDPC) forward error correction. This waveform allows for robust transmission and reception</w:t>
      </w:r>
      <w:r w:rsidR="00D23441">
        <w:rPr>
          <w:bCs/>
        </w:rPr>
        <w:t xml:space="preserve"> </w:t>
      </w:r>
      <w:r w:rsidR="001B54CF" w:rsidRPr="001B54CF">
        <w:rPr>
          <w:bCs/>
        </w:rPr>
        <w:t>and enables interactive services and higher quality video.</w:t>
      </w:r>
    </w:p>
    <w:p w14:paraId="57401E67" w14:textId="77777777" w:rsidR="0071186D" w:rsidRDefault="0071186D" w:rsidP="00C23911">
      <w:pPr>
        <w:spacing w:after="0"/>
        <w:jc w:val="both"/>
        <w:rPr>
          <w:bCs/>
        </w:rPr>
      </w:pPr>
    </w:p>
    <w:p w14:paraId="6414E197" w14:textId="72A42728" w:rsidR="0071186D" w:rsidRPr="0061580F" w:rsidRDefault="0071186D" w:rsidP="00C23911">
      <w:pPr>
        <w:spacing w:after="0"/>
        <w:jc w:val="both"/>
        <w:rPr>
          <w:bCs/>
          <w:lang w:val="en-US"/>
        </w:rPr>
      </w:pPr>
      <w:r>
        <w:rPr>
          <w:bCs/>
        </w:rPr>
        <w:t>A similar argument can be made for V2X and FWA scenarios as well.</w:t>
      </w:r>
      <w:r w:rsidR="003B7347">
        <w:rPr>
          <w:bCs/>
        </w:rPr>
        <w:t xml:space="preserve"> In summary its important to validate new 6G waveforms for frequency specific goodness but also for its </w:t>
      </w:r>
      <w:r w:rsidR="00D25DBF">
        <w:rPr>
          <w:bCs/>
        </w:rPr>
        <w:t>optimal fit for one or more scenarios as listed above.</w:t>
      </w: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7C55015C" w14:textId="22E96E2B" w:rsidR="004F76E3" w:rsidRPr="0061580F" w:rsidRDefault="00EC348A" w:rsidP="001A799E">
      <w:pPr>
        <w:rPr>
          <w:rFonts w:eastAsia="Malgun Gothic"/>
          <w:bCs/>
          <w:lang w:val="en-US" w:eastAsia="ko-KR"/>
        </w:rPr>
      </w:pPr>
      <w:r w:rsidRPr="0061580F">
        <w:rPr>
          <w:b/>
          <w:bCs/>
          <w:lang w:val="en-US"/>
        </w:rPr>
        <w:t>Proposal 1</w:t>
      </w:r>
      <w:r w:rsidRPr="0061580F">
        <w:rPr>
          <w:lang w:val="en-US"/>
        </w:rPr>
        <w:t xml:space="preserve">: </w:t>
      </w:r>
      <w:r w:rsidR="00123B9E">
        <w:rPr>
          <w:lang w:val="en-US"/>
        </w:rPr>
        <w:t>T</w:t>
      </w:r>
      <w:r w:rsidRPr="0061580F">
        <w:rPr>
          <w:lang w:val="en-US"/>
        </w:rPr>
        <w:t xml:space="preserve">he </w:t>
      </w:r>
      <w:r w:rsidRPr="0061580F">
        <w:rPr>
          <w:rFonts w:eastAsia="Malgun Gothic"/>
          <w:bCs/>
          <w:lang w:val="en-US" w:eastAsia="ko-KR"/>
        </w:rPr>
        <w:t xml:space="preserve">new RAT SI shall include a comprehensive study of new waveforms, </w:t>
      </w:r>
      <w:r w:rsidR="00296D65">
        <w:rPr>
          <w:rFonts w:eastAsia="Malgun Gothic"/>
          <w:bCs/>
          <w:lang w:val="en-US" w:eastAsia="ko-KR"/>
        </w:rPr>
        <w:t>applicable across multiple frequency band</w:t>
      </w:r>
      <w:r w:rsidR="00332B59">
        <w:rPr>
          <w:rFonts w:eastAsia="Malgun Gothic"/>
          <w:bCs/>
          <w:lang w:val="en-US" w:eastAsia="ko-KR"/>
        </w:rPr>
        <w:t xml:space="preserve"> sets (FR1, FR2, FR3</w:t>
      </w:r>
      <w:r w:rsidR="008D4011">
        <w:rPr>
          <w:rFonts w:eastAsia="Malgun Gothic"/>
          <w:bCs/>
          <w:lang w:val="en-US" w:eastAsia="ko-KR"/>
        </w:rPr>
        <w:t>…</w:t>
      </w:r>
      <w:r w:rsidR="00332B59">
        <w:rPr>
          <w:rFonts w:eastAsia="Malgun Gothic"/>
          <w:bCs/>
          <w:lang w:val="en-US" w:eastAsia="ko-KR"/>
        </w:rPr>
        <w:t>)</w:t>
      </w:r>
      <w:r w:rsidRPr="0061580F">
        <w:rPr>
          <w:rFonts w:eastAsia="Malgun Gothic"/>
          <w:bCs/>
          <w:lang w:val="en-US" w:eastAsia="ko-KR"/>
        </w:rPr>
        <w:t>.</w:t>
      </w:r>
    </w:p>
    <w:p w14:paraId="00F37D0B" w14:textId="11A03ACE" w:rsidR="003F362C" w:rsidRDefault="004F76E3" w:rsidP="008D2346">
      <w:pPr>
        <w:rPr>
          <w:rFonts w:eastAsia="Malgun Gothic"/>
          <w:bCs/>
          <w:lang w:val="en-US" w:eastAsia="ko-KR"/>
        </w:rPr>
      </w:pPr>
      <w:r w:rsidRPr="0061580F">
        <w:rPr>
          <w:rFonts w:eastAsia="Malgun Gothic"/>
          <w:b/>
          <w:lang w:val="en-US" w:eastAsia="ko-KR"/>
        </w:rPr>
        <w:t>Proposal 2</w:t>
      </w:r>
      <w:r w:rsidRPr="0061580F">
        <w:rPr>
          <w:rFonts w:eastAsia="Malgun Gothic"/>
          <w:bCs/>
          <w:lang w:val="en-US" w:eastAsia="ko-KR"/>
        </w:rPr>
        <w:t xml:space="preserve">: </w:t>
      </w:r>
      <w:r w:rsidR="008D4011">
        <w:rPr>
          <w:rFonts w:eastAsia="Malgun Gothic"/>
          <w:bCs/>
          <w:lang w:val="en-US" w:eastAsia="ko-KR"/>
        </w:rPr>
        <w:t>T</w:t>
      </w:r>
      <w:r w:rsidRPr="0061580F">
        <w:rPr>
          <w:rFonts w:eastAsia="Malgun Gothic"/>
          <w:bCs/>
          <w:lang w:val="en-US" w:eastAsia="ko-KR"/>
        </w:rPr>
        <w:t xml:space="preserve">he new </w:t>
      </w:r>
      <w:r w:rsidR="001C6044">
        <w:rPr>
          <w:rFonts w:eastAsia="Malgun Gothic"/>
          <w:bCs/>
          <w:lang w:val="en-US" w:eastAsia="ko-KR"/>
        </w:rPr>
        <w:t xml:space="preserve">6G </w:t>
      </w:r>
      <w:r w:rsidRPr="0061580F">
        <w:rPr>
          <w:rFonts w:eastAsia="Malgun Gothic"/>
          <w:bCs/>
          <w:lang w:val="en-US" w:eastAsia="ko-KR"/>
        </w:rPr>
        <w:t xml:space="preserve">SI shall include </w:t>
      </w:r>
      <w:r w:rsidR="000A1320">
        <w:rPr>
          <w:rFonts w:eastAsia="Malgun Gothic"/>
          <w:bCs/>
          <w:lang w:val="en-US" w:eastAsia="ko-KR"/>
        </w:rPr>
        <w:t xml:space="preserve">use </w:t>
      </w:r>
      <w:r w:rsidR="008D4011">
        <w:rPr>
          <w:rFonts w:eastAsia="Malgun Gothic"/>
          <w:bCs/>
          <w:lang w:val="en-US" w:eastAsia="ko-KR"/>
        </w:rPr>
        <w:t xml:space="preserve">case specific </w:t>
      </w:r>
      <w:r w:rsidR="00C50CB6">
        <w:rPr>
          <w:rFonts w:eastAsia="Malgun Gothic"/>
          <w:bCs/>
          <w:lang w:val="en-US" w:eastAsia="ko-KR"/>
        </w:rPr>
        <w:t xml:space="preserve">(Broadcast, NTN, IoT…) </w:t>
      </w:r>
      <w:r w:rsidR="00862FDC">
        <w:rPr>
          <w:rFonts w:eastAsia="Malgun Gothic"/>
          <w:bCs/>
          <w:lang w:val="en-US" w:eastAsia="ko-KR"/>
        </w:rPr>
        <w:t>waveform</w:t>
      </w:r>
      <w:r w:rsidR="000A1320">
        <w:rPr>
          <w:rFonts w:eastAsia="Malgun Gothic"/>
          <w:bCs/>
          <w:lang w:val="en-US" w:eastAsia="ko-KR"/>
        </w:rPr>
        <w:t xml:space="preserve"> study</w:t>
      </w:r>
      <w:r w:rsidR="00862FDC">
        <w:rPr>
          <w:rFonts w:eastAsia="Malgun Gothic"/>
          <w:bCs/>
          <w:lang w:val="en-US" w:eastAsia="ko-KR"/>
        </w:rPr>
        <w:t xml:space="preserve"> and if necessary be willing to adopt more than one </w:t>
      </w:r>
      <w:r w:rsidR="00C50CB6">
        <w:rPr>
          <w:rFonts w:eastAsia="Malgun Gothic"/>
          <w:bCs/>
          <w:lang w:val="en-US" w:eastAsia="ko-KR"/>
        </w:rPr>
        <w:t xml:space="preserve">set of </w:t>
      </w:r>
      <w:r w:rsidR="001C6044">
        <w:rPr>
          <w:rFonts w:eastAsia="Malgun Gothic"/>
          <w:bCs/>
          <w:lang w:val="en-US" w:eastAsia="ko-KR"/>
        </w:rPr>
        <w:t>waveforms</w:t>
      </w:r>
      <w:r w:rsidR="0006173E">
        <w:rPr>
          <w:rFonts w:eastAsia="Malgun Gothic"/>
          <w:bCs/>
          <w:lang w:val="en-US" w:eastAsia="ko-KR"/>
        </w:rPr>
        <w:t xml:space="preserve"> </w:t>
      </w:r>
      <w:r w:rsidR="008D2346">
        <w:rPr>
          <w:rFonts w:eastAsia="Malgun Gothic"/>
          <w:bCs/>
          <w:lang w:val="en-US" w:eastAsia="ko-KR"/>
        </w:rPr>
        <w:t xml:space="preserve">under the collective umbrella of </w:t>
      </w:r>
      <w:r w:rsidR="0006173E">
        <w:rPr>
          <w:rFonts w:eastAsia="Malgun Gothic"/>
          <w:bCs/>
          <w:lang w:val="en-US" w:eastAsia="ko-KR"/>
        </w:rPr>
        <w:t>6G</w:t>
      </w:r>
      <w:r w:rsidR="009F27A3" w:rsidRPr="0061580F">
        <w:rPr>
          <w:rFonts w:eastAsia="Malgun Gothic"/>
          <w:bCs/>
          <w:lang w:val="en-US" w:eastAsia="ko-KR"/>
        </w:rPr>
        <w:t>.</w:t>
      </w:r>
    </w:p>
    <w:p w14:paraId="0F5BEB5C" w14:textId="77777777" w:rsidR="00F107D0" w:rsidRPr="0061580F" w:rsidRDefault="00F107D0" w:rsidP="007B24F2">
      <w:pPr>
        <w:pStyle w:val="Heading1"/>
        <w:rPr>
          <w:lang w:val="en-US"/>
        </w:rPr>
      </w:pPr>
      <w:r w:rsidRPr="0061580F">
        <w:rPr>
          <w:lang w:val="en-US"/>
        </w:rPr>
        <w:t>References</w:t>
      </w:r>
    </w:p>
    <w:p w14:paraId="77708C9F" w14:textId="3FE0B1F2" w:rsidR="007E2334" w:rsidRPr="007E2334" w:rsidRDefault="00B223E6" w:rsidP="007E2334">
      <w:pPr>
        <w:pStyle w:val="Reference"/>
        <w:rPr>
          <w:lang w:val="en-US"/>
        </w:rPr>
      </w:pPr>
      <w:bookmarkStart w:id="1" w:name="_Ref198308300"/>
      <w:r>
        <w:rPr>
          <w:lang w:val="en-US"/>
        </w:rPr>
        <w:t>TSDSI report on “</w:t>
      </w:r>
      <w:r w:rsidR="00FC4A49" w:rsidRPr="00FC4A49">
        <w:rPr>
          <w:lang w:val="en-US"/>
        </w:rPr>
        <w:t>STUDY OF WAVEFORMS FOR 6G COMMUNICATION SYSTEMS</w:t>
      </w:r>
      <w:r>
        <w:rPr>
          <w:lang w:val="en-US"/>
        </w:rPr>
        <w:t>”</w:t>
      </w:r>
      <w:bookmarkEnd w:id="1"/>
      <w:r w:rsidR="007E2334" w:rsidRPr="0061580F">
        <w:rPr>
          <w:lang w:val="en-US"/>
        </w:rPr>
        <w:t>.</w:t>
      </w:r>
    </w:p>
    <w:p w14:paraId="0DF1F70A" w14:textId="2044CF62" w:rsidR="00FB69FD" w:rsidRPr="00547C2D" w:rsidRDefault="00134EDC" w:rsidP="00547C2D">
      <w:pPr>
        <w:pStyle w:val="Reference"/>
        <w:rPr>
          <w:lang w:val="en-US"/>
        </w:rPr>
      </w:pPr>
      <w:r>
        <w:t>“Study on Requirements for NR beyond 52.6 GHz”, 3GPP TR 38.807</w:t>
      </w:r>
    </w:p>
    <w:sectPr w:rsidR="00FB69FD" w:rsidRPr="00547C2D" w:rsidSect="00571B3F">
      <w:footerReference w:type="even" r:id="rId12"/>
      <w:footerReference w:type="default" r:id="rId13"/>
      <w:footerReference w:type="first" r:id="rId1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7F6A" w14:textId="77777777" w:rsidR="00AE314D" w:rsidRDefault="00AE314D" w:rsidP="000B02AA">
      <w:pPr>
        <w:spacing w:after="0"/>
      </w:pPr>
      <w:r>
        <w:separator/>
      </w:r>
    </w:p>
  </w:endnote>
  <w:endnote w:type="continuationSeparator" w:id="0">
    <w:p w14:paraId="6A8B8B64" w14:textId="77777777" w:rsidR="00AE314D" w:rsidRDefault="00AE314D" w:rsidP="000B02AA">
      <w:pPr>
        <w:spacing w:after="0"/>
      </w:pPr>
      <w:r>
        <w:continuationSeparator/>
      </w:r>
    </w:p>
  </w:endnote>
  <w:endnote w:type="continuationNotice" w:id="1">
    <w:p w14:paraId="79EC2FBA" w14:textId="77777777" w:rsidR="00AE314D" w:rsidRDefault="00AE3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Segoe UI&quot;,sans-serif">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F481" w14:textId="77777777" w:rsidR="00AE314D" w:rsidRDefault="00AE314D" w:rsidP="000B02AA">
      <w:pPr>
        <w:spacing w:after="0"/>
      </w:pPr>
      <w:r>
        <w:separator/>
      </w:r>
    </w:p>
  </w:footnote>
  <w:footnote w:type="continuationSeparator" w:id="0">
    <w:p w14:paraId="061367E4" w14:textId="77777777" w:rsidR="00AE314D" w:rsidRDefault="00AE314D" w:rsidP="000B02AA">
      <w:pPr>
        <w:spacing w:after="0"/>
      </w:pPr>
      <w:r>
        <w:continuationSeparator/>
      </w:r>
    </w:p>
  </w:footnote>
  <w:footnote w:type="continuationNotice" w:id="1">
    <w:p w14:paraId="6287D96D" w14:textId="77777777" w:rsidR="00AE314D" w:rsidRDefault="00AE3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C346FF"/>
    <w:multiLevelType w:val="hybridMultilevel"/>
    <w:tmpl w:val="F5404AC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0"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5"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5"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5"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1"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6"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5"/>
  </w:num>
  <w:num w:numId="2" w16cid:durableId="1893498044">
    <w:abstractNumId w:val="34"/>
  </w:num>
  <w:num w:numId="3" w16cid:durableId="779492506">
    <w:abstractNumId w:val="1"/>
  </w:num>
  <w:num w:numId="4" w16cid:durableId="1357537151">
    <w:abstractNumId w:val="0"/>
  </w:num>
  <w:num w:numId="5" w16cid:durableId="1275479054">
    <w:abstractNumId w:val="4"/>
  </w:num>
  <w:num w:numId="6" w16cid:durableId="1928418654">
    <w:abstractNumId w:val="27"/>
  </w:num>
  <w:num w:numId="7" w16cid:durableId="1397626829">
    <w:abstractNumId w:val="25"/>
  </w:num>
  <w:num w:numId="8" w16cid:durableId="1811634362">
    <w:abstractNumId w:val="3"/>
  </w:num>
  <w:num w:numId="9" w16cid:durableId="165439012">
    <w:abstractNumId w:val="26"/>
  </w:num>
  <w:num w:numId="10" w16cid:durableId="925112758">
    <w:abstractNumId w:val="23"/>
  </w:num>
  <w:num w:numId="11" w16cid:durableId="1982883852">
    <w:abstractNumId w:val="17"/>
  </w:num>
  <w:num w:numId="12" w16cid:durableId="1713963659">
    <w:abstractNumId w:val="18"/>
  </w:num>
  <w:num w:numId="13" w16cid:durableId="392195349">
    <w:abstractNumId w:val="40"/>
  </w:num>
  <w:num w:numId="14" w16cid:durableId="907886791">
    <w:abstractNumId w:val="24"/>
  </w:num>
  <w:num w:numId="15" w16cid:durableId="1349334821">
    <w:abstractNumId w:val="32"/>
  </w:num>
  <w:num w:numId="16" w16cid:durableId="910316298">
    <w:abstractNumId w:val="28"/>
  </w:num>
  <w:num w:numId="17" w16cid:durableId="532302943">
    <w:abstractNumId w:val="5"/>
  </w:num>
  <w:num w:numId="18" w16cid:durableId="347685683">
    <w:abstractNumId w:val="19"/>
  </w:num>
  <w:num w:numId="19" w16cid:durableId="522204254">
    <w:abstractNumId w:val="38"/>
  </w:num>
  <w:num w:numId="20" w16cid:durableId="1035891112">
    <w:abstractNumId w:val="4"/>
    <w:lvlOverride w:ilvl="0">
      <w:startOverride w:val="1"/>
    </w:lvlOverride>
  </w:num>
  <w:num w:numId="21" w16cid:durableId="839782563">
    <w:abstractNumId w:val="2"/>
  </w:num>
  <w:num w:numId="22" w16cid:durableId="940719697">
    <w:abstractNumId w:val="43"/>
  </w:num>
  <w:num w:numId="23" w16cid:durableId="441609187">
    <w:abstractNumId w:val="30"/>
  </w:num>
  <w:num w:numId="24" w16cid:durableId="1404520373">
    <w:abstractNumId w:val="42"/>
  </w:num>
  <w:num w:numId="25" w16cid:durableId="1129015607">
    <w:abstractNumId w:val="46"/>
  </w:num>
  <w:num w:numId="26" w16cid:durableId="2017462139">
    <w:abstractNumId w:val="31"/>
  </w:num>
  <w:num w:numId="27" w16cid:durableId="1334337678">
    <w:abstractNumId w:val="21"/>
  </w:num>
  <w:num w:numId="28" w16cid:durableId="73868475">
    <w:abstractNumId w:val="13"/>
  </w:num>
  <w:num w:numId="29" w16cid:durableId="1054230894">
    <w:abstractNumId w:val="8"/>
  </w:num>
  <w:num w:numId="30" w16cid:durableId="482624087">
    <w:abstractNumId w:val="44"/>
  </w:num>
  <w:num w:numId="31" w16cid:durableId="1152988531">
    <w:abstractNumId w:val="10"/>
  </w:num>
  <w:num w:numId="32" w16cid:durableId="322323067">
    <w:abstractNumId w:val="33"/>
  </w:num>
  <w:num w:numId="33" w16cid:durableId="236593756">
    <w:abstractNumId w:val="41"/>
  </w:num>
  <w:num w:numId="34" w16cid:durableId="140276442">
    <w:abstractNumId w:val="39"/>
  </w:num>
  <w:num w:numId="35" w16cid:durableId="828594526">
    <w:abstractNumId w:val="22"/>
  </w:num>
  <w:num w:numId="36" w16cid:durableId="2052799635">
    <w:abstractNumId w:val="7"/>
  </w:num>
  <w:num w:numId="37" w16cid:durableId="1274438162">
    <w:abstractNumId w:val="12"/>
  </w:num>
  <w:num w:numId="38" w16cid:durableId="1127771439">
    <w:abstractNumId w:val="36"/>
  </w:num>
  <w:num w:numId="39" w16cid:durableId="31539019">
    <w:abstractNumId w:val="37"/>
  </w:num>
  <w:num w:numId="40" w16cid:durableId="659582298">
    <w:abstractNumId w:val="35"/>
  </w:num>
  <w:num w:numId="41" w16cid:durableId="981033858">
    <w:abstractNumId w:val="16"/>
  </w:num>
  <w:num w:numId="42" w16cid:durableId="76052314">
    <w:abstractNumId w:val="6"/>
  </w:num>
  <w:num w:numId="43" w16cid:durableId="1422141069">
    <w:abstractNumId w:val="14"/>
  </w:num>
  <w:num w:numId="44" w16cid:durableId="2059235727">
    <w:abstractNumId w:val="29"/>
  </w:num>
  <w:num w:numId="45" w16cid:durableId="1254049297">
    <w:abstractNumId w:val="20"/>
  </w:num>
  <w:num w:numId="46" w16cid:durableId="946429154">
    <w:abstractNumId w:val="11"/>
  </w:num>
  <w:num w:numId="47" w16cid:durableId="294604866">
    <w:abstractNumId w:val="15"/>
  </w:num>
  <w:num w:numId="48" w16cid:durableId="206264818">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458D"/>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173E"/>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3A6"/>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320"/>
    <w:rsid w:val="000A163D"/>
    <w:rsid w:val="000A19E0"/>
    <w:rsid w:val="000A1A2E"/>
    <w:rsid w:val="000A1ED7"/>
    <w:rsid w:val="000A2767"/>
    <w:rsid w:val="000A383F"/>
    <w:rsid w:val="000A3D61"/>
    <w:rsid w:val="000A44ED"/>
    <w:rsid w:val="000A52CD"/>
    <w:rsid w:val="000A53E6"/>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3B9E"/>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4EDC"/>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1588"/>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4CF"/>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2C0F"/>
    <w:rsid w:val="001C430C"/>
    <w:rsid w:val="001C43AA"/>
    <w:rsid w:val="001C43D4"/>
    <w:rsid w:val="001C445F"/>
    <w:rsid w:val="001C52C7"/>
    <w:rsid w:val="001C5B14"/>
    <w:rsid w:val="001C604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246"/>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1FD"/>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C3D"/>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1E0"/>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D65"/>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1956"/>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2B59"/>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740"/>
    <w:rsid w:val="003B3D64"/>
    <w:rsid w:val="003B3FFD"/>
    <w:rsid w:val="003B4DD4"/>
    <w:rsid w:val="003B5124"/>
    <w:rsid w:val="003B5AB2"/>
    <w:rsid w:val="003B6786"/>
    <w:rsid w:val="003B7296"/>
    <w:rsid w:val="003B7347"/>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94E"/>
    <w:rsid w:val="00402D77"/>
    <w:rsid w:val="00403817"/>
    <w:rsid w:val="00403B4F"/>
    <w:rsid w:val="004043C7"/>
    <w:rsid w:val="00404C4A"/>
    <w:rsid w:val="004053AC"/>
    <w:rsid w:val="00405791"/>
    <w:rsid w:val="00405DCA"/>
    <w:rsid w:val="00406042"/>
    <w:rsid w:val="004062DC"/>
    <w:rsid w:val="0040630E"/>
    <w:rsid w:val="00406E19"/>
    <w:rsid w:val="0040758B"/>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4D1E"/>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57E78"/>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84F"/>
    <w:rsid w:val="004A6D5B"/>
    <w:rsid w:val="004A7502"/>
    <w:rsid w:val="004A761E"/>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42F4"/>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4B9"/>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C2D"/>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7B7"/>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00"/>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AA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2798"/>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671"/>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186D"/>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4F1A"/>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CEB"/>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8AB"/>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2FDC"/>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346"/>
    <w:rsid w:val="008D2615"/>
    <w:rsid w:val="008D30D5"/>
    <w:rsid w:val="008D386F"/>
    <w:rsid w:val="008D39A9"/>
    <w:rsid w:val="008D3F83"/>
    <w:rsid w:val="008D4011"/>
    <w:rsid w:val="008D41B0"/>
    <w:rsid w:val="008D447F"/>
    <w:rsid w:val="008D5BCC"/>
    <w:rsid w:val="008D5C84"/>
    <w:rsid w:val="008D5D79"/>
    <w:rsid w:val="008D60F2"/>
    <w:rsid w:val="008D61E7"/>
    <w:rsid w:val="008D6486"/>
    <w:rsid w:val="008D6CF4"/>
    <w:rsid w:val="008D72D9"/>
    <w:rsid w:val="008E0098"/>
    <w:rsid w:val="008E0AB1"/>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2C79"/>
    <w:rsid w:val="008F358D"/>
    <w:rsid w:val="008F35FC"/>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0B83"/>
    <w:rsid w:val="00942130"/>
    <w:rsid w:val="00942C34"/>
    <w:rsid w:val="00942EC2"/>
    <w:rsid w:val="00943150"/>
    <w:rsid w:val="00943ACC"/>
    <w:rsid w:val="00944517"/>
    <w:rsid w:val="00944787"/>
    <w:rsid w:val="00944A3D"/>
    <w:rsid w:val="009455E8"/>
    <w:rsid w:val="00946705"/>
    <w:rsid w:val="00950455"/>
    <w:rsid w:val="00950699"/>
    <w:rsid w:val="00950F0E"/>
    <w:rsid w:val="009512FC"/>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12D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A79"/>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4EB"/>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2A8"/>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61"/>
    <w:rsid w:val="00A775A3"/>
    <w:rsid w:val="00A7761E"/>
    <w:rsid w:val="00A77838"/>
    <w:rsid w:val="00A77971"/>
    <w:rsid w:val="00A77A87"/>
    <w:rsid w:val="00A77D85"/>
    <w:rsid w:val="00A77F9B"/>
    <w:rsid w:val="00A8136E"/>
    <w:rsid w:val="00A81D4A"/>
    <w:rsid w:val="00A81E00"/>
    <w:rsid w:val="00A8223F"/>
    <w:rsid w:val="00A822C0"/>
    <w:rsid w:val="00A822F3"/>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2DC6"/>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14D"/>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089"/>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6"/>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167F"/>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516D"/>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911"/>
    <w:rsid w:val="00C23F6F"/>
    <w:rsid w:val="00C2458B"/>
    <w:rsid w:val="00C25653"/>
    <w:rsid w:val="00C25E38"/>
    <w:rsid w:val="00C2714D"/>
    <w:rsid w:val="00C27548"/>
    <w:rsid w:val="00C27749"/>
    <w:rsid w:val="00C27A77"/>
    <w:rsid w:val="00C27E75"/>
    <w:rsid w:val="00C30F1A"/>
    <w:rsid w:val="00C31003"/>
    <w:rsid w:val="00C3180D"/>
    <w:rsid w:val="00C31EDF"/>
    <w:rsid w:val="00C326FF"/>
    <w:rsid w:val="00C32B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F19"/>
    <w:rsid w:val="00C504CF"/>
    <w:rsid w:val="00C5064D"/>
    <w:rsid w:val="00C50CB6"/>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8AD"/>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030"/>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55A"/>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3441"/>
    <w:rsid w:val="00D2404F"/>
    <w:rsid w:val="00D24BC0"/>
    <w:rsid w:val="00D24CE4"/>
    <w:rsid w:val="00D24F81"/>
    <w:rsid w:val="00D25074"/>
    <w:rsid w:val="00D25464"/>
    <w:rsid w:val="00D25DBF"/>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5542"/>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3B2A"/>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0FE"/>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6B02"/>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A49"/>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link w:val="NoSpacingChar"/>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character" w:customStyle="1" w:styleId="NoSpacingChar">
    <w:name w:val="No Spacing Char"/>
    <w:link w:val="NoSpacing"/>
    <w:uiPriority w:val="1"/>
    <w:locked/>
    <w:rsid w:val="00134EDC"/>
    <w:rPr>
      <w:rFonts w:ascii="Calibri" w:eastAsia="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354654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37103473">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93541603">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27680237">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8502481">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60853597">
      <w:bodyDiv w:val="1"/>
      <w:marLeft w:val="0"/>
      <w:marRight w:val="0"/>
      <w:marTop w:val="0"/>
      <w:marBottom w:val="0"/>
      <w:divBdr>
        <w:top w:val="none" w:sz="0" w:space="0" w:color="auto"/>
        <w:left w:val="none" w:sz="0" w:space="0" w:color="auto"/>
        <w:bottom w:val="none" w:sz="0" w:space="0" w:color="auto"/>
        <w:right w:val="none" w:sz="0" w:space="0" w:color="auto"/>
      </w:divBdr>
    </w:div>
    <w:div w:id="1910925119">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Template>
  <TotalTime>47</TotalTime>
  <Pages>2</Pages>
  <Words>841</Words>
  <Characters>4813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Satish Jamadagni</cp:lastModifiedBy>
  <cp:revision>90</cp:revision>
  <cp:lastPrinted>2017-09-24T01:18:00Z</cp:lastPrinted>
  <dcterms:created xsi:type="dcterms:W3CDTF">2025-05-27T16:11:00Z</dcterms:created>
  <dcterms:modified xsi:type="dcterms:W3CDTF">2025-06-01T15:20:00Z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