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rPr>
          <w:rFonts w:hint="default" w:ascii="Times New Roman" w:hAnsi="Times New Roman" w:eastAsiaTheme="minorEastAsia"/>
          <w:bCs/>
          <w:sz w:val="24"/>
          <w:szCs w:val="24"/>
          <w:lang w:val="en-US" w:eastAsia="zh-CN"/>
        </w:rPr>
      </w:pPr>
      <w:r>
        <w:rPr>
          <w:rFonts w:ascii="Arial" w:hAnsi="Arial" w:cs="Arial"/>
          <w:b/>
          <w:color w:val="auto"/>
          <w:sz w:val="28"/>
          <w:szCs w:val="28"/>
        </w:rPr>
        <w:t>3GPP TSG RAN Meeting #</w:t>
      </w:r>
      <w:r>
        <w:rPr>
          <w:rFonts w:hint="eastAsia" w:cs="Arial"/>
          <w:b/>
          <w:color w:val="auto"/>
          <w:sz w:val="28"/>
          <w:szCs w:val="28"/>
          <w:lang w:val="en-US" w:eastAsia="zh-CN"/>
        </w:rPr>
        <w:t>108</w:t>
      </w:r>
      <w:r>
        <w:rPr>
          <w:rFonts w:hint="eastAsia" w:ascii="Times New Roman" w:hAnsi="Times New Roman"/>
          <w:bCs/>
          <w:sz w:val="24"/>
          <w:szCs w:val="24"/>
          <w:lang w:val="en-US" w:eastAsia="en-US"/>
        </w:rPr>
        <w:tab/>
      </w:r>
      <w:r>
        <w:rPr>
          <w:rFonts w:hint="eastAsia" w:ascii="Times New Roman" w:hAnsi="Times New Roman"/>
          <w:bCs/>
          <w:sz w:val="24"/>
          <w:szCs w:val="24"/>
          <w:lang w:val="en-US" w:eastAsia="en-US"/>
        </w:rPr>
        <w:t>R</w:t>
      </w:r>
      <w:r>
        <w:rPr>
          <w:rFonts w:hint="eastAsia" w:ascii="Times New Roman" w:hAnsi="Times New Roman"/>
          <w:bCs/>
          <w:sz w:val="24"/>
          <w:szCs w:val="24"/>
          <w:lang w:val="en-US" w:eastAsia="zh-CN"/>
        </w:rPr>
        <w:t>P</w:t>
      </w:r>
      <w:r>
        <w:rPr>
          <w:rFonts w:hint="eastAsia" w:ascii="Times New Roman" w:hAnsi="Times New Roman"/>
          <w:bCs/>
          <w:sz w:val="24"/>
          <w:szCs w:val="24"/>
          <w:lang w:val="en-US" w:eastAsia="en-US"/>
        </w:rPr>
        <w:t>-</w:t>
      </w:r>
      <w:r>
        <w:rPr>
          <w:rFonts w:hint="eastAsia" w:ascii="Times New Roman" w:hAnsi="Times New Roman"/>
          <w:bCs/>
          <w:sz w:val="24"/>
          <w:szCs w:val="24"/>
          <w:lang w:val="en-US" w:eastAsia="zh-CN"/>
        </w:rPr>
        <w:t>2501601</w:t>
      </w:r>
    </w:p>
    <w:p>
      <w:pPr>
        <w:keepLines/>
        <w:tabs>
          <w:tab w:val="left" w:pos="567"/>
        </w:tabs>
        <w:rPr>
          <w:rFonts w:ascii="Arial" w:hAnsi="Arial" w:cs="Arial"/>
          <w:b/>
          <w:sz w:val="28"/>
          <w:szCs w:val="28"/>
        </w:rPr>
      </w:pPr>
      <w:r>
        <w:rPr>
          <w:rFonts w:ascii="Arial" w:hAnsi="Arial" w:cs="Arial"/>
          <w:b/>
          <w:sz w:val="28"/>
          <w:szCs w:val="28"/>
        </w:rPr>
        <w:t>Prague, Czech Republic, June 9-13, 2025</w:t>
      </w:r>
    </w:p>
    <w:p>
      <w:pPr>
        <w:pStyle w:val="69"/>
        <w:spacing w:after="180"/>
        <w:rPr>
          <w:rFonts w:ascii="Times New Roman" w:hAnsi="Times New Roman" w:cs="Times New Roman" w:eastAsiaTheme="minorEastAsia"/>
          <w:b/>
          <w:bCs/>
          <w:sz w:val="24"/>
          <w:lang w:val="pt-PT" w:eastAsia="en-US" w:bidi="ar-SA"/>
        </w:rPr>
      </w:pPr>
    </w:p>
    <w:p>
      <w:pPr>
        <w:pStyle w:val="69"/>
        <w:spacing w:after="180"/>
        <w:rPr>
          <w:rFonts w:ascii="Times New Roman" w:hAnsi="Times New Roman"/>
          <w:b/>
          <w:bCs/>
          <w:sz w:val="24"/>
          <w:lang w:val="pt-PT" w:eastAsia="zh-CN"/>
        </w:rPr>
      </w:pPr>
      <w:r>
        <w:rPr>
          <w:rFonts w:ascii="Times New Roman" w:hAnsi="Times New Roman" w:cs="Times New Roman" w:eastAsiaTheme="minorEastAsia"/>
          <w:b/>
          <w:bCs/>
          <w:sz w:val="24"/>
          <w:lang w:val="en-US" w:eastAsia="zh-CN" w:bidi="ar-SA"/>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eastAsiaTheme="minorEastAsia"/>
          <w:b/>
          <w:bCs/>
          <w:sz w:val="24"/>
          <w:lang w:val="pt-PT" w:eastAsia="en-US" w:bidi="ar-SA"/>
        </w:rPr>
        <w:t xml:space="preserve">Agenda item: </w:t>
      </w:r>
      <w:r>
        <w:rPr>
          <w:rFonts w:ascii="Times New Roman" w:hAnsi="Times New Roman" w:cs="Times New Roman" w:eastAsiaTheme="minorEastAsia"/>
          <w:b/>
          <w:bCs/>
          <w:sz w:val="24"/>
          <w:lang w:val="pt-PT" w:eastAsia="en-US" w:bidi="ar-SA"/>
        </w:rPr>
        <w:tab/>
      </w:r>
      <w:r>
        <w:rPr>
          <w:rFonts w:hint="eastAsia" w:ascii="Times New Roman" w:hAnsi="Times New Roman" w:cs="Times New Roman" w:eastAsiaTheme="minorEastAsia"/>
          <w:b/>
          <w:bCs/>
          <w:sz w:val="24"/>
          <w:lang w:val="en-US" w:eastAsia="zh-CN" w:bidi="ar-SA"/>
        </w:rPr>
        <w:t xml:space="preserve">    </w:t>
      </w:r>
      <w:r>
        <w:rPr>
          <w:rFonts w:ascii="Times New Roman" w:hAnsi="Times New Roman" w:cs="Times New Roman" w:eastAsiaTheme="minorEastAsia"/>
          <w:b/>
          <w:bCs/>
          <w:sz w:val="24"/>
          <w:lang w:val="pt-PT" w:eastAsia="en-US" w:bidi="ar-SA"/>
        </w:rPr>
        <w:t>1</w:t>
      </w:r>
      <w:r>
        <w:rPr>
          <w:rFonts w:hint="eastAsia" w:ascii="Times New Roman" w:hAnsi="Times New Roman" w:cs="Times New Roman" w:eastAsiaTheme="minorEastAsia"/>
          <w:b/>
          <w:bCs/>
          <w:sz w:val="24"/>
          <w:lang w:val="en-US" w:eastAsia="zh-CN" w:bidi="ar-SA"/>
        </w:rPr>
        <w:t>6.1</w:t>
      </w:r>
      <w:r>
        <w:rPr>
          <w:rFonts w:ascii="Times New Roman" w:hAnsi="Times New Roman" w:cs="Times New Roman" w:eastAsiaTheme="minorEastAsia"/>
          <w:b/>
          <w:bCs/>
          <w:sz w:val="24"/>
          <w:lang w:val="pt-PT" w:eastAsia="en-US" w:bidi="ar-SA"/>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rFonts w:hint="eastAsia"/>
          <w:b/>
          <w:bCs/>
          <w:sz w:val="24"/>
        </w:rPr>
        <w:t xml:space="preserve">Considerations on </w:t>
      </w:r>
      <w:r>
        <w:rPr>
          <w:rFonts w:hint="eastAsia"/>
          <w:b/>
          <w:bCs/>
          <w:sz w:val="24"/>
          <w:lang w:val="en-US" w:eastAsia="zh-CN"/>
        </w:rPr>
        <w:t xml:space="preserve">Composite Requirement for </w:t>
      </w:r>
      <w:r>
        <w:rPr>
          <w:rFonts w:hint="eastAsia"/>
          <w:b/>
          <w:bCs/>
          <w:sz w:val="24"/>
        </w:rPr>
        <w:t>IMT2030 TPRs</w:t>
      </w:r>
    </w:p>
    <w:p>
      <w:pPr>
        <w:tabs>
          <w:tab w:val="left" w:pos="1985"/>
        </w:tabs>
        <w:spacing w:after="240" w:afterLines="100"/>
        <w:ind w:left="1980" w:hanging="1980"/>
        <w:rPr>
          <w:rFonts w:hint="default" w:eastAsiaTheme="minorEastAsia"/>
          <w:b/>
          <w:bCs/>
          <w:sz w:val="24"/>
          <w:lang w:val="en-US" w:eastAsia="zh-CN"/>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r>
        <w:rPr>
          <w:rFonts w:hint="eastAsia"/>
          <w:b/>
          <w:bCs/>
          <w:sz w:val="24"/>
          <w:lang w:val="en-US" w:eastAsia="zh-CN"/>
        </w:rPr>
        <w:t>and Decision</w:t>
      </w:r>
      <w:bookmarkStart w:id="7" w:name="_GoBack"/>
      <w:bookmarkEnd w:id="7"/>
    </w:p>
    <w:p>
      <w:pPr>
        <w:pStyle w:val="2"/>
      </w:pPr>
      <w:r>
        <w:t>1</w:t>
      </w:r>
      <w:r>
        <w:tab/>
      </w:r>
      <w:r>
        <w:t>Introduction</w:t>
      </w:r>
    </w:p>
    <w:p>
      <w:pPr>
        <w:rPr>
          <w:rFonts w:hint="eastAsia"/>
          <w:sz w:val="22"/>
        </w:rPr>
      </w:pPr>
      <w:r>
        <w:rPr>
          <w:rFonts w:hint="eastAsia"/>
          <w:sz w:val="22"/>
          <w:lang w:val="en-US" w:eastAsia="zh-CN"/>
        </w:rPr>
        <w:t>At</w:t>
      </w:r>
      <w:r>
        <w:rPr>
          <w:sz w:val="22"/>
          <w:lang w:val="en-US" w:eastAsia="zh-CN"/>
        </w:rPr>
        <w:t xml:space="preserve"> </w:t>
      </w:r>
      <w:r>
        <w:rPr>
          <w:rFonts w:hint="eastAsia"/>
          <w:sz w:val="22"/>
        </w:rPr>
        <w:t>RAN#10</w:t>
      </w:r>
      <w:r>
        <w:rPr>
          <w:rFonts w:hint="eastAsia"/>
          <w:sz w:val="22"/>
          <w:lang w:val="en-US" w:eastAsia="zh-CN"/>
        </w:rPr>
        <w:t>7 meeting</w:t>
      </w:r>
      <w:r>
        <w:rPr>
          <w:rFonts w:hint="eastAsia"/>
          <w:sz w:val="22"/>
        </w:rPr>
        <w:t xml:space="preserve">, IMT-2030 TPRs including candidate items for IMT-2030 TPRs, definition of </w:t>
      </w:r>
      <w:r>
        <w:rPr>
          <w:rFonts w:hint="eastAsia"/>
          <w:sz w:val="22"/>
          <w:lang w:val="en-US" w:eastAsia="zh-CN"/>
        </w:rPr>
        <w:t xml:space="preserve">new </w:t>
      </w:r>
      <w:r>
        <w:rPr>
          <w:rFonts w:hint="eastAsia"/>
          <w:sz w:val="22"/>
        </w:rPr>
        <w:t xml:space="preserve">candidate IMT-2030 TPRs and target value of </w:t>
      </w:r>
      <w:r>
        <w:rPr>
          <w:rFonts w:hint="eastAsia"/>
          <w:sz w:val="22"/>
          <w:lang w:val="en-US" w:eastAsia="zh-CN"/>
        </w:rPr>
        <w:t>proposed</w:t>
      </w:r>
      <w:r>
        <w:rPr>
          <w:rFonts w:hint="eastAsia"/>
          <w:sz w:val="22"/>
        </w:rPr>
        <w:t xml:space="preserve"> IMT-2030 TPRs </w:t>
      </w:r>
      <w:r>
        <w:rPr>
          <w:rFonts w:hint="eastAsia"/>
          <w:sz w:val="22"/>
          <w:lang w:val="en-US" w:eastAsia="zh-CN"/>
        </w:rPr>
        <w:t>have been</w:t>
      </w:r>
      <w:r>
        <w:rPr>
          <w:rFonts w:hint="eastAsia"/>
          <w:sz w:val="22"/>
        </w:rPr>
        <w:t xml:space="preserve"> discussed.</w:t>
      </w:r>
      <w:r>
        <w:rPr>
          <w:rFonts w:hint="eastAsia"/>
          <w:sz w:val="22"/>
          <w:lang w:val="en-US" w:eastAsia="zh-CN"/>
        </w:rPr>
        <w:t xml:space="preserve"> </w:t>
      </w:r>
      <w:r>
        <w:rPr>
          <w:rFonts w:hint="eastAsia"/>
          <w:sz w:val="22"/>
        </w:rPr>
        <w:t xml:space="preserve">It </w:t>
      </w:r>
      <w:r>
        <w:rPr>
          <w:rFonts w:hint="eastAsia"/>
          <w:sz w:val="22"/>
          <w:lang w:val="en-US" w:eastAsia="zh-CN"/>
        </w:rPr>
        <w:t>was</w:t>
      </w:r>
      <w:r>
        <w:rPr>
          <w:rFonts w:hint="eastAsia"/>
          <w:sz w:val="22"/>
        </w:rPr>
        <w:t xml:space="preserve"> </w:t>
      </w:r>
      <w:r>
        <w:rPr>
          <w:rFonts w:hint="eastAsia"/>
          <w:sz w:val="22"/>
          <w:lang w:val="en-US" w:eastAsia="zh-CN"/>
        </w:rPr>
        <w:t xml:space="preserve">agreed as the following to define joint requirement for at least immersive communication [1]. </w:t>
      </w:r>
    </w:p>
    <w:p>
      <w:pPr>
        <w:rPr>
          <w:rFonts w:ascii="Times New Roman" w:hAnsi="Times New Roman" w:cs="Times New Roman"/>
          <w:b/>
          <w:bCs/>
          <w:i/>
          <w:iCs/>
        </w:rPr>
      </w:pPr>
      <w:r>
        <w:rPr>
          <w:rFonts w:ascii="Times New Roman" w:hAnsi="Times New Roman" w:cs="Times New Roman"/>
          <w:b/>
          <w:bCs/>
          <w:i/>
          <w:iCs/>
        </w:rPr>
        <w:t xml:space="preserve"> Define </w:t>
      </w:r>
      <w:r>
        <w:rPr>
          <w:rFonts w:hint="eastAsia" w:ascii="Times New Roman" w:hAnsi="Times New Roman" w:cs="Times New Roman"/>
          <w:b/>
          <w:bCs/>
          <w:i/>
          <w:iCs/>
        </w:rPr>
        <w:t xml:space="preserve">TPR (e.g. </w:t>
      </w:r>
      <w:r>
        <w:rPr>
          <w:rFonts w:ascii="Times New Roman" w:hAnsi="Times New Roman" w:cs="Times New Roman"/>
          <w:b/>
          <w:bCs/>
          <w:i/>
          <w:iCs/>
        </w:rPr>
        <w:t>joint/composite requirement</w:t>
      </w:r>
      <w:r>
        <w:rPr>
          <w:rFonts w:hint="eastAsia" w:ascii="Times New Roman" w:hAnsi="Times New Roman" w:cs="Times New Roman"/>
          <w:b/>
          <w:bCs/>
          <w:i/>
          <w:iCs/>
        </w:rPr>
        <w:t>)</w:t>
      </w:r>
      <w:r>
        <w:rPr>
          <w:rFonts w:ascii="Times New Roman" w:hAnsi="Times New Roman" w:cs="Times New Roman"/>
          <w:b/>
          <w:bCs/>
          <w:i/>
          <w:iCs/>
        </w:rPr>
        <w:t xml:space="preserve"> </w:t>
      </w:r>
      <w:r>
        <w:rPr>
          <w:rFonts w:hint="eastAsia" w:ascii="Times New Roman" w:hAnsi="Times New Roman" w:cs="Times New Roman"/>
          <w:b/>
          <w:bCs/>
          <w:i/>
          <w:iCs/>
        </w:rPr>
        <w:t>related to</w:t>
      </w:r>
      <w:r>
        <w:rPr>
          <w:rFonts w:ascii="Times New Roman" w:hAnsi="Times New Roman" w:cs="Times New Roman"/>
          <w:b/>
          <w:bCs/>
          <w:i/>
          <w:iCs/>
        </w:rPr>
        <w:t xml:space="preserve"> data rate, latency, reliability</w:t>
      </w:r>
      <w:r>
        <w:rPr>
          <w:rFonts w:hint="eastAsia" w:ascii="Times New Roman" w:hAnsi="Times New Roman" w:cs="Times New Roman"/>
          <w:b/>
          <w:bCs/>
          <w:i/>
          <w:iCs/>
        </w:rPr>
        <w:t>, capacity etc.</w:t>
      </w:r>
      <w:r>
        <w:rPr>
          <w:rFonts w:ascii="Times New Roman" w:hAnsi="Times New Roman" w:cs="Times New Roman"/>
          <w:b/>
          <w:bCs/>
          <w:i/>
          <w:iCs/>
        </w:rPr>
        <w:t xml:space="preserve"> as a candidate IMT-2030 TPR.</w:t>
      </w:r>
    </w:p>
    <w:p>
      <w:pPr>
        <w:pStyle w:val="70"/>
        <w:numPr>
          <w:ilvl w:val="0"/>
          <w:numId w:val="4"/>
        </w:numPr>
        <w:rPr>
          <w:rFonts w:hint="eastAsia"/>
          <w:sz w:val="22"/>
        </w:rPr>
      </w:pPr>
      <w:r>
        <w:rPr>
          <w:rFonts w:hint="eastAsia" w:ascii="Times New Roman" w:hAnsi="Times New Roman" w:cs="Times New Roman"/>
          <w:b/>
          <w:bCs/>
          <w:i/>
          <w:iCs/>
        </w:rPr>
        <w:t xml:space="preserve">Applicable usage scenario: immersive </w:t>
      </w:r>
      <w:r>
        <w:rPr>
          <w:rFonts w:ascii="Times New Roman" w:hAnsi="Times New Roman" w:cs="Times New Roman"/>
          <w:b/>
          <w:bCs/>
          <w:i/>
          <w:iCs/>
        </w:rPr>
        <w:t>c</w:t>
      </w:r>
      <w:r>
        <w:rPr>
          <w:rFonts w:hint="eastAsia" w:ascii="Times New Roman" w:hAnsi="Times New Roman" w:cs="Times New Roman"/>
          <w:b/>
          <w:bCs/>
          <w:i/>
          <w:iCs/>
        </w:rPr>
        <w:t>ommunication</w:t>
      </w:r>
    </w:p>
    <w:p>
      <w:pPr>
        <w:pStyle w:val="70"/>
        <w:numPr>
          <w:ilvl w:val="0"/>
          <w:numId w:val="0"/>
        </w:numPr>
        <w:ind w:leftChars="0"/>
        <w:rPr>
          <w:rFonts w:hint="eastAsia"/>
          <w:sz w:val="22"/>
        </w:rPr>
      </w:pPr>
    </w:p>
    <w:p>
      <w:pPr>
        <w:spacing w:after="0"/>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w:t>
      </w:r>
      <w:r>
        <w:rPr>
          <w:rFonts w:hint="eastAsia"/>
          <w:sz w:val="22"/>
          <w:lang w:val="en-US" w:eastAsia="zh-CN"/>
        </w:rPr>
        <w:t xml:space="preserve">composite requirement for </w:t>
      </w:r>
      <w:r>
        <w:rPr>
          <w:rFonts w:hint="eastAsia"/>
          <w:sz w:val="22"/>
        </w:rPr>
        <w:t>IMT2030 TPRs</w:t>
      </w:r>
      <w:r>
        <w:rPr>
          <w:sz w:val="22"/>
          <w:lang w:eastAsia="zh-CN"/>
        </w:rPr>
        <w:t>.</w:t>
      </w:r>
    </w:p>
    <w:p>
      <w:pPr>
        <w:pStyle w:val="2"/>
      </w:pPr>
      <w:r>
        <w:t>2</w:t>
      </w:r>
      <w:r>
        <w:tab/>
      </w:r>
      <w:r>
        <w:rPr>
          <w:rFonts w:hint="eastAsia"/>
          <w:lang w:val="en-US" w:eastAsia="zh-CN"/>
        </w:rPr>
        <w:t>Discussion</w:t>
      </w:r>
    </w:p>
    <w:p>
      <w:pPr>
        <w:spacing w:before="120" w:after="120"/>
        <w:jc w:val="both"/>
        <w:rPr>
          <w:rFonts w:hint="eastAsia" w:cs="Times New Roman"/>
          <w:sz w:val="22"/>
          <w:szCs w:val="22"/>
          <w:lang w:val="en-US" w:eastAsia="zh-CN"/>
        </w:rPr>
      </w:pPr>
      <w:r>
        <w:rPr>
          <w:rFonts w:hint="eastAsia" w:cs="Times New Roman"/>
          <w:sz w:val="22"/>
          <w:szCs w:val="22"/>
          <w:lang w:val="en-US" w:eastAsia="zh-CN"/>
        </w:rPr>
        <w:t xml:space="preserve">As discussed in </w:t>
      </w:r>
      <w:r>
        <w:rPr>
          <w:rFonts w:hint="eastAsia" w:ascii="Times New Roman" w:hAnsi="Times New Roman" w:cs="Times New Roman" w:eastAsiaTheme="minorEastAsia"/>
          <w:sz w:val="22"/>
          <w:szCs w:val="22"/>
          <w:lang w:val="en-US" w:eastAsia="zh-CN"/>
        </w:rPr>
        <w:t>ITU-R “Technical performance requirements for IMT-2030” (M.[IMT-2030.TECH PERF REQ]</w:t>
      </w:r>
      <w:r>
        <w:rPr>
          <w:rFonts w:hint="eastAsia" w:cs="Times New Roman"/>
          <w:sz w:val="22"/>
          <w:szCs w:val="22"/>
          <w:lang w:val="en-US" w:eastAsia="zh-CN"/>
        </w:rPr>
        <w:t xml:space="preserve">, composite requirement has been discussed and defined for the purpose of evaluation at least in the Immersive Communication usage scenario. And the discussion on whether composite requirement should be defined for more usage scenario,e.g. HRLLC, was still ongoing. </w:t>
      </w:r>
    </w:p>
    <w:p>
      <w:pPr>
        <w:numPr>
          <w:ilvl w:val="0"/>
          <w:numId w:val="5"/>
        </w:numPr>
        <w:spacing w:before="120" w:after="120"/>
        <w:ind w:left="420" w:leftChars="0" w:hanging="420" w:firstLineChars="0"/>
        <w:jc w:val="both"/>
        <w:rPr>
          <w:rFonts w:hint="eastAsia" w:cs="Times New Roman"/>
          <w:b/>
          <w:bCs/>
          <w:sz w:val="22"/>
          <w:szCs w:val="22"/>
          <w:lang w:val="en-US" w:eastAsia="zh-CN"/>
        </w:rPr>
      </w:pPr>
      <w:bookmarkStart w:id="0" w:name="OLE_LINK4"/>
      <w:r>
        <w:rPr>
          <w:rFonts w:hint="eastAsia" w:cs="Times New Roman"/>
          <w:b/>
          <w:bCs/>
          <w:sz w:val="22"/>
          <w:szCs w:val="22"/>
          <w:lang w:val="en-US" w:eastAsia="zh-CN"/>
        </w:rPr>
        <w:t>Composite requirement can depict different characteristics of HRLLC</w:t>
      </w:r>
    </w:p>
    <w:bookmarkEnd w:id="0"/>
    <w:p>
      <w:pPr>
        <w:spacing w:before="120" w:after="120"/>
        <w:jc w:val="both"/>
        <w:rPr>
          <w:rFonts w:hint="default" w:cs="Times New Roman"/>
          <w:sz w:val="22"/>
          <w:szCs w:val="22"/>
          <w:lang w:val="en-US" w:eastAsia="zh-CN"/>
        </w:rPr>
      </w:pPr>
      <w:r>
        <w:rPr>
          <w:rFonts w:hint="eastAsia" w:cs="Times New Roman"/>
          <w:sz w:val="22"/>
          <w:szCs w:val="22"/>
          <w:lang w:val="en-US" w:eastAsia="zh-CN"/>
        </w:rPr>
        <w:t xml:space="preserve">Some services in HRLLC scenarios require for adaptive balancing between reliability and latency. For example, industrial control service may sacrifice the service quality of extent latency (e.g., through re-transmission protocols) to ensure ultra-high reliability (e.g., </w:t>
      </w:r>
      <w:bookmarkStart w:id="1" w:name="OLE_LINK3"/>
      <w:r>
        <w:rPr>
          <w:rFonts w:hint="eastAsia" w:cs="Times New Roman"/>
          <w:sz w:val="22"/>
          <w:szCs w:val="22"/>
          <w:lang w:val="en-US" w:eastAsia="zh-CN"/>
        </w:rPr>
        <w:t>99.9999%</w:t>
      </w:r>
      <w:bookmarkEnd w:id="1"/>
      <w:r>
        <w:rPr>
          <w:rFonts w:hint="eastAsia" w:cs="Times New Roman"/>
          <w:sz w:val="22"/>
          <w:szCs w:val="22"/>
          <w:lang w:val="en-US" w:eastAsia="zh-CN"/>
        </w:rPr>
        <w:t>). On the other hand, some industrial services require high availability [2] which has the relationship with reliability under certain survival time. And for this service, the converted reliability may less than 99.9999% and can allow lower latency scheduling or provide different periodic configurations for more service flows.</w:t>
      </w:r>
    </w:p>
    <w:p>
      <w:pPr>
        <w:spacing w:before="120" w:after="120"/>
        <w:jc w:val="both"/>
        <w:rPr>
          <w:rFonts w:hint="eastAsia" w:cs="Times New Roman"/>
          <w:sz w:val="22"/>
          <w:szCs w:val="22"/>
          <w:lang w:val="en-US" w:eastAsia="zh-CN"/>
        </w:rPr>
      </w:pPr>
      <w:r>
        <w:rPr>
          <w:rFonts w:hint="eastAsia" w:cs="Times New Roman"/>
          <w:sz w:val="22"/>
          <w:szCs w:val="22"/>
          <w:lang w:val="en-US" w:eastAsia="zh-CN"/>
        </w:rPr>
        <w:t>In practical, HRLLC scenario should support concurrent services for multiple users/terminals with diverse QoS requirements. For example, for the production line in automotive manufacturing, there are multiple terminals such as valve terminal I/O, robotic arm, AGV, control cabinet and servo motor. And the service flows between different terminals require for diverse QoS requirements. In this scenario, the capacity should also be evaluated with the constrain of certain latency and reliability limitation to ensure practical system operation in an efficient manner. It is important to HRLLC deployment since the capacity target is closely associated to the cost of the whole system.</w:t>
      </w:r>
    </w:p>
    <w:p>
      <w:pPr>
        <w:spacing w:before="120" w:after="120"/>
        <w:jc w:val="both"/>
        <w:rPr>
          <w:rFonts w:hint="eastAsia" w:cs="Times New Roman"/>
          <w:b/>
          <w:bCs/>
          <w:i/>
          <w:iCs/>
          <w:sz w:val="22"/>
          <w:szCs w:val="22"/>
          <w:lang w:val="en-US" w:eastAsia="zh-CN"/>
        </w:rPr>
      </w:pPr>
      <w:r>
        <w:rPr>
          <w:rFonts w:hint="eastAsia" w:ascii="Times New Roman" w:hAnsi="Times New Roman" w:cs="Times New Roman" w:eastAsiaTheme="minorEastAsia"/>
          <w:b/>
          <w:bCs/>
          <w:i/>
          <w:iCs/>
          <w:sz w:val="22"/>
          <w:szCs w:val="22"/>
          <w:lang w:val="en-US" w:eastAsia="zh-CN"/>
        </w:rPr>
        <w:t>Observation 1: Composite requirement is important to depict different characteristics for HRLLC scenario</w:t>
      </w:r>
      <w:r>
        <w:rPr>
          <w:rFonts w:hint="eastAsia" w:cs="Times New Roman"/>
          <w:b/>
          <w:bCs/>
          <w:i/>
          <w:iCs/>
          <w:sz w:val="22"/>
          <w:szCs w:val="22"/>
          <w:lang w:val="en-US" w:eastAsia="zh-CN"/>
        </w:rPr>
        <w:t>, e.g. the trade-off between latency and reliability, the capacity requirements with the constrain of certain latency and reliability.</w:t>
      </w:r>
    </w:p>
    <w:p>
      <w:pPr>
        <w:numPr>
          <w:ilvl w:val="0"/>
          <w:numId w:val="5"/>
        </w:numPr>
        <w:spacing w:before="120" w:after="120"/>
        <w:ind w:left="420" w:leftChars="0" w:hanging="420" w:firstLineChars="0"/>
        <w:jc w:val="both"/>
        <w:rPr>
          <w:rFonts w:hint="default" w:cs="Times New Roman"/>
          <w:b/>
          <w:bCs/>
          <w:i/>
          <w:iCs/>
          <w:sz w:val="22"/>
          <w:szCs w:val="22"/>
          <w:lang w:val="en-US" w:eastAsia="zh-CN"/>
        </w:rPr>
      </w:pPr>
      <w:r>
        <w:rPr>
          <w:rFonts w:hint="eastAsia" w:cs="Times New Roman"/>
          <w:b/>
          <w:bCs/>
          <w:sz w:val="22"/>
          <w:szCs w:val="22"/>
          <w:lang w:val="en-US" w:eastAsia="zh-CN"/>
        </w:rPr>
        <w:t>Some 6G HRLLC use cases have requirements on data rate and capacity</w:t>
      </w:r>
    </w:p>
    <w:p>
      <w:pPr>
        <w:spacing w:before="120" w:after="120"/>
        <w:jc w:val="both"/>
        <w:rPr>
          <w:rFonts w:hint="eastAsia" w:cs="Times New Roman"/>
          <w:sz w:val="22"/>
          <w:szCs w:val="22"/>
          <w:lang w:val="en-US" w:eastAsia="zh-CN"/>
        </w:rPr>
      </w:pPr>
      <w:r>
        <w:rPr>
          <w:rFonts w:hint="eastAsia" w:cs="Times New Roman"/>
          <w:sz w:val="22"/>
          <w:szCs w:val="22"/>
          <w:lang w:val="en-US" w:eastAsia="zh-CN"/>
        </w:rPr>
        <w:t xml:space="preserve">SA1 has the study item on 6G Use Cases and Service Requirements and there are 8 use cases for 6G industrial and vertical in the latest version [3]. Within these 8 use cases, at least 3 of them have composite requirement on data rate, latency and reliability which are cooperating mobile robots, real time digital twins and 3D factory model based AR guided task. The performance requirements for these 3 use cases from [3] are as the following: </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eastAsia" w:cs="Times New Roman"/>
          <w:sz w:val="22"/>
          <w:szCs w:val="22"/>
          <w:lang w:val="en-US" w:eastAsia="zh-CN"/>
        </w:rPr>
        <w:t>Cooperating mobile robots: the typical KPI include [1~10 ms] max allowed end-to-end latency (ms) and [&lt;10]/ [&lt;250] Mb/s application data rate while [99.999 to 99.99999] % reliability;</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eastAsia" w:cs="Times New Roman"/>
          <w:sz w:val="22"/>
          <w:szCs w:val="22"/>
          <w:lang w:val="en-US" w:eastAsia="zh-CN"/>
        </w:rPr>
        <w:t>Realtime digital twins: the typical KPI include [1~10 ms] max allowed end-to-end latency (ms) and [&lt;100] (UL) Mb/s service bit rate while [99.999 to 99.99999] % reliability;</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eastAsia" w:cs="Times New Roman"/>
          <w:sz w:val="22"/>
          <w:szCs w:val="22"/>
          <w:lang w:val="en-US" w:eastAsia="zh-CN"/>
        </w:rPr>
        <w:t xml:space="preserve">3D factory model based AR guided task: the typical KPI include 1~5 ms network transmission latency and 240-500 (DL)/ 50 (UL) Mbit/s experienced data rate while up to 99.999% reliability and [50-100] (DL)/ [10] (UL) </w:t>
      </w:r>
      <w:r>
        <w:rPr>
          <w:rFonts w:hint="default" w:cs="Times New Roman"/>
          <w:sz w:val="22"/>
          <w:szCs w:val="22"/>
          <w:lang w:val="en-US" w:eastAsia="zh-CN"/>
        </w:rPr>
        <w:t>Gbit/s/km2</w:t>
      </w:r>
      <w:r>
        <w:rPr>
          <w:rFonts w:hint="eastAsia" w:cs="Times New Roman"/>
          <w:sz w:val="22"/>
          <w:szCs w:val="22"/>
          <w:lang w:val="en-US" w:eastAsia="zh-CN"/>
        </w:rPr>
        <w:t xml:space="preserve"> area traffic capacity.</w:t>
      </w:r>
    </w:p>
    <w:p>
      <w:pPr>
        <w:spacing w:before="120" w:after="120"/>
        <w:jc w:val="both"/>
        <w:rPr>
          <w:rFonts w:hint="default" w:cs="Times New Roman"/>
          <w:sz w:val="22"/>
          <w:szCs w:val="22"/>
          <w:lang w:val="en-US" w:eastAsia="zh-CN"/>
        </w:rPr>
      </w:pPr>
      <w:r>
        <w:rPr>
          <w:rFonts w:hint="eastAsia" w:cs="Times New Roman"/>
          <w:sz w:val="22"/>
          <w:szCs w:val="22"/>
          <w:lang w:val="en-US" w:eastAsia="zh-CN"/>
        </w:rPr>
        <w:t xml:space="preserve">Thus, the data rate for the above use cases is ranging from 10 Mbit/s to 500 Mbit/s, which need to be evaluated more than the requirements on latency and reliability. Furthermore, some use cases (e.g. 3D factory model based AR guided task) also have requirements on area capacity. </w:t>
      </w:r>
    </w:p>
    <w:p>
      <w:pPr>
        <w:spacing w:before="120" w:after="120"/>
        <w:jc w:val="both"/>
        <w:rPr>
          <w:rFonts w:hint="eastAsia" w:ascii="Times New Roman" w:hAnsi="Times New Roman" w:cs="Times New Roman" w:eastAsiaTheme="minorEastAsia"/>
          <w:b/>
          <w:b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w:t>
      </w:r>
      <w:r>
        <w:rPr>
          <w:rFonts w:hint="eastAsia" w:cs="Times New Roman"/>
          <w:b/>
          <w:bCs/>
          <w:i/>
          <w:iCs/>
          <w:sz w:val="22"/>
          <w:szCs w:val="22"/>
          <w:lang w:val="en-US" w:eastAsia="zh-CN"/>
        </w:rPr>
        <w:t>2</w:t>
      </w:r>
      <w:r>
        <w:rPr>
          <w:rFonts w:hint="eastAsia" w:ascii="Times New Roman" w:hAnsi="Times New Roman" w:cs="Times New Roman" w:eastAsiaTheme="minorEastAsia"/>
          <w:b/>
          <w:bCs/>
          <w:i/>
          <w:iCs/>
          <w:sz w:val="22"/>
          <w:szCs w:val="22"/>
          <w:lang w:val="en-US" w:eastAsia="zh-CN"/>
        </w:rPr>
        <w:t xml:space="preserve">: </w:t>
      </w:r>
      <w:r>
        <w:rPr>
          <w:rFonts w:hint="eastAsia" w:cs="Times New Roman"/>
          <w:b/>
          <w:bCs/>
          <w:i/>
          <w:iCs/>
          <w:sz w:val="22"/>
          <w:szCs w:val="22"/>
          <w:lang w:val="en-US" w:eastAsia="zh-CN"/>
        </w:rPr>
        <w:t>From SA1 study, some 6G HRLLC related use cases have additional requirements on data rate and capacity, other than latency and reliability.</w:t>
      </w:r>
    </w:p>
    <w:p>
      <w:pPr>
        <w:spacing w:before="120" w:after="120"/>
        <w:jc w:val="both"/>
        <w:rPr>
          <w:lang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HRLLC scenario should be the applicable usage scenario for joint/composite requirement TPR.  </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spacing w:before="120" w:after="120"/>
        <w:jc w:val="both"/>
        <w:rPr>
          <w:rFonts w:hint="default" w:cs="Times New Roman"/>
          <w:sz w:val="22"/>
          <w:szCs w:val="22"/>
          <w:lang w:val="en-US" w:eastAsia="zh-CN"/>
        </w:rPr>
      </w:pPr>
      <w:r>
        <w:rPr>
          <w:rFonts w:hint="eastAsia" w:cs="Times New Roman"/>
          <w:sz w:val="22"/>
          <w:szCs w:val="22"/>
          <w:lang w:val="en-US" w:eastAsia="zh-CN"/>
        </w:rPr>
        <w:t>The observations and proposal of this contribution are as the following.</w:t>
      </w:r>
    </w:p>
    <w:p>
      <w:pPr>
        <w:spacing w:before="120" w:after="120"/>
        <w:jc w:val="both"/>
        <w:rPr>
          <w:rFonts w:hint="eastAsia" w:cs="Times New Roman"/>
          <w:b/>
          <w:bCs/>
          <w:i/>
          <w:i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1: </w:t>
      </w:r>
      <w:r>
        <w:rPr>
          <w:rFonts w:hint="eastAsia" w:cs="Times New Roman"/>
          <w:b/>
          <w:bCs/>
          <w:i/>
          <w:iCs/>
          <w:sz w:val="22"/>
          <w:szCs w:val="22"/>
          <w:lang w:val="en-US" w:eastAsia="zh-CN"/>
        </w:rPr>
        <w:t>C</w:t>
      </w:r>
      <w:r>
        <w:rPr>
          <w:rFonts w:hint="eastAsia" w:ascii="Times New Roman" w:hAnsi="Times New Roman" w:cs="Times New Roman" w:eastAsiaTheme="minorEastAsia"/>
          <w:b/>
          <w:bCs/>
          <w:i/>
          <w:iCs/>
          <w:sz w:val="22"/>
          <w:szCs w:val="22"/>
          <w:lang w:val="en-US" w:eastAsia="zh-CN"/>
        </w:rPr>
        <w:t>omposite requirement is important to depict different characteristics for HRLLC scenario</w:t>
      </w:r>
      <w:r>
        <w:rPr>
          <w:rFonts w:hint="eastAsia" w:cs="Times New Roman"/>
          <w:b/>
          <w:bCs/>
          <w:i/>
          <w:iCs/>
          <w:sz w:val="22"/>
          <w:szCs w:val="22"/>
          <w:lang w:val="en-US" w:eastAsia="zh-CN"/>
        </w:rPr>
        <w:t>, e.g. the trade-off between latency and reliability, the capacity requirements with the constrain of certain latency and reliability..</w:t>
      </w:r>
    </w:p>
    <w:p>
      <w:pPr>
        <w:spacing w:before="120" w:after="120"/>
        <w:jc w:val="both"/>
        <w:rPr>
          <w:rFonts w:hint="eastAsia" w:ascii="Times New Roman" w:hAnsi="Times New Roman" w:cs="Times New Roman" w:eastAsiaTheme="minorEastAsia"/>
          <w:b/>
          <w:b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w:t>
      </w:r>
      <w:r>
        <w:rPr>
          <w:rFonts w:hint="eastAsia" w:cs="Times New Roman"/>
          <w:b/>
          <w:bCs/>
          <w:i/>
          <w:iCs/>
          <w:sz w:val="22"/>
          <w:szCs w:val="22"/>
          <w:lang w:val="en-US" w:eastAsia="zh-CN"/>
        </w:rPr>
        <w:t>2</w:t>
      </w:r>
      <w:r>
        <w:rPr>
          <w:rFonts w:hint="eastAsia" w:ascii="Times New Roman" w:hAnsi="Times New Roman" w:cs="Times New Roman" w:eastAsiaTheme="minorEastAsia"/>
          <w:b/>
          <w:bCs/>
          <w:i/>
          <w:iCs/>
          <w:sz w:val="22"/>
          <w:szCs w:val="22"/>
          <w:lang w:val="en-US" w:eastAsia="zh-CN"/>
        </w:rPr>
        <w:t xml:space="preserve">: </w:t>
      </w:r>
      <w:r>
        <w:rPr>
          <w:rFonts w:hint="eastAsia" w:cs="Times New Roman"/>
          <w:b/>
          <w:bCs/>
          <w:i/>
          <w:iCs/>
          <w:sz w:val="22"/>
          <w:szCs w:val="22"/>
          <w:lang w:val="en-US" w:eastAsia="zh-CN"/>
        </w:rPr>
        <w:t>From SA1 study, some 6G HRLLC related use cases have additional requirements on data rate and capacity, other than latency and reliability.</w:t>
      </w:r>
    </w:p>
    <w:p>
      <w:pPr>
        <w:spacing w:before="120" w:after="120"/>
        <w:jc w:val="both"/>
        <w:rPr>
          <w:rFonts w:eastAsia="宋体"/>
          <w:b/>
          <w:lang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HRLLC scenario should be the applicable usage scenario for joint/composite requirement TPR.  </w:t>
      </w:r>
    </w:p>
    <w:p>
      <w:pPr>
        <w:pStyle w:val="2"/>
      </w:pPr>
      <w:r>
        <w:t>4   References</w:t>
      </w:r>
    </w:p>
    <w:p>
      <w:pPr>
        <w:pStyle w:val="70"/>
        <w:widowControl w:val="0"/>
        <w:numPr>
          <w:ilvl w:val="0"/>
          <w:numId w:val="7"/>
        </w:numPr>
        <w:autoSpaceDE w:val="0"/>
        <w:autoSpaceDN w:val="0"/>
        <w:adjustRightInd w:val="0"/>
        <w:spacing w:after="0" w:line="360" w:lineRule="auto"/>
        <w:contextualSpacing w:val="0"/>
        <w:rPr>
          <w:rFonts w:hint="default"/>
          <w:lang w:val="en-US" w:eastAsia="zh-CN"/>
        </w:rPr>
      </w:pPr>
      <w:bookmarkStart w:id="2" w:name="OLE_LINK2"/>
      <w:r>
        <w:rPr>
          <w:rFonts w:hint="eastAsia"/>
          <w:lang w:eastAsia="zh-CN"/>
        </w:rPr>
        <w:t>RP-250819</w:t>
      </w:r>
      <w:bookmarkEnd w:id="2"/>
      <w:r>
        <w:rPr>
          <w:rFonts w:hint="eastAsia"/>
          <w:lang w:val="en-US" w:eastAsia="zh-CN"/>
        </w:rPr>
        <w:t xml:space="preserve">, </w:t>
      </w:r>
      <w:bookmarkStart w:id="3" w:name="OLE_LINK7"/>
      <w:r>
        <w:rPr>
          <w:rFonts w:hint="eastAsia"/>
          <w:lang w:val="en-US" w:eastAsia="zh-CN"/>
        </w:rPr>
        <w:t>Moderator's summary for IMT-2030 TPRs</w:t>
      </w:r>
      <w:bookmarkEnd w:id="3"/>
      <w:r>
        <w:rPr>
          <w:rFonts w:hint="eastAsia"/>
          <w:lang w:val="en-US" w:eastAsia="zh-CN"/>
        </w:rPr>
        <w:t>; Moderator (CMCC), 3GPP TSG#107, December 9-12, 2025</w:t>
      </w:r>
    </w:p>
    <w:p>
      <w:pPr>
        <w:pStyle w:val="70"/>
        <w:widowControl w:val="0"/>
        <w:numPr>
          <w:ilvl w:val="0"/>
          <w:numId w:val="7"/>
        </w:numPr>
        <w:autoSpaceDE w:val="0"/>
        <w:autoSpaceDN w:val="0"/>
        <w:adjustRightInd w:val="0"/>
        <w:spacing w:after="0" w:line="360" w:lineRule="auto"/>
        <w:contextualSpacing w:val="0"/>
        <w:rPr>
          <w:rFonts w:hint="default"/>
          <w:lang w:val="en-US" w:eastAsia="zh-CN"/>
        </w:rPr>
      </w:pPr>
      <w:r>
        <w:rPr>
          <w:rFonts w:hint="default"/>
          <w:lang w:val="en-US" w:eastAsia="zh-CN"/>
        </w:rPr>
        <w:t>3GPP TS22.261, Service requirements for the 5G system R18.</w:t>
      </w:r>
    </w:p>
    <w:p>
      <w:pPr>
        <w:pStyle w:val="70"/>
        <w:widowControl w:val="0"/>
        <w:numPr>
          <w:ilvl w:val="0"/>
          <w:numId w:val="7"/>
        </w:numPr>
        <w:autoSpaceDE w:val="0"/>
        <w:autoSpaceDN w:val="0"/>
        <w:adjustRightInd w:val="0"/>
        <w:spacing w:after="0" w:line="360" w:lineRule="auto"/>
        <w:contextualSpacing w:val="0"/>
        <w:rPr>
          <w:lang w:eastAsia="zh-CN"/>
        </w:rPr>
      </w:pPr>
      <w:r>
        <w:rPr>
          <w:rFonts w:hint="default"/>
          <w:lang w:val="en-US" w:eastAsia="zh-CN"/>
        </w:rPr>
        <w:t xml:space="preserve">3GPP </w:t>
      </w:r>
      <w:bookmarkStart w:id="4" w:name="specType1"/>
      <w:r>
        <w:rPr>
          <w:rFonts w:hint="default"/>
          <w:lang w:val="en-US" w:eastAsia="zh-CN"/>
        </w:rPr>
        <w:t>TR</w:t>
      </w:r>
      <w:bookmarkEnd w:id="4"/>
      <w:r>
        <w:rPr>
          <w:rFonts w:hint="default"/>
          <w:lang w:val="en-US" w:eastAsia="zh-CN"/>
        </w:rPr>
        <w:t xml:space="preserve"> </w:t>
      </w:r>
      <w:bookmarkStart w:id="5" w:name="specNumber"/>
      <w:r>
        <w:rPr>
          <w:rFonts w:hint="default"/>
          <w:lang w:val="en-US" w:eastAsia="zh-CN"/>
        </w:rPr>
        <w:t>22.8</w:t>
      </w:r>
      <w:bookmarkEnd w:id="5"/>
      <w:r>
        <w:rPr>
          <w:rFonts w:hint="eastAsia"/>
          <w:lang w:val="en-US" w:eastAsia="zh-CN"/>
        </w:rPr>
        <w:t>70</w:t>
      </w:r>
      <w:r>
        <w:rPr>
          <w:rFonts w:hint="default"/>
          <w:lang w:val="en-US" w:eastAsia="zh-CN"/>
        </w:rPr>
        <w:t xml:space="preserve"> V</w:t>
      </w:r>
      <w:bookmarkStart w:id="6" w:name="specVersion"/>
      <w:r>
        <w:rPr>
          <w:rFonts w:hint="default"/>
          <w:lang w:val="en-US" w:eastAsia="zh-CN"/>
        </w:rPr>
        <w:t>0.</w:t>
      </w:r>
      <w:bookmarkEnd w:id="6"/>
      <w:r>
        <w:rPr>
          <w:rFonts w:hint="eastAsia"/>
          <w:lang w:val="en-US" w:eastAsia="zh-CN"/>
        </w:rPr>
        <w:t>2.</w:t>
      </w:r>
      <w:r>
        <w:rPr>
          <w:rFonts w:hint="default"/>
          <w:lang w:val="en-US" w:eastAsia="zh-CN"/>
        </w:rPr>
        <w:t>1</w:t>
      </w:r>
      <w:r>
        <w:rPr>
          <w:rFonts w:hint="eastAsia"/>
          <w:lang w:val="en-US" w:eastAsia="zh-CN"/>
        </w:rPr>
        <w:t xml:space="preserve">, </w:t>
      </w:r>
      <w:r>
        <w:rPr>
          <w:rFonts w:hint="default"/>
          <w:lang w:val="en-US" w:eastAsia="zh-CN"/>
        </w:rPr>
        <w:t>Study on 6G Use Cases and Service Requirements</w:t>
      </w:r>
      <w:r>
        <w:rPr>
          <w:rFonts w:hint="eastAsia"/>
          <w:lang w:val="en-US" w:eastAsia="zh-CN"/>
        </w:rPr>
        <w:t xml:space="preserve"> R20, SA1, March 2025</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88"/>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8733481"/>
    <w:multiLevelType w:val="singleLevel"/>
    <w:tmpl w:val="68733481"/>
    <w:lvl w:ilvl="0" w:tentative="0">
      <w:start w:val="1"/>
      <w:numFmt w:val="bullet"/>
      <w:lvlText w:val=""/>
      <w:lvlJc w:val="left"/>
      <w:pPr>
        <w:tabs>
          <w:tab w:val="left" w:pos="420"/>
        </w:tabs>
        <w:ind w:left="840" w:hanging="420"/>
      </w:pPr>
      <w:rPr>
        <w:rFonts w:hint="default" w:ascii="Wingdings" w:hAnsi="Wingdings"/>
      </w:rPr>
    </w:lvl>
  </w:abstractNum>
  <w:abstractNum w:abstractNumId="4">
    <w:nsid w:val="695B21D7"/>
    <w:multiLevelType w:val="multilevel"/>
    <w:tmpl w:val="695B21D7"/>
    <w:lvl w:ilvl="0" w:tentative="0">
      <w:start w:val="2"/>
      <w:numFmt w:val="bullet"/>
      <w:lvlText w:val="-"/>
      <w:lvlJc w:val="left"/>
      <w:pPr>
        <w:ind w:left="440" w:hanging="440"/>
      </w:pPr>
      <w:rPr>
        <w:rFonts w:hint="default" w:ascii="Times New Roman" w:hAnsi="Times New Roman"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70146DC0"/>
    <w:multiLevelType w:val="multilevel"/>
    <w:tmpl w:val="70146DC0"/>
    <w:lvl w:ilvl="0" w:tentative="0">
      <w:start w:val="1"/>
      <w:numFmt w:val="bullet"/>
      <w:pStyle w:val="8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EDDCFD"/>
    <w:multiLevelType w:val="singleLevel"/>
    <w:tmpl w:val="7DEDDCFD"/>
    <w:lvl w:ilvl="0" w:tentative="0">
      <w:start w:val="1"/>
      <w:numFmt w:val="bullet"/>
      <w:lvlText w:val=""/>
      <w:lvlJc w:val="left"/>
      <w:pPr>
        <w:ind w:left="420" w:hanging="420"/>
      </w:pPr>
      <w:rPr>
        <w:rFonts w:hint="default" w:ascii="Wingdings" w:hAnsi="Wingdings"/>
      </w:rPr>
    </w:lvl>
  </w:abstractNum>
  <w:num w:numId="1">
    <w:abstractNumId w:val="5"/>
  </w:num>
  <w:num w:numId="2">
    <w:abstractNumId w:val="2"/>
  </w:num>
  <w:num w:numId="3">
    <w:abstractNumId w:val="1"/>
  </w:num>
  <w:num w:numId="4">
    <w:abstractNumId w:val="4"/>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C95396"/>
    <w:rsid w:val="059D0A04"/>
    <w:rsid w:val="079072D0"/>
    <w:rsid w:val="083F3E39"/>
    <w:rsid w:val="08B72D4B"/>
    <w:rsid w:val="0921460E"/>
    <w:rsid w:val="09E35FBD"/>
    <w:rsid w:val="09F80663"/>
    <w:rsid w:val="0AA048AC"/>
    <w:rsid w:val="0AF94C1A"/>
    <w:rsid w:val="0C672BD3"/>
    <w:rsid w:val="0CD26045"/>
    <w:rsid w:val="0E724F12"/>
    <w:rsid w:val="0F4A2AF6"/>
    <w:rsid w:val="0F545BF0"/>
    <w:rsid w:val="0FBB2283"/>
    <w:rsid w:val="0FD61908"/>
    <w:rsid w:val="118229E2"/>
    <w:rsid w:val="12D33B16"/>
    <w:rsid w:val="14C32C19"/>
    <w:rsid w:val="14D45BDA"/>
    <w:rsid w:val="163B5AC6"/>
    <w:rsid w:val="17C62542"/>
    <w:rsid w:val="18680694"/>
    <w:rsid w:val="193920F3"/>
    <w:rsid w:val="19436BAF"/>
    <w:rsid w:val="1A2C5BDB"/>
    <w:rsid w:val="1B5F4A6D"/>
    <w:rsid w:val="1CFF51A9"/>
    <w:rsid w:val="1D9D1C14"/>
    <w:rsid w:val="1DEF3CAD"/>
    <w:rsid w:val="1E0E6FDF"/>
    <w:rsid w:val="1E37416A"/>
    <w:rsid w:val="1E7A730A"/>
    <w:rsid w:val="1F457054"/>
    <w:rsid w:val="1F8B2051"/>
    <w:rsid w:val="1F93589B"/>
    <w:rsid w:val="2044198C"/>
    <w:rsid w:val="206E0E34"/>
    <w:rsid w:val="20762ED5"/>
    <w:rsid w:val="207E4B10"/>
    <w:rsid w:val="20CD4DF2"/>
    <w:rsid w:val="22CB4428"/>
    <w:rsid w:val="230332E7"/>
    <w:rsid w:val="24BA1A4C"/>
    <w:rsid w:val="2573337B"/>
    <w:rsid w:val="258A1B50"/>
    <w:rsid w:val="26781317"/>
    <w:rsid w:val="27B91DCD"/>
    <w:rsid w:val="27DA1B70"/>
    <w:rsid w:val="29B22406"/>
    <w:rsid w:val="2A8932B0"/>
    <w:rsid w:val="2AC56CA8"/>
    <w:rsid w:val="2B6D7ACB"/>
    <w:rsid w:val="2C523826"/>
    <w:rsid w:val="2C7E592F"/>
    <w:rsid w:val="2D8B7035"/>
    <w:rsid w:val="2F3F3D6E"/>
    <w:rsid w:val="3122543A"/>
    <w:rsid w:val="312D0DEF"/>
    <w:rsid w:val="33511F0D"/>
    <w:rsid w:val="335A38EA"/>
    <w:rsid w:val="35AC3967"/>
    <w:rsid w:val="35E368FD"/>
    <w:rsid w:val="3665586F"/>
    <w:rsid w:val="382B160E"/>
    <w:rsid w:val="39C80BDA"/>
    <w:rsid w:val="39FC7F63"/>
    <w:rsid w:val="3B1C15B4"/>
    <w:rsid w:val="3B7522D1"/>
    <w:rsid w:val="3CC94D80"/>
    <w:rsid w:val="3D5F5CEB"/>
    <w:rsid w:val="3DB26C60"/>
    <w:rsid w:val="3E04574F"/>
    <w:rsid w:val="3E902592"/>
    <w:rsid w:val="3EBF38CA"/>
    <w:rsid w:val="3EFA6A59"/>
    <w:rsid w:val="3F102102"/>
    <w:rsid w:val="40ED17D5"/>
    <w:rsid w:val="41133AB4"/>
    <w:rsid w:val="41B23B2A"/>
    <w:rsid w:val="425659E6"/>
    <w:rsid w:val="429B4810"/>
    <w:rsid w:val="454B01DC"/>
    <w:rsid w:val="466F7668"/>
    <w:rsid w:val="49F42EAF"/>
    <w:rsid w:val="4B2F5149"/>
    <w:rsid w:val="4B4177FD"/>
    <w:rsid w:val="4C6946B6"/>
    <w:rsid w:val="4C7401D0"/>
    <w:rsid w:val="4D077EEE"/>
    <w:rsid w:val="4DF523A6"/>
    <w:rsid w:val="4E631DD7"/>
    <w:rsid w:val="4EE12FB5"/>
    <w:rsid w:val="4EEB36F7"/>
    <w:rsid w:val="4FAE5593"/>
    <w:rsid w:val="506A7F16"/>
    <w:rsid w:val="50791A93"/>
    <w:rsid w:val="51C61026"/>
    <w:rsid w:val="53063320"/>
    <w:rsid w:val="545D0C30"/>
    <w:rsid w:val="55A80497"/>
    <w:rsid w:val="573F71C2"/>
    <w:rsid w:val="57F24B59"/>
    <w:rsid w:val="5A713592"/>
    <w:rsid w:val="5AD325FC"/>
    <w:rsid w:val="5C9B2EC8"/>
    <w:rsid w:val="5CBF7B5D"/>
    <w:rsid w:val="5DA36C6E"/>
    <w:rsid w:val="5DEB4069"/>
    <w:rsid w:val="5DF47CB1"/>
    <w:rsid w:val="607F29C9"/>
    <w:rsid w:val="614A0049"/>
    <w:rsid w:val="6253185F"/>
    <w:rsid w:val="633140F4"/>
    <w:rsid w:val="640D40B4"/>
    <w:rsid w:val="642B6952"/>
    <w:rsid w:val="648E266A"/>
    <w:rsid w:val="649B678A"/>
    <w:rsid w:val="64C322D9"/>
    <w:rsid w:val="6BEC00A0"/>
    <w:rsid w:val="6D1F4A0B"/>
    <w:rsid w:val="6E4377B3"/>
    <w:rsid w:val="6E8B01B0"/>
    <w:rsid w:val="6F686D97"/>
    <w:rsid w:val="707B5B04"/>
    <w:rsid w:val="71657AF4"/>
    <w:rsid w:val="7232223C"/>
    <w:rsid w:val="72394C9A"/>
    <w:rsid w:val="74144EAD"/>
    <w:rsid w:val="742B5F4A"/>
    <w:rsid w:val="77097545"/>
    <w:rsid w:val="772A053C"/>
    <w:rsid w:val="77585FE5"/>
    <w:rsid w:val="77C656C3"/>
    <w:rsid w:val="77F178AE"/>
    <w:rsid w:val="7833619E"/>
    <w:rsid w:val="785C0605"/>
    <w:rsid w:val="7905736E"/>
    <w:rsid w:val="790836EE"/>
    <w:rsid w:val="791252B1"/>
    <w:rsid w:val="7A5614FA"/>
    <w:rsid w:val="7AE30252"/>
    <w:rsid w:val="7B617385"/>
    <w:rsid w:val="7C8D5A29"/>
    <w:rsid w:val="7D7C001B"/>
    <w:rsid w:val="7DA237BE"/>
    <w:rsid w:val="7E154BC6"/>
    <w:rsid w:val="7E5D1D5E"/>
    <w:rsid w:val="7F9F281C"/>
    <w:rsid w:val="7FA855FD"/>
    <w:rsid w:val="AFA7C190"/>
    <w:rsid w:val="E719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5"/>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6"/>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link w:val="74"/>
    <w:qFormat/>
    <w:uiPriority w:val="0"/>
    <w:pPr>
      <w:spacing w:after="120"/>
    </w:pPr>
    <w:rPr>
      <w:rFonts w:ascii="Arial" w:hAnsi="Arial" w:eastAsia="MS Mincho" w:cs="Times New Roman"/>
      <w:lang w:val="en-GB" w:eastAsia="en-US" w:bidi="ar-SA"/>
    </w:rPr>
  </w:style>
  <w:style w:type="paragraph" w:styleId="70">
    <w:name w:val="List Paragraph"/>
    <w:basedOn w:val="1"/>
    <w:link w:val="76"/>
    <w:qFormat/>
    <w:uiPriority w:val="99"/>
    <w:pPr>
      <w:ind w:left="720"/>
      <w:contextualSpacing/>
    </w:pPr>
  </w:style>
  <w:style w:type="character" w:customStyle="1" w:styleId="71">
    <w:name w:val="批注框文本 字符"/>
    <w:link w:val="22"/>
    <w:semiHidden/>
    <w:qFormat/>
    <w:uiPriority w:val="0"/>
    <w:rPr>
      <w:rFonts w:ascii="Segoe UI" w:hAnsi="Segoe UI" w:cs="Segoe UI"/>
      <w:sz w:val="18"/>
      <w:szCs w:val="18"/>
      <w:lang w:eastAsia="en-US"/>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lang w:eastAsia="ko-KR"/>
    </w:rPr>
  </w:style>
  <w:style w:type="character" w:customStyle="1" w:styleId="73">
    <w:name w:val="main text Char"/>
    <w:link w:val="72"/>
    <w:qFormat/>
    <w:uiPriority w:val="0"/>
    <w:rPr>
      <w:rFonts w:eastAsia="Malgun Gothic" w:cs="Batang"/>
      <w:lang w:val="en-GB" w:eastAsia="ko-KR"/>
    </w:rPr>
  </w:style>
  <w:style w:type="character" w:customStyle="1" w:styleId="74">
    <w:name w:val="CR Cover Page Zchn"/>
    <w:link w:val="69"/>
    <w:qFormat/>
    <w:uiPriority w:val="0"/>
    <w:rPr>
      <w:rFonts w:ascii="Arial" w:hAnsi="Arial" w:eastAsia="MS Mincho"/>
      <w:lang w:val="en-GB"/>
    </w:rPr>
  </w:style>
  <w:style w:type="paragraph" w:customStyle="1" w:styleId="75">
    <w:name w:val="DocInfo"/>
    <w:basedOn w:val="1"/>
    <w:qFormat/>
    <w:uiPriority w:val="0"/>
    <w:pPr>
      <w:tabs>
        <w:tab w:val="left" w:pos="2160"/>
      </w:tabs>
      <w:spacing w:before="120" w:after="120"/>
    </w:pPr>
    <w:rPr>
      <w:rFonts w:eastAsia="宋体"/>
      <w:sz w:val="28"/>
      <w:szCs w:val="28"/>
    </w:rPr>
  </w:style>
  <w:style w:type="character" w:customStyle="1" w:styleId="76">
    <w:name w:val="列出段落 字符"/>
    <w:link w:val="70"/>
    <w:qFormat/>
    <w:locked/>
    <w:uiPriority w:val="99"/>
    <w:rPr>
      <w:lang w:val="en-GB"/>
    </w:rPr>
  </w:style>
  <w:style w:type="paragraph" w:customStyle="1" w:styleId="77">
    <w:name w:val="Doc-title"/>
    <w:basedOn w:val="1"/>
    <w:next w:val="78"/>
    <w:link w:val="80"/>
    <w:qFormat/>
    <w:uiPriority w:val="0"/>
    <w:pPr>
      <w:spacing w:before="60" w:after="0"/>
      <w:ind w:left="1259" w:hanging="1259"/>
    </w:pPr>
    <w:rPr>
      <w:rFonts w:ascii="Arial" w:hAnsi="Arial" w:eastAsia="MS Mincho"/>
      <w:szCs w:val="24"/>
      <w:lang w:eastAsia="en-GB"/>
    </w:rPr>
  </w:style>
  <w:style w:type="paragraph" w:customStyle="1" w:styleId="78">
    <w:name w:val="Doc-text2"/>
    <w:basedOn w:val="1"/>
    <w:link w:val="79"/>
    <w:qFormat/>
    <w:uiPriority w:val="0"/>
    <w:pPr>
      <w:tabs>
        <w:tab w:val="left" w:pos="1622"/>
      </w:tabs>
      <w:spacing w:after="0"/>
      <w:ind w:left="1622" w:hanging="363"/>
    </w:pPr>
    <w:rPr>
      <w:rFonts w:ascii="Arial" w:hAnsi="Arial" w:eastAsia="MS Mincho"/>
      <w:szCs w:val="24"/>
      <w:lang w:eastAsia="en-GB"/>
    </w:rPr>
  </w:style>
  <w:style w:type="character" w:customStyle="1" w:styleId="79">
    <w:name w:val="Doc-text2 Char"/>
    <w:link w:val="78"/>
    <w:qFormat/>
    <w:uiPriority w:val="0"/>
    <w:rPr>
      <w:rFonts w:ascii="Arial" w:hAnsi="Arial" w:eastAsia="MS Mincho"/>
      <w:szCs w:val="24"/>
      <w:lang w:val="en-GB" w:eastAsia="en-GB"/>
    </w:rPr>
  </w:style>
  <w:style w:type="character" w:customStyle="1" w:styleId="80">
    <w:name w:val="Doc-title Char"/>
    <w:link w:val="77"/>
    <w:qFormat/>
    <w:uiPriority w:val="0"/>
    <w:rPr>
      <w:rFonts w:ascii="Arial" w:hAnsi="Arial" w:eastAsia="MS Mincho"/>
      <w:szCs w:val="24"/>
      <w:lang w:val="en-GB" w:eastAsia="en-GB"/>
    </w:rPr>
  </w:style>
  <w:style w:type="paragraph" w:customStyle="1" w:styleId="81">
    <w:name w:val="Agreement"/>
    <w:basedOn w:val="1"/>
    <w:next w:val="78"/>
    <w:qFormat/>
    <w:uiPriority w:val="0"/>
    <w:pPr>
      <w:numPr>
        <w:ilvl w:val="0"/>
        <w:numId w:val="1"/>
      </w:numPr>
      <w:spacing w:before="60" w:after="0"/>
    </w:pPr>
    <w:rPr>
      <w:rFonts w:ascii="Arial" w:hAnsi="Arial" w:eastAsia="MS Mincho"/>
      <w:b/>
      <w:szCs w:val="24"/>
      <w:lang w:eastAsia="en-GB"/>
    </w:rPr>
  </w:style>
  <w:style w:type="paragraph" w:customStyle="1" w:styleId="82">
    <w:name w:val="EmailDiscussion"/>
    <w:basedOn w:val="1"/>
    <w:next w:val="83"/>
    <w:link w:val="84"/>
    <w:qFormat/>
    <w:uiPriority w:val="0"/>
    <w:pPr>
      <w:numPr>
        <w:ilvl w:val="0"/>
        <w:numId w:val="2"/>
      </w:numPr>
      <w:spacing w:before="40" w:after="0"/>
    </w:pPr>
    <w:rPr>
      <w:rFonts w:ascii="Arial" w:hAnsi="Arial" w:eastAsia="MS Mincho"/>
      <w:b/>
      <w:szCs w:val="24"/>
      <w:lang w:eastAsia="en-GB"/>
    </w:rPr>
  </w:style>
  <w:style w:type="paragraph" w:customStyle="1" w:styleId="83">
    <w:name w:val="EmailDiscussion2"/>
    <w:basedOn w:val="78"/>
    <w:qFormat/>
    <w:uiPriority w:val="0"/>
  </w:style>
  <w:style w:type="character" w:customStyle="1" w:styleId="84">
    <w:name w:val="EmailDiscussion Char"/>
    <w:link w:val="82"/>
    <w:qFormat/>
    <w:uiPriority w:val="0"/>
    <w:rPr>
      <w:rFonts w:ascii="Arial" w:hAnsi="Arial" w:eastAsia="MS Mincho"/>
      <w:b/>
      <w:szCs w:val="24"/>
      <w:lang w:val="en-GB" w:eastAsia="en-GB"/>
    </w:rPr>
  </w:style>
  <w:style w:type="character" w:customStyle="1" w:styleId="85">
    <w:name w:val="批注文字 字符"/>
    <w:basedOn w:val="30"/>
    <w:link w:val="19"/>
    <w:qFormat/>
    <w:uiPriority w:val="0"/>
    <w:rPr>
      <w:lang w:val="en-GB" w:eastAsia="en-US"/>
    </w:rPr>
  </w:style>
  <w:style w:type="character" w:customStyle="1" w:styleId="86">
    <w:name w:val="批注主题 字符"/>
    <w:basedOn w:val="85"/>
    <w:link w:val="27"/>
    <w:semiHidden/>
    <w:qFormat/>
    <w:uiPriority w:val="0"/>
    <w:rPr>
      <w:b/>
      <w:bCs/>
      <w:lang w:val="en-GB" w:eastAsia="en-US"/>
    </w:rPr>
  </w:style>
  <w:style w:type="paragraph" w:customStyle="1" w:styleId="87">
    <w:name w:val="3GPP_Header"/>
    <w:basedOn w:val="1"/>
    <w:qFormat/>
    <w:uiPriority w:val="0"/>
    <w:pPr>
      <w:tabs>
        <w:tab w:val="left" w:pos="1701"/>
        <w:tab w:val="right" w:pos="9639"/>
      </w:tabs>
      <w:spacing w:after="240"/>
    </w:pPr>
    <w:rPr>
      <w:b/>
      <w:sz w:val="24"/>
    </w:rPr>
  </w:style>
  <w:style w:type="paragraph" w:customStyle="1" w:styleId="88">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yjyunnicom\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StyleName="APA" SelectedStyle="\APASixthEditionOfficeOnline.xsl" Version="6"/>
</file>

<file path=customXml/item3.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C969A-B179-44C9-9E61-F8CF0A81168B}">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2</Pages>
  <Words>748</Words>
  <Characters>4350</Characters>
  <Lines>95</Lines>
  <Paragraphs>26</Paragraphs>
  <TotalTime>4</TotalTime>
  <ScaleCrop>false</ScaleCrop>
  <LinksUpToDate>false</LinksUpToDate>
  <CharactersWithSpaces>5097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2022-08-05T21:40:00Z</dcterms:created>
  <dc:creator>Nokia</dc:creator>
  <cp:lastModifiedBy>unicom</cp:lastModifiedBy>
  <dcterms:modified xsi:type="dcterms:W3CDTF">2025-06-02T17:54:52Z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655074BAF9CF405896A2D39073BD080B</vt:lpwstr>
  </property>
  <property fmtid="{D5CDD505-2E9C-101B-9397-08002B2CF9AE}" pid="10" name="KSOTemplateDocerSaveRecord">
    <vt:lpwstr>eyJoZGlkIjoiZDE3NTEyYzUyZWFmNjJhYzE2ODgzNzAyMTJlZWJiNTUiLCJ1c2VySWQiOiIzODg2NDI5NzAifQ==</vt:lpwstr>
  </property>
</Properties>
</file>