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170D" w14:textId="77777777" w:rsidR="00DB797E" w:rsidRPr="00984FFC" w:rsidRDefault="00DB797E" w:rsidP="00DB797E">
      <w:pPr>
        <w:tabs>
          <w:tab w:val="center" w:pos="4536"/>
          <w:tab w:val="right" w:pos="7938"/>
          <w:tab w:val="right" w:pos="9639"/>
        </w:tabs>
        <w:ind w:right="2"/>
        <w:rPr>
          <w:rFonts w:eastAsia="Calibri" w:cs="Arial"/>
          <w:b/>
          <w:bCs/>
          <w:sz w:val="24"/>
          <w:szCs w:val="21"/>
        </w:rPr>
      </w:pPr>
      <w:bookmarkStart w:id="0" w:name="_Hlk145670493"/>
      <w:r w:rsidRPr="00984FFC">
        <w:rPr>
          <w:rFonts w:eastAsia="Calibri" w:cs="Arial"/>
          <w:b/>
          <w:bCs/>
          <w:sz w:val="24"/>
          <w:szCs w:val="21"/>
        </w:rPr>
        <w:t>3GPP TSG RAN Meeting #108 Meeting</w:t>
      </w:r>
      <w:r w:rsidRPr="00984FFC">
        <w:rPr>
          <w:rFonts w:eastAsia="Calibri" w:cs="Arial"/>
          <w:b/>
          <w:bCs/>
          <w:sz w:val="24"/>
          <w:szCs w:val="21"/>
        </w:rPr>
        <w:tab/>
      </w:r>
      <w:r w:rsidRPr="00984FFC">
        <w:rPr>
          <w:rFonts w:eastAsia="Calibri" w:cs="Arial"/>
          <w:b/>
          <w:bCs/>
          <w:sz w:val="24"/>
          <w:szCs w:val="21"/>
        </w:rPr>
        <w:tab/>
      </w:r>
      <w:r w:rsidRPr="00984FFC">
        <w:rPr>
          <w:rFonts w:eastAsia="Calibri" w:cs="Arial"/>
          <w:b/>
          <w:bCs/>
          <w:sz w:val="24"/>
          <w:szCs w:val="21"/>
        </w:rPr>
        <w:tab/>
      </w:r>
      <w:r w:rsidRPr="00514A0A">
        <w:rPr>
          <w:rFonts w:eastAsia="Calibri" w:cs="Arial"/>
          <w:b/>
          <w:bCs/>
          <w:sz w:val="24"/>
          <w:szCs w:val="21"/>
        </w:rPr>
        <w:t>RP-251181</w:t>
      </w:r>
    </w:p>
    <w:bookmarkEnd w:id="0"/>
    <w:p w14:paraId="546803E5" w14:textId="77777777" w:rsidR="00DB797E" w:rsidRPr="00984FFC" w:rsidRDefault="00DB797E" w:rsidP="00DB797E">
      <w:pPr>
        <w:pStyle w:val="3GPPHeader"/>
      </w:pPr>
      <w:r w:rsidRPr="00984FFC">
        <w:rPr>
          <w:rFonts w:eastAsia="MS Mincho" w:cs="Times New Roman"/>
          <w:bCs/>
          <w:szCs w:val="21"/>
          <w:lang w:eastAsia="ja-JP"/>
        </w:rPr>
        <w:t>Prague, Czech Republic, June 9-13, 2025</w:t>
      </w:r>
      <w:r w:rsidRPr="00984FFC">
        <w:rPr>
          <w:rFonts w:eastAsia="MS Mincho" w:cs="Times New Roman"/>
          <w:bCs/>
          <w:szCs w:val="21"/>
          <w:lang w:eastAsia="ja-JP"/>
        </w:rPr>
        <w:tab/>
      </w:r>
      <w:r w:rsidRPr="00984FFC">
        <w:rPr>
          <w:rFonts w:eastAsia="MS Mincho" w:cs="Times New Roman"/>
          <w:bCs/>
          <w:szCs w:val="21"/>
          <w:lang w:eastAsia="ja-JP"/>
        </w:rPr>
        <w:br/>
      </w:r>
    </w:p>
    <w:p w14:paraId="356A4E8C" w14:textId="77777777" w:rsidR="00DB797E" w:rsidRPr="00984FFC" w:rsidRDefault="00DB797E" w:rsidP="00DB797E">
      <w:pPr>
        <w:pStyle w:val="3GPPHeader"/>
        <w:tabs>
          <w:tab w:val="clear" w:pos="9639"/>
        </w:tabs>
        <w:rPr>
          <w:sz w:val="22"/>
        </w:rPr>
      </w:pPr>
      <w:r w:rsidRPr="00984FFC">
        <w:rPr>
          <w:sz w:val="22"/>
        </w:rPr>
        <w:t>Agenda Item:</w:t>
      </w:r>
      <w:r w:rsidRPr="00984FFC">
        <w:rPr>
          <w:sz w:val="22"/>
        </w:rPr>
        <w:tab/>
      </w:r>
      <w:r w:rsidRPr="00ED7059">
        <w:rPr>
          <w:sz w:val="22"/>
        </w:rPr>
        <w:t>1</w:t>
      </w:r>
      <w:r>
        <w:rPr>
          <w:sz w:val="22"/>
        </w:rPr>
        <w:t>6</w:t>
      </w:r>
      <w:r w:rsidRPr="00ED7059">
        <w:rPr>
          <w:sz w:val="22"/>
        </w:rPr>
        <w:t>.</w:t>
      </w:r>
      <w:r>
        <w:rPr>
          <w:sz w:val="22"/>
        </w:rPr>
        <w:t>1</w:t>
      </w:r>
      <w:r w:rsidRPr="00ED7059">
        <w:rPr>
          <w:sz w:val="22"/>
        </w:rPr>
        <w:tab/>
      </w:r>
      <w:r w:rsidRPr="00D62194">
        <w:rPr>
          <w:sz w:val="22"/>
        </w:rPr>
        <w:t>Study on 6G Scenarios and Requirements</w:t>
      </w:r>
    </w:p>
    <w:p w14:paraId="4A541472" w14:textId="4CC202C4" w:rsidR="00DB797E" w:rsidRPr="00984FFC" w:rsidRDefault="00DB797E" w:rsidP="00DB797E">
      <w:pPr>
        <w:pStyle w:val="3GPPHeader"/>
        <w:rPr>
          <w:sz w:val="22"/>
        </w:rPr>
      </w:pPr>
      <w:r w:rsidRPr="00984FFC">
        <w:rPr>
          <w:sz w:val="22"/>
        </w:rPr>
        <w:t>Source:</w:t>
      </w:r>
      <w:r w:rsidRPr="00984FFC">
        <w:rPr>
          <w:sz w:val="22"/>
        </w:rPr>
        <w:tab/>
        <w:t>Airbus</w:t>
      </w:r>
      <w:r w:rsidR="00C66BA4">
        <w:rPr>
          <w:sz w:val="22"/>
        </w:rPr>
        <w:t>, ESA</w:t>
      </w:r>
    </w:p>
    <w:p w14:paraId="16A12D1D" w14:textId="77777777" w:rsidR="00DB797E" w:rsidRPr="00984FFC" w:rsidRDefault="00DB797E" w:rsidP="00DB797E">
      <w:pPr>
        <w:pStyle w:val="3GPPHeader"/>
        <w:rPr>
          <w:sz w:val="22"/>
        </w:rPr>
      </w:pPr>
      <w:r w:rsidRPr="00984FFC">
        <w:rPr>
          <w:sz w:val="22"/>
        </w:rPr>
        <w:t>Title:</w:t>
      </w:r>
      <w:r w:rsidRPr="00984FFC">
        <w:rPr>
          <w:sz w:val="22"/>
        </w:rPr>
        <w:tab/>
      </w:r>
      <w:r>
        <w:rPr>
          <w:sz w:val="22"/>
        </w:rPr>
        <w:t xml:space="preserve">Ubiquitous Positioning </w:t>
      </w:r>
      <w:r w:rsidRPr="00B6088B">
        <w:rPr>
          <w:sz w:val="22"/>
        </w:rPr>
        <w:t>for IMT-2030 TPRs</w:t>
      </w:r>
      <w:r w:rsidRPr="00984FFC">
        <w:rPr>
          <w:sz w:val="22"/>
        </w:rPr>
        <w:t> </w:t>
      </w:r>
    </w:p>
    <w:p w14:paraId="404C60E4" w14:textId="77777777" w:rsidR="00DB797E" w:rsidRPr="00984FFC" w:rsidRDefault="00DB797E" w:rsidP="00DB797E">
      <w:pPr>
        <w:pStyle w:val="3GPPHeader"/>
        <w:rPr>
          <w:sz w:val="22"/>
        </w:rPr>
      </w:pPr>
      <w:r w:rsidRPr="00984FFC">
        <w:rPr>
          <w:sz w:val="22"/>
        </w:rPr>
        <w:t>Document for:</w:t>
      </w:r>
      <w:r w:rsidRPr="00984FFC">
        <w:rPr>
          <w:sz w:val="22"/>
        </w:rPr>
        <w:tab/>
        <w:t>Discussion</w:t>
      </w:r>
      <w:r w:rsidRPr="00984FFC">
        <w:rPr>
          <w:sz w:val="22"/>
        </w:rPr>
        <w:tab/>
      </w:r>
      <w:r w:rsidRPr="00984FFC">
        <w:rPr>
          <w:sz w:val="22"/>
        </w:rPr>
        <w:br/>
      </w:r>
    </w:p>
    <w:p w14:paraId="4D2DDCE0" w14:textId="77777777" w:rsidR="00DB797E" w:rsidRPr="00984FFC" w:rsidRDefault="00DB797E" w:rsidP="00DB797E">
      <w:pPr>
        <w:pStyle w:val="Heading1"/>
        <w:rPr>
          <w:lang w:val="en-US"/>
        </w:rPr>
      </w:pPr>
      <w:r w:rsidRPr="00984FFC">
        <w:rPr>
          <w:lang w:val="en-US"/>
        </w:rPr>
        <w:t>1</w:t>
      </w:r>
      <w:r w:rsidRPr="00984FFC">
        <w:rPr>
          <w:lang w:val="en-US"/>
        </w:rPr>
        <w:tab/>
        <w:t>Introduction</w:t>
      </w:r>
    </w:p>
    <w:p w14:paraId="737F533D" w14:textId="5E79B230" w:rsidR="00DB797E" w:rsidRPr="00984FFC" w:rsidRDefault="00DB797E" w:rsidP="00DB797E">
      <w:pPr>
        <w:pStyle w:val="BodyText"/>
      </w:pPr>
      <w:r w:rsidRPr="00984FFC">
        <w:t xml:space="preserve">This document discusses </w:t>
      </w:r>
      <w:r>
        <w:t>the ubiquitous positioning capability</w:t>
      </w:r>
      <w:r w:rsidRPr="00984FFC">
        <w:t xml:space="preserve"> </w:t>
      </w:r>
      <w:r>
        <w:t xml:space="preserve">as part of </w:t>
      </w:r>
      <w:r w:rsidRPr="00E75D24">
        <w:rPr>
          <w:rFonts w:eastAsia="DengXian"/>
        </w:rPr>
        <w:t>International Mobile Telecommunications (IMT) for 2030 and beyond (IMT-2030)</w:t>
      </w:r>
      <w:r>
        <w:rPr>
          <w:rFonts w:eastAsia="DengXian"/>
        </w:rPr>
        <w:t xml:space="preserve"> </w:t>
      </w:r>
      <w:r w:rsidRPr="009F53B5">
        <w:t>technical performance requirements (TPR</w:t>
      </w:r>
      <w:r>
        <w:t>s</w:t>
      </w:r>
      <w:r w:rsidRPr="009F53B5">
        <w:t>)</w:t>
      </w:r>
      <w:r>
        <w:t xml:space="preserve">, by considering </w:t>
      </w:r>
      <w:r w:rsidR="007711BA">
        <w:t>positioning also applicable to the U</w:t>
      </w:r>
      <w:r>
        <w:t xml:space="preserve">biquitous </w:t>
      </w:r>
      <w:r w:rsidR="007711BA">
        <w:t>C</w:t>
      </w:r>
      <w:r>
        <w:t>onnectivity usage scenario</w:t>
      </w:r>
      <w:r w:rsidRPr="00984FFC">
        <w:t>.</w:t>
      </w:r>
    </w:p>
    <w:p w14:paraId="76A95181" w14:textId="77777777" w:rsidR="00DB797E" w:rsidRPr="00984FFC" w:rsidRDefault="00DB797E" w:rsidP="00DB797E">
      <w:pPr>
        <w:pStyle w:val="Heading1"/>
        <w:rPr>
          <w:lang w:val="en-US"/>
        </w:rPr>
      </w:pPr>
      <w:r w:rsidRPr="00984FFC">
        <w:rPr>
          <w:lang w:val="en-US"/>
        </w:rPr>
        <w:t>2</w:t>
      </w:r>
      <w:r w:rsidRPr="00984FFC">
        <w:rPr>
          <w:lang w:val="en-US"/>
        </w:rPr>
        <w:tab/>
        <w:t>Background</w:t>
      </w:r>
    </w:p>
    <w:p w14:paraId="58A8B5ED" w14:textId="1638F503" w:rsidR="00DB797E" w:rsidRDefault="00DB797E" w:rsidP="00DB797E">
      <w:pPr>
        <w:jc w:val="both"/>
        <w:rPr>
          <w:rFonts w:eastAsia="DengXian"/>
        </w:rPr>
      </w:pPr>
      <w:r>
        <w:rPr>
          <w:lang w:eastAsia="zh-CN"/>
        </w:rPr>
        <w:t xml:space="preserve">The </w:t>
      </w:r>
      <w:r>
        <w:t xml:space="preserve">ITU-R </w:t>
      </w:r>
      <w:r>
        <w:rPr>
          <w:lang w:eastAsia="zh-CN"/>
        </w:rPr>
        <w:t xml:space="preserve">recommendation </w:t>
      </w:r>
      <w:hyperlink r:id="rId7" w:history="1">
        <w:r w:rsidRPr="001105DD">
          <w:rPr>
            <w:rStyle w:val="Hyperlink"/>
            <w:lang w:eastAsia="zh-CN"/>
          </w:rPr>
          <w:t>ITU-R M.2160</w:t>
        </w:r>
      </w:hyperlink>
      <w:r>
        <w:rPr>
          <w:rFonts w:eastAsia="DengXian"/>
        </w:rPr>
        <w:t xml:space="preserve">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_Ref199316893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[1]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 describes the u</w:t>
      </w:r>
      <w:r w:rsidRPr="00E75D24">
        <w:rPr>
          <w:rFonts w:eastAsia="DengXian"/>
        </w:rPr>
        <w:t xml:space="preserve">sage </w:t>
      </w:r>
      <w:r>
        <w:rPr>
          <w:rFonts w:eastAsia="DengXian"/>
        </w:rPr>
        <w:t>s</w:t>
      </w:r>
      <w:r w:rsidRPr="00E75D24">
        <w:rPr>
          <w:rFonts w:eastAsia="DengXian"/>
        </w:rPr>
        <w:t xml:space="preserve">cenarios and </w:t>
      </w:r>
      <w:r>
        <w:rPr>
          <w:rFonts w:eastAsia="DengXian"/>
        </w:rPr>
        <w:t>c</w:t>
      </w:r>
      <w:r w:rsidRPr="00E75D24">
        <w:rPr>
          <w:rFonts w:eastAsia="DengXian"/>
        </w:rPr>
        <w:t>apabilities</w:t>
      </w:r>
      <w:r>
        <w:rPr>
          <w:rFonts w:eastAsia="DengXian"/>
        </w:rPr>
        <w:t xml:space="preserve"> of IMT-2030, including the positioning capability with a potential target of the positioning accuracy around 1-10cm. Based on this recommendation, </w:t>
      </w:r>
      <w:r>
        <w:rPr>
          <w:lang w:eastAsia="zh-CN"/>
        </w:rPr>
        <w:t xml:space="preserve">ITU-R Working Party 5D (WP 5D) is developing a </w:t>
      </w:r>
      <w:r>
        <w:rPr>
          <w:rFonts w:eastAsia="DengXian"/>
        </w:rPr>
        <w:t xml:space="preserve">new report on the minimum TPRs, and requested input in RAN#106 LS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_Ref199317785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[2]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. </w:t>
      </w:r>
    </w:p>
    <w:p w14:paraId="5B582CDF" w14:textId="7B218DE2" w:rsidR="00DB797E" w:rsidRDefault="00DB797E" w:rsidP="00DB797E">
      <w:pPr>
        <w:jc w:val="both"/>
        <w:rPr>
          <w:rFonts w:eastAsia="DengXian"/>
        </w:rPr>
      </w:pPr>
      <w:r>
        <w:rPr>
          <w:rFonts w:eastAsia="DengXian"/>
        </w:rPr>
        <w:t xml:space="preserve">The candidate set of TPRs were further discussed in RAN#107 as summarized in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_Ref199318543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[3]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 with the following outcomes related to the positioning capability: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DB797E" w14:paraId="720DE685" w14:textId="77777777" w:rsidTr="001138A5">
        <w:tc>
          <w:tcPr>
            <w:tcW w:w="9742" w:type="dxa"/>
          </w:tcPr>
          <w:p w14:paraId="60BE56CE" w14:textId="77777777" w:rsidR="00DB797E" w:rsidRPr="00AB6BD3" w:rsidRDefault="00DB797E" w:rsidP="00DB797E">
            <w:pPr>
              <w:pStyle w:val="ListParagraph"/>
              <w:numPr>
                <w:ilvl w:val="1"/>
                <w:numId w:val="7"/>
              </w:numPr>
              <w:jc w:val="both"/>
              <w:rPr>
                <w:rFonts w:eastAsia="DengXian"/>
                <w:b/>
                <w:bCs/>
              </w:rPr>
            </w:pPr>
            <w:bookmarkStart w:id="1" w:name="OLE_LINK33"/>
            <w:r w:rsidRPr="00AB6BD3">
              <w:rPr>
                <w:rFonts w:eastAsia="DengXian"/>
                <w:b/>
                <w:bCs/>
              </w:rPr>
              <w:t>Positioning</w:t>
            </w:r>
          </w:p>
          <w:bookmarkEnd w:id="1"/>
          <w:p w14:paraId="0114F6FB" w14:textId="77777777" w:rsidR="00DB797E" w:rsidRDefault="00DB797E" w:rsidP="001138A5">
            <w:pPr>
              <w:jc w:val="both"/>
              <w:rPr>
                <w:rFonts w:eastAsia="DengXian"/>
              </w:rPr>
            </w:pPr>
            <w:r w:rsidRPr="00AB6BD3">
              <w:rPr>
                <w:rFonts w:eastAsia="DengXian"/>
              </w:rPr>
              <w:t xml:space="preserve">16 contributions support defining positioning as a quantitative TPR, about 7 contributions support </w:t>
            </w:r>
            <w:r w:rsidRPr="00AB6BD3">
              <w:rPr>
                <w:rFonts w:eastAsia="DengXian" w:hint="eastAsia"/>
              </w:rPr>
              <w:t xml:space="preserve">defining </w:t>
            </w:r>
            <w:r w:rsidRPr="00AB6BD3">
              <w:rPr>
                <w:rFonts w:eastAsia="DengXian"/>
              </w:rPr>
              <w:t>both vertical and horizontal accuracy, about 6 contributions support to define positioning accuracy for both indoor and outdoor scenarios</w:t>
            </w:r>
          </w:p>
          <w:p w14:paraId="1C539C01" w14:textId="77777777" w:rsidR="00DB797E" w:rsidRPr="00AB6BD3" w:rsidRDefault="00DB797E" w:rsidP="001138A5">
            <w:pPr>
              <w:jc w:val="both"/>
              <w:rPr>
                <w:rFonts w:eastAsia="DengXian"/>
              </w:rPr>
            </w:pPr>
          </w:p>
          <w:p w14:paraId="4E949B45" w14:textId="77777777" w:rsidR="00DB797E" w:rsidRPr="00AB6BD3" w:rsidRDefault="00DB797E" w:rsidP="001138A5">
            <w:pPr>
              <w:jc w:val="both"/>
              <w:rPr>
                <w:rFonts w:eastAsia="DengXian"/>
                <w:b/>
                <w:bCs/>
              </w:rPr>
            </w:pPr>
            <w:r w:rsidRPr="00AB6BD3">
              <w:rPr>
                <w:rFonts w:eastAsia="DengXian" w:hint="eastAsia"/>
                <w:b/>
                <w:bCs/>
                <w:highlight w:val="green"/>
              </w:rPr>
              <w:t xml:space="preserve">Moderator </w:t>
            </w:r>
            <w:r w:rsidRPr="00AB6BD3">
              <w:rPr>
                <w:rFonts w:eastAsia="DengXian"/>
                <w:b/>
                <w:bCs/>
                <w:highlight w:val="green"/>
              </w:rPr>
              <w:t>Proposal 1</w:t>
            </w:r>
            <w:r w:rsidRPr="00AB6BD3">
              <w:rPr>
                <w:rFonts w:eastAsia="DengXian" w:hint="eastAsia"/>
                <w:b/>
                <w:bCs/>
                <w:highlight w:val="green"/>
              </w:rPr>
              <w:t>-1</w:t>
            </w:r>
            <w:r w:rsidRPr="00AB6BD3">
              <w:rPr>
                <w:rFonts w:eastAsia="DengXian"/>
                <w:b/>
                <w:bCs/>
                <w:highlight w:val="green"/>
              </w:rPr>
              <w:t>: Define positioning accuracy</w:t>
            </w:r>
            <w:r w:rsidRPr="00AB6BD3">
              <w:rPr>
                <w:rFonts w:eastAsia="DengXian" w:hint="eastAsia"/>
                <w:b/>
                <w:bCs/>
                <w:highlight w:val="green"/>
              </w:rPr>
              <w:t xml:space="preserve"> </w:t>
            </w:r>
            <w:r w:rsidRPr="00AB6BD3">
              <w:rPr>
                <w:rFonts w:eastAsia="DengXian"/>
                <w:b/>
                <w:bCs/>
                <w:highlight w:val="green"/>
              </w:rPr>
              <w:t xml:space="preserve">as a </w:t>
            </w:r>
            <w:bookmarkStart w:id="2" w:name="OLE_LINK34"/>
            <w:r w:rsidRPr="00AB6BD3">
              <w:rPr>
                <w:rFonts w:eastAsia="DengXian"/>
                <w:b/>
                <w:bCs/>
                <w:highlight w:val="green"/>
              </w:rPr>
              <w:t xml:space="preserve">quantitative </w:t>
            </w:r>
            <w:bookmarkEnd w:id="2"/>
            <w:r w:rsidRPr="00AB6BD3">
              <w:rPr>
                <w:rFonts w:eastAsia="DengXian"/>
                <w:b/>
                <w:bCs/>
                <w:highlight w:val="green"/>
              </w:rPr>
              <w:t>TPR</w:t>
            </w:r>
            <w:r w:rsidRPr="00AB6BD3">
              <w:rPr>
                <w:rFonts w:eastAsia="DengXian"/>
                <w:b/>
                <w:bCs/>
              </w:rPr>
              <w:t xml:space="preserve"> </w:t>
            </w:r>
          </w:p>
          <w:p w14:paraId="3615814B" w14:textId="77777777" w:rsidR="00DB797E" w:rsidRDefault="00DB797E" w:rsidP="001138A5">
            <w:pPr>
              <w:jc w:val="both"/>
              <w:rPr>
                <w:rFonts w:eastAsia="DengXian"/>
              </w:rPr>
            </w:pPr>
          </w:p>
        </w:tc>
      </w:tr>
    </w:tbl>
    <w:p w14:paraId="1A517913" w14:textId="326B9879" w:rsidR="00DB797E" w:rsidRDefault="00DB797E" w:rsidP="00DB797E">
      <w:pPr>
        <w:jc w:val="both"/>
        <w:rPr>
          <w:rFonts w:eastAsia="DengXian"/>
        </w:rPr>
      </w:pPr>
      <w:r>
        <w:rPr>
          <w:rFonts w:eastAsia="DengXian"/>
        </w:rPr>
        <w:br/>
        <w:t xml:space="preserve">These RAN#107 contributions (summarized in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_Ref199318543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[3]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) discuss the positioning capability mainly based on the work of 3GPP Release 16 </w:t>
      </w:r>
      <w:r w:rsidRPr="00E51E73">
        <w:rPr>
          <w:rFonts w:eastAsia="DengXian"/>
        </w:rPr>
        <w:t>TR 38.855</w:t>
      </w:r>
      <w:r>
        <w:rPr>
          <w:rFonts w:eastAsia="DengXian"/>
        </w:rPr>
        <w:t xml:space="preserve">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_Ref199357351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[4]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 and Release 17 </w:t>
      </w:r>
      <w:r w:rsidRPr="00E51E73">
        <w:rPr>
          <w:rFonts w:eastAsia="DengXian"/>
        </w:rPr>
        <w:t>TR 38.857</w:t>
      </w:r>
      <w:r>
        <w:rPr>
          <w:rFonts w:eastAsia="DengXian"/>
        </w:rPr>
        <w:t xml:space="preserve">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_Ref199335871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[5]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, as well as the positioning service levels specified in TS </w:t>
      </w:r>
      <w:r>
        <w:rPr>
          <w:rFonts w:cs="Arial"/>
        </w:rPr>
        <w:t xml:space="preserve">22.261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_Ref199335927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[6]</w:t>
      </w:r>
      <w:r>
        <w:rPr>
          <w:rFonts w:cs="Arial"/>
        </w:rPr>
        <w:fldChar w:fldCharType="end"/>
      </w:r>
      <w:r>
        <w:rPr>
          <w:rFonts w:eastAsia="DengXian"/>
        </w:rPr>
        <w:t xml:space="preserve">. According to some of these contributions, the positioning capability is applicable to the following usage scenarios: </w:t>
      </w:r>
      <w:r w:rsidRPr="00AB78D2">
        <w:rPr>
          <w:rFonts w:eastAsia="DengXian"/>
        </w:rPr>
        <w:t>Immersive Communication</w:t>
      </w:r>
      <w:r>
        <w:rPr>
          <w:rFonts w:eastAsia="DengXian"/>
        </w:rPr>
        <w:t xml:space="preserve">; </w:t>
      </w:r>
      <w:r w:rsidRPr="00AB78D2">
        <w:rPr>
          <w:rFonts w:eastAsia="DengXian"/>
        </w:rPr>
        <w:t>Hyper-Reliable and Low Latency Communication</w:t>
      </w:r>
      <w:r>
        <w:rPr>
          <w:rFonts w:eastAsia="DengXian"/>
        </w:rPr>
        <w:t>;</w:t>
      </w:r>
      <w:r w:rsidRPr="00AB78D2">
        <w:rPr>
          <w:rFonts w:eastAsia="DengXian"/>
        </w:rPr>
        <w:t xml:space="preserve"> and/or Integrated Sensing and Communication</w:t>
      </w:r>
      <w:r>
        <w:rPr>
          <w:rFonts w:eastAsia="DengXian"/>
        </w:rPr>
        <w:t xml:space="preserve">. Nonetheless, the positioning capability can also be used in Ubiquitous Connectivity scenarios. As it is envisaged in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_Ref199338451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[7]</w:t>
      </w:r>
      <w:r>
        <w:rPr>
          <w:rFonts w:eastAsia="DengXian"/>
        </w:rPr>
        <w:fldChar w:fldCharType="end"/>
      </w:r>
      <w:r>
        <w:rPr>
          <w:rFonts w:eastAsia="DengXian"/>
        </w:rPr>
        <w:t>, non-terrestrial networks (NTN) can extend the coverage of the positioning capability beyond terrestrial networks</w:t>
      </w:r>
      <w:r w:rsidR="007711BA">
        <w:rPr>
          <w:rFonts w:eastAsia="DengXian"/>
        </w:rPr>
        <w:t xml:space="preserve"> (TN)</w:t>
      </w:r>
      <w:r>
        <w:rPr>
          <w:rFonts w:eastAsia="DengXian"/>
        </w:rPr>
        <w:t xml:space="preserve">. Indeed, there are relevant Ubiquitous Connectivity use cases based on the positioning capability, as reported in </w:t>
      </w:r>
      <w:bookmarkStart w:id="3" w:name="_Hlk199336777"/>
      <w:r>
        <w:rPr>
          <w:rFonts w:eastAsia="DengXian"/>
        </w:rPr>
        <w:t xml:space="preserve">TR 22.870 </w:t>
      </w:r>
      <w:bookmarkEnd w:id="3"/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_Ref199338633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[8]</w:t>
      </w:r>
      <w:r>
        <w:rPr>
          <w:rFonts w:eastAsia="DengXian"/>
        </w:rPr>
        <w:fldChar w:fldCharType="end"/>
      </w:r>
      <w:r>
        <w:rPr>
          <w:rFonts w:eastAsia="DengXian"/>
        </w:rPr>
        <w:t>.</w:t>
      </w:r>
    </w:p>
    <w:p w14:paraId="429E9203" w14:textId="77777777" w:rsidR="00DB797E" w:rsidRPr="007921D2" w:rsidRDefault="00DB797E" w:rsidP="00DB797E">
      <w:pPr>
        <w:jc w:val="both"/>
      </w:pPr>
      <w:r w:rsidRPr="00984FFC">
        <w:rPr>
          <w:b/>
          <w:bCs/>
        </w:rPr>
        <w:t xml:space="preserve">Observation 1: </w:t>
      </w:r>
      <w:r>
        <w:rPr>
          <w:b/>
          <w:bCs/>
        </w:rPr>
        <w:t>Positioning can also be used in Ubiquitous Connectivity scenarios</w:t>
      </w:r>
      <w:r w:rsidRPr="00984FFC">
        <w:rPr>
          <w:b/>
          <w:bCs/>
        </w:rPr>
        <w:t>. </w:t>
      </w:r>
    </w:p>
    <w:p w14:paraId="58545B33" w14:textId="77777777" w:rsidR="00DB797E" w:rsidRPr="00984FFC" w:rsidRDefault="00DB797E" w:rsidP="00DB797E">
      <w:pPr>
        <w:pStyle w:val="Heading1"/>
        <w:rPr>
          <w:lang w:val="en-US"/>
        </w:rPr>
      </w:pPr>
      <w:r w:rsidRPr="00984FFC">
        <w:rPr>
          <w:lang w:val="en-US"/>
        </w:rPr>
        <w:t>3</w:t>
      </w:r>
      <w:r w:rsidRPr="00984FFC">
        <w:rPr>
          <w:lang w:val="en-US"/>
        </w:rPr>
        <w:tab/>
      </w:r>
      <w:r>
        <w:rPr>
          <w:lang w:val="en-US"/>
        </w:rPr>
        <w:t>Ubiquitous Positioning</w:t>
      </w:r>
    </w:p>
    <w:p w14:paraId="03018210" w14:textId="72608ADD" w:rsidR="00E4686F" w:rsidRDefault="00C43CFA" w:rsidP="00DB797E">
      <w:pPr>
        <w:jc w:val="both"/>
        <w:rPr>
          <w:rFonts w:eastAsia="Calibri"/>
        </w:rPr>
      </w:pPr>
      <w:r>
        <w:t xml:space="preserve">The integration of TN and NTN is a key enabler </w:t>
      </w:r>
      <w:r w:rsidR="00E4686F">
        <w:t xml:space="preserve">of </w:t>
      </w:r>
      <w:r w:rsidR="00706833">
        <w:t xml:space="preserve">both </w:t>
      </w:r>
      <w:r>
        <w:t>global connectivity</w:t>
      </w:r>
      <w:r w:rsidR="00706833">
        <w:t xml:space="preserve"> and </w:t>
      </w:r>
      <w:r>
        <w:t xml:space="preserve">ubiquitous positioning. </w:t>
      </w:r>
      <w:r w:rsidR="007478B8">
        <w:t>Indeed, t</w:t>
      </w:r>
      <w:r w:rsidR="00E4686F">
        <w:t>h</w:t>
      </w:r>
      <w:r w:rsidR="007478B8">
        <w:t>e ubiquitous positioning</w:t>
      </w:r>
      <w:r w:rsidR="00E4686F">
        <w:t xml:space="preserve"> capability is crucial to extend the coverage of high-accuracy and resilient positioning, </w:t>
      </w:r>
      <w:r w:rsidR="007478B8">
        <w:t xml:space="preserve">which is </w:t>
      </w:r>
      <w:r w:rsidR="00E4686F">
        <w:t>driven by regulatory requirements, ultra-precise location services, resilien</w:t>
      </w:r>
      <w:r w:rsidR="00D76113">
        <w:t xml:space="preserve">ce </w:t>
      </w:r>
      <w:r w:rsidR="00E4686F">
        <w:t>to GNSS</w:t>
      </w:r>
      <w:r w:rsidR="00D76113">
        <w:t xml:space="preserve"> degraded or unavailable conditions</w:t>
      </w:r>
      <w:r w:rsidR="00E4686F">
        <w:t>, and the expansion of service areas.</w:t>
      </w:r>
    </w:p>
    <w:p w14:paraId="60253DA4" w14:textId="11C10CF8" w:rsidR="00E4686F" w:rsidRDefault="00D76113" w:rsidP="00DB797E">
      <w:pPr>
        <w:jc w:val="both"/>
      </w:pPr>
      <w:r>
        <w:rPr>
          <w:rFonts w:eastAsia="Calibri"/>
        </w:rPr>
        <w:lastRenderedPageBreak/>
        <w:t>Certainly</w:t>
      </w:r>
      <w:r w:rsidR="007478B8">
        <w:rPr>
          <w:rFonts w:eastAsia="Calibri"/>
        </w:rPr>
        <w:t xml:space="preserve">, </w:t>
      </w:r>
      <w:r w:rsidR="00E4686F">
        <w:rPr>
          <w:rFonts w:eastAsia="Calibri"/>
        </w:rPr>
        <w:t>GNSS is the backbone non-3GPP technology to</w:t>
      </w:r>
      <w:r w:rsidR="00E4686F">
        <w:t xml:space="preserve"> provide ubiquitous positioning in outdoor environments. </w:t>
      </w:r>
      <w:r w:rsidR="00E4686F" w:rsidRPr="00C031CB">
        <w:t xml:space="preserve">However, </w:t>
      </w:r>
      <w:r w:rsidR="00E4686F">
        <w:t xml:space="preserve">the degradation or unavailability of GNSS positioning, such as due to jamming, spoofing or obstructions, can lead to major threats and risks on </w:t>
      </w:r>
      <w:r w:rsidR="00E4686F">
        <w:rPr>
          <w:rFonts w:eastAsia="Calibri"/>
        </w:rPr>
        <w:t xml:space="preserve">a wide range of sectors, </w:t>
      </w:r>
      <w:r w:rsidR="00E4686F" w:rsidRPr="009426B5">
        <w:rPr>
          <w:rFonts w:eastAsia="Calibri"/>
        </w:rPr>
        <w:t>such as transportation, critical infrastructure</w:t>
      </w:r>
      <w:r w:rsidR="00E4686F">
        <w:rPr>
          <w:rFonts w:eastAsia="Calibri"/>
        </w:rPr>
        <w:t xml:space="preserve"> (</w:t>
      </w:r>
      <w:proofErr w:type="gramStart"/>
      <w:r w:rsidR="00E4686F">
        <w:rPr>
          <w:rFonts w:eastAsia="Calibri"/>
        </w:rPr>
        <w:t>e.g.</w:t>
      </w:r>
      <w:proofErr w:type="gramEnd"/>
      <w:r w:rsidR="00E4686F">
        <w:rPr>
          <w:rFonts w:eastAsia="Calibri"/>
        </w:rPr>
        <w:t xml:space="preserve"> 6G system), </w:t>
      </w:r>
      <w:r w:rsidR="00E4686F" w:rsidRPr="009426B5">
        <w:rPr>
          <w:rFonts w:eastAsia="Calibri"/>
        </w:rPr>
        <w:t>and regulatory services</w:t>
      </w:r>
      <w:r w:rsidR="00E4686F">
        <w:rPr>
          <w:rFonts w:eastAsia="Calibri"/>
        </w:rPr>
        <w:t xml:space="preserve"> (e.g. emergency services). Therefore, the exploitation of 3GPP positioning capabilities in Ubiquitous Connectivity scenarios (i.e., resulting in ubiquitous positioning) is a key feature to enhance the </w:t>
      </w:r>
      <w:r w:rsidR="00E4686F" w:rsidRPr="00C17EF3">
        <w:t>resilience, accuracy and availability of positioning-enabled services</w:t>
      </w:r>
      <w:r w:rsidR="00E4686F">
        <w:t>.</w:t>
      </w:r>
    </w:p>
    <w:p w14:paraId="1BD0C9C5" w14:textId="72DFD3DC" w:rsidR="00C66BA4" w:rsidRDefault="007478B8" w:rsidP="00DB797E">
      <w:pPr>
        <w:jc w:val="both"/>
      </w:pPr>
      <w:r w:rsidRPr="00984FFC">
        <w:rPr>
          <w:b/>
          <w:bCs/>
        </w:rPr>
        <w:t xml:space="preserve">Proposal </w:t>
      </w:r>
      <w:r>
        <w:rPr>
          <w:b/>
          <w:bCs/>
        </w:rPr>
        <w:t>1</w:t>
      </w:r>
      <w:r w:rsidRPr="00984FFC">
        <w:rPr>
          <w:b/>
          <w:bCs/>
        </w:rPr>
        <w:t xml:space="preserve">: </w:t>
      </w:r>
      <w:r>
        <w:rPr>
          <w:b/>
          <w:bCs/>
        </w:rPr>
        <w:t>Positioning TPR should also be applicable to Ubiquitous Connectivity usage scenarios, in order to enable ubiquitous positioning capabilities.</w:t>
      </w:r>
    </w:p>
    <w:p w14:paraId="2B51DDC9" w14:textId="7BE7835E" w:rsidR="007478B8" w:rsidRDefault="00DB797E" w:rsidP="00DB797E">
      <w:pPr>
        <w:jc w:val="both"/>
        <w:rPr>
          <w:rFonts w:eastAsia="DengXian"/>
        </w:rPr>
      </w:pPr>
      <w:r>
        <w:t xml:space="preserve">In </w:t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_Ref199316893 \r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rFonts w:eastAsia="DengXian"/>
        </w:rPr>
        <w:t>[1]</w:t>
      </w:r>
      <w:r>
        <w:rPr>
          <w:rFonts w:eastAsia="DengXian"/>
        </w:rPr>
        <w:fldChar w:fldCharType="end"/>
      </w:r>
      <w:r>
        <w:rPr>
          <w:rFonts w:eastAsia="DengXian"/>
        </w:rPr>
        <w:t xml:space="preserve">, </w:t>
      </w:r>
      <w:r>
        <w:t xml:space="preserve">the IMT-2030 research target of </w:t>
      </w:r>
      <w:r>
        <w:rPr>
          <w:rFonts w:eastAsia="DengXian"/>
        </w:rPr>
        <w:t xml:space="preserve">the positioning capability is based on sub-meter level positioning accuracy. </w:t>
      </w:r>
      <w:r w:rsidR="007478B8">
        <w:rPr>
          <w:rFonts w:eastAsia="DengXian"/>
        </w:rPr>
        <w:t xml:space="preserve">As reported in TR 22.870 </w:t>
      </w:r>
      <w:r w:rsidR="007478B8">
        <w:rPr>
          <w:rFonts w:eastAsia="DengXian"/>
        </w:rPr>
        <w:fldChar w:fldCharType="begin"/>
      </w:r>
      <w:r w:rsidR="007478B8">
        <w:rPr>
          <w:rFonts w:eastAsia="DengXian"/>
        </w:rPr>
        <w:instrText xml:space="preserve"> REF _Ref199338633 \r \h </w:instrText>
      </w:r>
      <w:r w:rsidR="007478B8">
        <w:rPr>
          <w:rFonts w:eastAsia="DengXian"/>
        </w:rPr>
      </w:r>
      <w:r w:rsidR="007478B8">
        <w:rPr>
          <w:rFonts w:eastAsia="DengXian"/>
        </w:rPr>
        <w:fldChar w:fldCharType="separate"/>
      </w:r>
      <w:r w:rsidR="007478B8">
        <w:rPr>
          <w:rFonts w:eastAsia="DengXian"/>
        </w:rPr>
        <w:t>[8]</w:t>
      </w:r>
      <w:r w:rsidR="007478B8">
        <w:rPr>
          <w:rFonts w:eastAsia="DengXian"/>
        </w:rPr>
        <w:fldChar w:fldCharType="end"/>
      </w:r>
      <w:r w:rsidR="007478B8">
        <w:rPr>
          <w:rFonts w:eastAsia="DengXian"/>
        </w:rPr>
        <w:t>, positioning use cases for the Ubiquitous Connectivity scenario are considered to target meter-level positioning accuracy</w:t>
      </w:r>
      <w:r w:rsidR="001017A3">
        <w:rPr>
          <w:rFonts w:eastAsia="DengXian"/>
        </w:rPr>
        <w:t xml:space="preserve"> </w:t>
      </w:r>
      <w:r w:rsidR="0038343C">
        <w:rPr>
          <w:rFonts w:eastAsia="DengXian"/>
        </w:rPr>
        <w:t>in</w:t>
      </w:r>
      <w:r w:rsidR="001017A3">
        <w:rPr>
          <w:rFonts w:eastAsia="DengXian"/>
        </w:rPr>
        <w:t xml:space="preserve"> outdoor environments.</w:t>
      </w:r>
    </w:p>
    <w:p w14:paraId="4AB8FD09" w14:textId="72216C2B" w:rsidR="00DB797E" w:rsidRPr="00984FFC" w:rsidRDefault="00DB797E" w:rsidP="00DB797E">
      <w:pPr>
        <w:jc w:val="both"/>
      </w:pPr>
      <w:r w:rsidRPr="00984FFC">
        <w:rPr>
          <w:b/>
          <w:bCs/>
        </w:rPr>
        <w:t xml:space="preserve">Proposal </w:t>
      </w:r>
      <w:r w:rsidR="00C43CFA">
        <w:rPr>
          <w:b/>
          <w:bCs/>
        </w:rPr>
        <w:t>2</w:t>
      </w:r>
      <w:r w:rsidRPr="00984FFC">
        <w:rPr>
          <w:b/>
          <w:bCs/>
        </w:rPr>
        <w:t xml:space="preserve">: </w:t>
      </w:r>
      <w:r>
        <w:rPr>
          <w:b/>
          <w:bCs/>
        </w:rPr>
        <w:t xml:space="preserve">Positioning TPR should also target meter-level accuracy </w:t>
      </w:r>
      <w:r w:rsidR="001017A3">
        <w:rPr>
          <w:b/>
          <w:bCs/>
        </w:rPr>
        <w:t>for Ubiquitous Connectivity usage scenarios</w:t>
      </w:r>
      <w:r w:rsidR="007478B8">
        <w:rPr>
          <w:b/>
          <w:bCs/>
        </w:rPr>
        <w:t xml:space="preserve"> </w:t>
      </w:r>
      <w:r>
        <w:rPr>
          <w:b/>
          <w:bCs/>
        </w:rPr>
        <w:t>in outdoor environments.</w:t>
      </w:r>
    </w:p>
    <w:p w14:paraId="35D01D02" w14:textId="77777777" w:rsidR="00DB797E" w:rsidRPr="00984FFC" w:rsidRDefault="00DB797E" w:rsidP="00DB797E">
      <w:pPr>
        <w:pStyle w:val="Heading1"/>
        <w:rPr>
          <w:lang w:val="en-US"/>
        </w:rPr>
      </w:pPr>
      <w:r>
        <w:rPr>
          <w:lang w:val="en-US"/>
        </w:rPr>
        <w:t>4</w:t>
      </w:r>
      <w:r w:rsidRPr="00984FFC">
        <w:rPr>
          <w:lang w:val="en-US"/>
        </w:rPr>
        <w:tab/>
        <w:t>Conclusion</w:t>
      </w:r>
      <w:r>
        <w:rPr>
          <w:lang w:val="en-US"/>
        </w:rPr>
        <w:t>s</w:t>
      </w:r>
    </w:p>
    <w:p w14:paraId="0BF5AE4C" w14:textId="77777777" w:rsidR="00DB797E" w:rsidRPr="007921D2" w:rsidRDefault="00DB797E" w:rsidP="00DB797E">
      <w:pPr>
        <w:jc w:val="both"/>
      </w:pPr>
      <w:r w:rsidRPr="00984FFC">
        <w:rPr>
          <w:b/>
          <w:bCs/>
        </w:rPr>
        <w:t xml:space="preserve">Observation 1: </w:t>
      </w:r>
      <w:r>
        <w:rPr>
          <w:b/>
          <w:bCs/>
        </w:rPr>
        <w:t>Positioning can also be used in Ubiquitous Connectivity scenarios</w:t>
      </w:r>
      <w:r w:rsidRPr="00984FFC">
        <w:rPr>
          <w:b/>
          <w:bCs/>
        </w:rPr>
        <w:t>. </w:t>
      </w:r>
    </w:p>
    <w:p w14:paraId="7D2E099C" w14:textId="6A339B62" w:rsidR="001017A3" w:rsidRDefault="001017A3" w:rsidP="001017A3">
      <w:pPr>
        <w:jc w:val="both"/>
        <w:rPr>
          <w:b/>
          <w:bCs/>
        </w:rPr>
      </w:pPr>
      <w:r w:rsidRPr="00984FFC">
        <w:rPr>
          <w:b/>
          <w:bCs/>
        </w:rPr>
        <w:t xml:space="preserve">Proposal </w:t>
      </w:r>
      <w:r>
        <w:rPr>
          <w:b/>
          <w:bCs/>
        </w:rPr>
        <w:t>1</w:t>
      </w:r>
      <w:r w:rsidRPr="00984FFC">
        <w:rPr>
          <w:b/>
          <w:bCs/>
        </w:rPr>
        <w:t xml:space="preserve">: </w:t>
      </w:r>
      <w:r>
        <w:rPr>
          <w:b/>
          <w:bCs/>
        </w:rPr>
        <w:t>Positioning TPR should also be applicable to Ubiquitous Connectivity usage scenarios, in order to enable ubiquitous positioning capabilities.</w:t>
      </w:r>
    </w:p>
    <w:p w14:paraId="58DCE63A" w14:textId="2B92631E" w:rsidR="001017A3" w:rsidRDefault="001017A3" w:rsidP="001017A3">
      <w:pPr>
        <w:jc w:val="both"/>
      </w:pPr>
      <w:r w:rsidRPr="00984FFC">
        <w:rPr>
          <w:b/>
          <w:bCs/>
        </w:rPr>
        <w:t xml:space="preserve">Proposal </w:t>
      </w:r>
      <w:r>
        <w:rPr>
          <w:b/>
          <w:bCs/>
        </w:rPr>
        <w:t>2</w:t>
      </w:r>
      <w:r w:rsidRPr="00984FFC">
        <w:rPr>
          <w:b/>
          <w:bCs/>
        </w:rPr>
        <w:t xml:space="preserve">: </w:t>
      </w:r>
      <w:r>
        <w:rPr>
          <w:b/>
          <w:bCs/>
        </w:rPr>
        <w:t>Positioning TPR should also target meter-level accuracy for Ubiquitous Connectivity usage scenarios in outdoor environments.</w:t>
      </w:r>
    </w:p>
    <w:p w14:paraId="1BDB6A95" w14:textId="77777777" w:rsidR="00DB797E" w:rsidRPr="00984FFC" w:rsidRDefault="00DB797E" w:rsidP="00DB797E">
      <w:pPr>
        <w:pStyle w:val="Heading1"/>
        <w:rPr>
          <w:lang w:val="en-US"/>
        </w:rPr>
      </w:pPr>
      <w:r>
        <w:rPr>
          <w:lang w:val="en-US"/>
        </w:rPr>
        <w:t>5</w:t>
      </w:r>
      <w:r w:rsidRPr="00984FFC">
        <w:rPr>
          <w:lang w:val="en-US"/>
        </w:rPr>
        <w:tab/>
      </w:r>
      <w:r>
        <w:rPr>
          <w:lang w:val="en-US"/>
        </w:rPr>
        <w:t>References</w:t>
      </w:r>
    </w:p>
    <w:p w14:paraId="4B949DFC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bookmarkStart w:id="4" w:name="_Ref199316893"/>
      <w:r w:rsidRPr="00E75D24">
        <w:rPr>
          <w:rFonts w:ascii="Arial" w:hAnsi="Arial" w:cs="Arial"/>
        </w:rPr>
        <w:t xml:space="preserve">Recommendation ITU-R </w:t>
      </w:r>
      <w:hyperlink r:id="rId8" w:history="1">
        <w:r w:rsidRPr="00E75D24">
          <w:rPr>
            <w:rStyle w:val="Hyperlink"/>
            <w:rFonts w:ascii="Arial" w:hAnsi="Arial" w:cs="Arial"/>
          </w:rPr>
          <w:t>M.2160-0</w:t>
        </w:r>
      </w:hyperlink>
      <w:r w:rsidRPr="00E75D24">
        <w:rPr>
          <w:rFonts w:ascii="Arial" w:hAnsi="Arial" w:cs="Arial"/>
        </w:rPr>
        <w:t xml:space="preserve"> (11/20</w:t>
      </w:r>
      <w:r>
        <w:rPr>
          <w:rFonts w:ascii="Arial" w:hAnsi="Arial" w:cs="Arial"/>
        </w:rPr>
        <w:t>23</w:t>
      </w:r>
      <w:r w:rsidRPr="00E75D24">
        <w:rPr>
          <w:rFonts w:ascii="Arial" w:hAnsi="Arial" w:cs="Arial"/>
        </w:rPr>
        <w:t>), “Framework and overall objectives of the future development of IMT for 2030 and beyond”.</w:t>
      </w:r>
      <w:bookmarkEnd w:id="4"/>
    </w:p>
    <w:bookmarkStart w:id="5" w:name="_Ref199317785"/>
    <w:p w14:paraId="1F7DADCE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"https://www.3gpp.org/ftp/tsg_ran/TSG_RAN/TSGR_106/Docs/RP-243202.zip" </w:instrText>
      </w:r>
      <w:r>
        <w:rPr>
          <w:rFonts w:ascii="Arial" w:hAnsi="Arial" w:cs="Arial"/>
        </w:rPr>
        <w:fldChar w:fldCharType="separate"/>
      </w:r>
      <w:r w:rsidRPr="00FB210D">
        <w:rPr>
          <w:rStyle w:val="Hyperlink"/>
          <w:rFonts w:ascii="Arial" w:hAnsi="Arial" w:cs="Arial"/>
        </w:rPr>
        <w:t>RP-243202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“</w:t>
      </w:r>
      <w:r w:rsidRPr="00FB210D">
        <w:rPr>
          <w:rFonts w:ascii="Arial" w:hAnsi="Arial" w:cs="Arial"/>
        </w:rPr>
        <w:t>LS on Minimum requirements related to technical performance for IMT-2030 radio interface(s) (ITUR_WP5D_TEMP_167; to: RAN, SA, 5G Americas, ARIB, ATIS, CCSA, DECT-Forum, EBU, ETSI, GSMA, IEEE, ITRI, NGMN Alliance, Nufront, one6G, TIA, TSDSI, TTA, TTC, Wi-Fi Alliance, WiMax Forum, Wireless Innovation Forum, 6G Smart Networks and Services Industry Association (6G-IA); cc: -; contact: AT&amp;T)</w:t>
      </w:r>
      <w:r>
        <w:rPr>
          <w:rFonts w:ascii="Arial" w:hAnsi="Arial" w:cs="Arial"/>
        </w:rPr>
        <w:t xml:space="preserve">”, Source: </w:t>
      </w:r>
      <w:r w:rsidRPr="00FB210D">
        <w:rPr>
          <w:rFonts w:ascii="Arial" w:hAnsi="Arial" w:cs="Arial"/>
        </w:rPr>
        <w:t>ITU-R WP5D</w:t>
      </w:r>
      <w:r>
        <w:rPr>
          <w:rFonts w:ascii="Arial" w:hAnsi="Arial" w:cs="Arial"/>
        </w:rPr>
        <w:t>.</w:t>
      </w:r>
      <w:bookmarkEnd w:id="5"/>
    </w:p>
    <w:bookmarkStart w:id="6" w:name="_Ref199318543"/>
    <w:p w14:paraId="338188D6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fldChar w:fldCharType="begin"/>
      </w:r>
      <w:r>
        <w:instrText xml:space="preserve"> HYPERLINK "https://www.3gpp.org/ftp/tsg_ran/TSG_RAN/TSGR_107/Docs/RP-250819.zip" </w:instrText>
      </w:r>
      <w:r>
        <w:fldChar w:fldCharType="separate"/>
      </w:r>
      <w:r w:rsidRPr="009F53B5">
        <w:rPr>
          <w:rStyle w:val="Hyperlink"/>
          <w:rFonts w:ascii="Arial" w:hAnsi="Arial" w:cs="Arial"/>
        </w:rPr>
        <w:t>RP-250819</w:t>
      </w:r>
      <w:r>
        <w:rPr>
          <w:rStyle w:val="Hyperlink"/>
          <w:rFonts w:ascii="Arial" w:hAnsi="Arial" w:cs="Arial"/>
        </w:rPr>
        <w:fldChar w:fldCharType="end"/>
      </w:r>
      <w:r>
        <w:rPr>
          <w:rFonts w:ascii="Arial" w:hAnsi="Arial" w:cs="Arial"/>
        </w:rPr>
        <w:t>, “</w:t>
      </w:r>
      <w:r w:rsidRPr="009F53B5">
        <w:rPr>
          <w:rFonts w:ascii="Arial" w:hAnsi="Arial" w:cs="Arial"/>
        </w:rPr>
        <w:t>Moderator's summary for IMT-2030 TPRs</w:t>
      </w:r>
      <w:r>
        <w:rPr>
          <w:rFonts w:ascii="Arial" w:hAnsi="Arial" w:cs="Arial"/>
        </w:rPr>
        <w:t xml:space="preserve">”, Source: </w:t>
      </w:r>
      <w:r w:rsidRPr="007921D2">
        <w:rPr>
          <w:rFonts w:ascii="Arial" w:hAnsi="Arial" w:cs="Arial"/>
        </w:rPr>
        <w:t>Moderator (CMCC)</w:t>
      </w:r>
      <w:r>
        <w:rPr>
          <w:rFonts w:ascii="Arial" w:hAnsi="Arial" w:cs="Arial"/>
        </w:rPr>
        <w:t>.</w:t>
      </w:r>
      <w:bookmarkEnd w:id="6"/>
    </w:p>
    <w:bookmarkStart w:id="7" w:name="_Ref199357351"/>
    <w:p w14:paraId="0B6B3AC9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fldChar w:fldCharType="begin"/>
      </w:r>
      <w:r>
        <w:instrText xml:space="preserve"> HYPERLINK "https://www.3gpp.org/ftp/Specs/archive/38_series/38.855/38855-g00.zip" </w:instrText>
      </w:r>
      <w:r>
        <w:fldChar w:fldCharType="separate"/>
      </w:r>
      <w:r w:rsidRPr="00B05C3D">
        <w:rPr>
          <w:rStyle w:val="Hyperlink"/>
          <w:rFonts w:ascii="Arial" w:hAnsi="Arial" w:cs="Arial"/>
        </w:rPr>
        <w:t>3GPP TR 38.855</w:t>
      </w:r>
      <w:r>
        <w:rPr>
          <w:rStyle w:val="Hyperlink"/>
          <w:rFonts w:ascii="Arial" w:hAnsi="Arial" w:cs="Arial"/>
        </w:rPr>
        <w:fldChar w:fldCharType="end"/>
      </w:r>
      <w:r w:rsidRPr="00B05C3D">
        <w:rPr>
          <w:rFonts w:ascii="Arial" w:hAnsi="Arial" w:cs="Arial"/>
        </w:rPr>
        <w:t xml:space="preserve"> V16.0.0 (2019-03)</w:t>
      </w:r>
      <w:r>
        <w:rPr>
          <w:rFonts w:ascii="Arial" w:hAnsi="Arial" w:cs="Arial"/>
        </w:rPr>
        <w:t>, “</w:t>
      </w:r>
      <w:r w:rsidRPr="00B05C3D">
        <w:rPr>
          <w:rFonts w:ascii="Arial" w:hAnsi="Arial" w:cs="Arial"/>
        </w:rPr>
        <w:t>3rd Generation Partnership Project; Technical Specification Group Radio Access Network; Study on NR positioning support (Release 16)</w:t>
      </w:r>
      <w:r>
        <w:rPr>
          <w:rFonts w:ascii="Arial" w:hAnsi="Arial" w:cs="Arial"/>
        </w:rPr>
        <w:t>”.</w:t>
      </w:r>
      <w:bookmarkEnd w:id="7"/>
    </w:p>
    <w:bookmarkStart w:id="8" w:name="_Ref199335871"/>
    <w:p w14:paraId="2BBAD79C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"https://www.3gpp.org/ftp/Specs/archive/38_series/38.857/38857-h00.zip" </w:instrText>
      </w:r>
      <w:r>
        <w:rPr>
          <w:rFonts w:ascii="Arial" w:hAnsi="Arial" w:cs="Arial"/>
        </w:rPr>
        <w:fldChar w:fldCharType="separate"/>
      </w:r>
      <w:r w:rsidRPr="00B05C3D">
        <w:rPr>
          <w:rStyle w:val="Hyperlink"/>
          <w:rFonts w:ascii="Arial" w:hAnsi="Arial" w:cs="Arial"/>
        </w:rPr>
        <w:t>3GPP TR 38.857</w:t>
      </w:r>
      <w:bookmarkEnd w:id="8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B05C3D">
        <w:rPr>
          <w:rFonts w:ascii="Arial" w:hAnsi="Arial" w:cs="Arial"/>
        </w:rPr>
        <w:t>V17.0.0 (2021-03)</w:t>
      </w:r>
      <w:r>
        <w:rPr>
          <w:rFonts w:ascii="Arial" w:hAnsi="Arial" w:cs="Arial"/>
        </w:rPr>
        <w:t>, “</w:t>
      </w:r>
      <w:r w:rsidRPr="00B05C3D">
        <w:rPr>
          <w:rFonts w:ascii="Arial" w:hAnsi="Arial" w:cs="Arial"/>
        </w:rPr>
        <w:t>3rd Generation Partnership Project; Technical Specification Group Radio Access Network; Study on NR Positioning Enhancements</w:t>
      </w:r>
      <w:r>
        <w:rPr>
          <w:rFonts w:ascii="Arial" w:hAnsi="Arial" w:cs="Arial"/>
        </w:rPr>
        <w:t xml:space="preserve"> </w:t>
      </w:r>
      <w:r w:rsidRPr="00B05C3D">
        <w:rPr>
          <w:rFonts w:ascii="Arial" w:hAnsi="Arial" w:cs="Arial"/>
        </w:rPr>
        <w:t>(Release 17)</w:t>
      </w:r>
      <w:r>
        <w:rPr>
          <w:rFonts w:ascii="Arial" w:hAnsi="Arial" w:cs="Arial"/>
        </w:rPr>
        <w:t>”.</w:t>
      </w:r>
    </w:p>
    <w:bookmarkStart w:id="9" w:name="_Ref199335927"/>
    <w:p w14:paraId="39EE440E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"https://www.3gpp.org/ftp/Specs/archive/22_series/22.261/22261-k20.zip" </w:instrText>
      </w:r>
      <w:r>
        <w:rPr>
          <w:rFonts w:ascii="Arial" w:hAnsi="Arial" w:cs="Arial"/>
        </w:rPr>
        <w:fldChar w:fldCharType="separate"/>
      </w:r>
      <w:r w:rsidRPr="00B05C3D">
        <w:rPr>
          <w:rStyle w:val="Hyperlink"/>
          <w:rFonts w:ascii="Arial" w:hAnsi="Arial" w:cs="Arial"/>
        </w:rPr>
        <w:t>3GPP TS 22.261</w:t>
      </w:r>
      <w:bookmarkEnd w:id="9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B05C3D">
        <w:rPr>
          <w:rFonts w:ascii="Arial" w:hAnsi="Arial" w:cs="Arial"/>
        </w:rPr>
        <w:t>V20.2.0 (2025-03)</w:t>
      </w:r>
      <w:r>
        <w:rPr>
          <w:rFonts w:ascii="Arial" w:hAnsi="Arial" w:cs="Arial"/>
        </w:rPr>
        <w:t>, “</w:t>
      </w:r>
      <w:r w:rsidRPr="00B05C3D">
        <w:rPr>
          <w:rFonts w:ascii="Arial" w:hAnsi="Arial" w:cs="Arial"/>
        </w:rPr>
        <w:t>3rd Generation Partnership Project; Technical Specification Group Services and System Aspects; Service requirements for the 5G system; Stage 1 (Release 20)</w:t>
      </w:r>
      <w:r>
        <w:rPr>
          <w:rFonts w:ascii="Arial" w:hAnsi="Arial" w:cs="Arial"/>
        </w:rPr>
        <w:t>”.</w:t>
      </w:r>
    </w:p>
    <w:bookmarkStart w:id="10" w:name="_Ref199338451"/>
    <w:p w14:paraId="04B59266" w14:textId="77777777" w:rsidR="00DB797E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"https://www.3gpp.org/ftp/workshop/2025-03-10_3GPP_6G_WS/Docs/6GWS-250131.zip" </w:instrText>
      </w:r>
      <w:r>
        <w:rPr>
          <w:rFonts w:ascii="Arial" w:hAnsi="Arial" w:cs="Arial"/>
        </w:rPr>
        <w:fldChar w:fldCharType="separate"/>
      </w:r>
      <w:r w:rsidRPr="009E21CA">
        <w:rPr>
          <w:rStyle w:val="Hyperlink"/>
          <w:rFonts w:ascii="Arial" w:hAnsi="Arial" w:cs="Arial"/>
        </w:rPr>
        <w:t>6GWS-250131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“</w:t>
      </w:r>
      <w:r w:rsidRPr="009E21CA">
        <w:rPr>
          <w:rFonts w:ascii="Arial" w:hAnsi="Arial" w:cs="Arial"/>
        </w:rPr>
        <w:t>3GPP 6G RAN Workshop - Airbus views on 6G</w:t>
      </w:r>
      <w:r>
        <w:rPr>
          <w:rFonts w:ascii="Arial" w:hAnsi="Arial" w:cs="Arial"/>
        </w:rPr>
        <w:t>”, Source: Airbus.</w:t>
      </w:r>
      <w:bookmarkEnd w:id="10"/>
    </w:p>
    <w:bookmarkStart w:id="11" w:name="_Ref199338633"/>
    <w:p w14:paraId="44BE0734" w14:textId="77777777" w:rsidR="00DB797E" w:rsidRPr="00B05C3D" w:rsidRDefault="00DB797E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"https://www.3gpp.org/ftp/Specs/archive/22_series/22.870/22870-021.zip" </w:instrText>
      </w:r>
      <w:r>
        <w:rPr>
          <w:rFonts w:ascii="Arial" w:hAnsi="Arial" w:cs="Arial"/>
        </w:rPr>
        <w:fldChar w:fldCharType="separate"/>
      </w:r>
      <w:r w:rsidRPr="009E21CA">
        <w:rPr>
          <w:rStyle w:val="Hyperlink"/>
          <w:rFonts w:ascii="Arial" w:hAnsi="Arial" w:cs="Arial"/>
        </w:rPr>
        <w:t>3GPP TR 22.870</w:t>
      </w:r>
      <w:r>
        <w:rPr>
          <w:rFonts w:ascii="Arial" w:hAnsi="Arial" w:cs="Arial"/>
        </w:rPr>
        <w:fldChar w:fldCharType="end"/>
      </w:r>
      <w:r w:rsidRPr="009E21CA">
        <w:rPr>
          <w:rFonts w:ascii="Arial" w:hAnsi="Arial" w:cs="Arial"/>
        </w:rPr>
        <w:t xml:space="preserve"> V0.2.1 (2025-03), Technical Report, “3rd Generation Partnership Project; Technical Specification Group TSG SA; Study on 6G Use Cases and Service Requirements</w:t>
      </w:r>
      <w:r>
        <w:rPr>
          <w:rFonts w:ascii="Arial" w:hAnsi="Arial" w:cs="Arial"/>
        </w:rPr>
        <w:t>;</w:t>
      </w:r>
      <w:r w:rsidRPr="009E21CA">
        <w:t xml:space="preserve"> </w:t>
      </w:r>
      <w:r w:rsidRPr="009E21CA">
        <w:rPr>
          <w:rFonts w:ascii="Arial" w:hAnsi="Arial" w:cs="Arial"/>
        </w:rPr>
        <w:t>Stage 1</w:t>
      </w:r>
      <w:r>
        <w:rPr>
          <w:rFonts w:ascii="Arial" w:hAnsi="Arial" w:cs="Arial"/>
        </w:rPr>
        <w:t xml:space="preserve"> </w:t>
      </w:r>
      <w:r w:rsidRPr="009E21CA">
        <w:rPr>
          <w:rFonts w:ascii="Arial" w:hAnsi="Arial" w:cs="Arial"/>
        </w:rPr>
        <w:t xml:space="preserve">(Release </w:t>
      </w:r>
      <w:r>
        <w:rPr>
          <w:rFonts w:ascii="Arial" w:hAnsi="Arial" w:cs="Arial"/>
        </w:rPr>
        <w:t>20</w:t>
      </w:r>
      <w:r w:rsidRPr="009E21CA">
        <w:rPr>
          <w:rFonts w:ascii="Arial" w:hAnsi="Arial" w:cs="Arial"/>
        </w:rPr>
        <w:t>)”.</w:t>
      </w:r>
      <w:bookmarkEnd w:id="11"/>
    </w:p>
    <w:p w14:paraId="25F23D52" w14:textId="6C25CC14" w:rsidR="005366B9" w:rsidRPr="00DB797E" w:rsidRDefault="005366B9" w:rsidP="00DB797E">
      <w:pPr>
        <w:rPr>
          <w:lang w:val="en-GB"/>
        </w:rPr>
      </w:pPr>
    </w:p>
    <w:sectPr w:rsidR="005366B9" w:rsidRPr="00DB797E" w:rsidSect="00984F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3674D" w14:textId="77777777" w:rsidR="00984FFC" w:rsidRDefault="00984FFC" w:rsidP="00984FFC">
      <w:pPr>
        <w:spacing w:after="0" w:line="240" w:lineRule="auto"/>
      </w:pPr>
      <w:r>
        <w:separator/>
      </w:r>
    </w:p>
  </w:endnote>
  <w:endnote w:type="continuationSeparator" w:id="0">
    <w:p w14:paraId="02E22304" w14:textId="77777777" w:rsidR="00984FFC" w:rsidRDefault="00984FFC" w:rsidP="0098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F54E" w14:textId="77777777" w:rsidR="008E12D7" w:rsidRDefault="008E12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E9B0" w14:textId="3CCDC684" w:rsidR="008E12D7" w:rsidRDefault="008E12D7" w:rsidP="008E12D7">
    <w:pPr>
      <w:pStyle w:val="Footer"/>
    </w:pPr>
    <w:bookmarkStart w:id="13" w:name="TITUS1FooterPrimary"/>
    <w:r w:rsidRPr="008E12D7">
      <w:rPr>
        <w:color w:val="FFFFFF"/>
        <w:sz w:val="17"/>
      </w:rPr>
      <w:t>.</w:t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01A6" w14:textId="77777777" w:rsidR="008E12D7" w:rsidRDefault="008E1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6CA82" w14:textId="77777777" w:rsidR="00984FFC" w:rsidRDefault="00984FFC" w:rsidP="00984FFC">
      <w:pPr>
        <w:spacing w:after="0" w:line="240" w:lineRule="auto"/>
      </w:pPr>
      <w:r>
        <w:separator/>
      </w:r>
    </w:p>
  </w:footnote>
  <w:footnote w:type="continuationSeparator" w:id="0">
    <w:p w14:paraId="4B38F5C2" w14:textId="77777777" w:rsidR="00984FFC" w:rsidRDefault="00984FFC" w:rsidP="00984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8C9E" w14:textId="77777777" w:rsidR="008E12D7" w:rsidRDefault="008E12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0196" w14:textId="0ACC52A3" w:rsidR="008E12D7" w:rsidRDefault="008E12D7" w:rsidP="008E12D7">
    <w:pPr>
      <w:pStyle w:val="Header"/>
    </w:pPr>
    <w:bookmarkStart w:id="12" w:name="TITUS1HeaderPrimary"/>
    <w:r w:rsidRPr="008E12D7">
      <w:rPr>
        <w:color w:val="FFFFFF"/>
        <w:sz w:val="17"/>
      </w:rPr>
      <w:t>.</w:t>
    </w:r>
    <w:bookmarkEnd w:id="1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D2D2" w14:textId="77777777" w:rsidR="008E12D7" w:rsidRDefault="008E1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44CDF"/>
    <w:multiLevelType w:val="multilevel"/>
    <w:tmpl w:val="793C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D5A23"/>
    <w:multiLevelType w:val="multilevel"/>
    <w:tmpl w:val="8452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57F52"/>
    <w:multiLevelType w:val="multilevel"/>
    <w:tmpl w:val="9CDC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AB4DB6"/>
    <w:multiLevelType w:val="multilevel"/>
    <w:tmpl w:val="022E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8E51F4"/>
    <w:multiLevelType w:val="multilevel"/>
    <w:tmpl w:val="707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970D9F"/>
    <w:multiLevelType w:val="multilevel"/>
    <w:tmpl w:val="655C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FC"/>
    <w:rsid w:val="00036E39"/>
    <w:rsid w:val="001017A3"/>
    <w:rsid w:val="0038343C"/>
    <w:rsid w:val="00425AE8"/>
    <w:rsid w:val="00487F12"/>
    <w:rsid w:val="005366B9"/>
    <w:rsid w:val="00706833"/>
    <w:rsid w:val="007478B8"/>
    <w:rsid w:val="007711BA"/>
    <w:rsid w:val="00796BF1"/>
    <w:rsid w:val="008E12D7"/>
    <w:rsid w:val="00984FFC"/>
    <w:rsid w:val="00B0277B"/>
    <w:rsid w:val="00B17521"/>
    <w:rsid w:val="00C43CFA"/>
    <w:rsid w:val="00C66BA4"/>
    <w:rsid w:val="00D76113"/>
    <w:rsid w:val="00DB797E"/>
    <w:rsid w:val="00E4686F"/>
    <w:rsid w:val="00F5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A968F"/>
  <w15:chartTrackingRefBased/>
  <w15:docId w15:val="{1F537D16-5AE3-441E-AAFA-6E0E18DE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66B9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984F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F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FFC"/>
  </w:style>
  <w:style w:type="paragraph" w:styleId="Footer">
    <w:name w:val="footer"/>
    <w:basedOn w:val="Normal"/>
    <w:link w:val="Foot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FFC"/>
  </w:style>
  <w:style w:type="character" w:customStyle="1" w:styleId="Heading1Char">
    <w:name w:val="Heading 1 Char"/>
    <w:basedOn w:val="DefaultParagraphFont"/>
    <w:link w:val="Heading1"/>
    <w:rsid w:val="00984FF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locked/>
    <w:rsid w:val="00984FF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984FFC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4FFC"/>
    <w:rPr>
      <w:rFonts w:ascii="Arial" w:hAnsi="Arial"/>
      <w:sz w:val="20"/>
      <w:lang w:val="en-US" w:eastAsia="zh-CN"/>
    </w:rPr>
  </w:style>
  <w:style w:type="paragraph" w:customStyle="1" w:styleId="CRCoverPage">
    <w:name w:val="CR Cover Page"/>
    <w:link w:val="CRCoverPageZchn"/>
    <w:qFormat/>
    <w:locked/>
    <w:rsid w:val="00984FF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84FFC"/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F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984FF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366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66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66B9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6B9"/>
    <w:rPr>
      <w:rFonts w:ascii="Arial" w:hAnsi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366B9"/>
    <w:pPr>
      <w:spacing w:after="0" w:line="240" w:lineRule="auto"/>
    </w:pPr>
    <w:rPr>
      <w:rFonts w:ascii="Arial" w:hAnsi="Arial"/>
      <w:sz w:val="20"/>
      <w:lang w:val="en-US"/>
    </w:rPr>
  </w:style>
  <w:style w:type="character" w:styleId="Hyperlink">
    <w:name w:val="Hyperlink"/>
    <w:unhideWhenUsed/>
    <w:rsid w:val="00DB797E"/>
    <w:rPr>
      <w:color w:val="0000FF"/>
      <w:u w:val="single"/>
    </w:rPr>
  </w:style>
  <w:style w:type="paragraph" w:customStyle="1" w:styleId="EX">
    <w:name w:val="EX"/>
    <w:basedOn w:val="Normal"/>
    <w:rsid w:val="00DB797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Cs w:val="20"/>
      <w:lang w:val="en-GB"/>
    </w:rPr>
  </w:style>
  <w:style w:type="table" w:styleId="TableGrid">
    <w:name w:val="Table Grid"/>
    <w:basedOn w:val="TableNormal"/>
    <w:uiPriority w:val="39"/>
    <w:rsid w:val="00DB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60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itu.int/rec/R-REC-M.2160/e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939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Peral Rosado, Jose Antonio [DE]</dc:creator>
  <cp:keywords/>
  <dc:description/>
  <cp:lastModifiedBy>Del Peral Rosado, Jose Antonio [DE]</cp:lastModifiedBy>
  <cp:revision>10</cp:revision>
  <dcterms:created xsi:type="dcterms:W3CDTF">2025-05-26T10:57:00Z</dcterms:created>
  <dcterms:modified xsi:type="dcterms:W3CDTF">2025-06-02T12:46:00Z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87f09b4b-6d25-41d8-9a76-44dbe16452aa</vt:lpwstr>
  </property>
  <property fmtid="{D5CDD505-2E9C-101B-9397-08002B2CF9AE}" pid="3" name="L">
    <vt:lpwstr>XXPUB</vt:lpwstr>
  </property>
  <property fmtid="{D5CDD505-2E9C-101B-9397-08002B2CF9AE}" pid="4" name="STAMP">
    <vt:lpwstr>NO</vt:lpwstr>
  </property>
  <property fmtid="{D5CDD505-2E9C-101B-9397-08002B2CF9AE}" pid="5" name="TaggedBy">
    <vt:lpwstr>o27513734</vt:lpwstr>
  </property>
</Properties>
</file>