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A1A2" w14:textId="6E25D1A3" w:rsidR="00984FFC" w:rsidRPr="00984FFC" w:rsidRDefault="00984FFC" w:rsidP="00984FFC">
      <w:pPr>
        <w:tabs>
          <w:tab w:val="center" w:pos="4536"/>
          <w:tab w:val="right" w:pos="7938"/>
          <w:tab w:val="right" w:pos="9639"/>
        </w:tabs>
        <w:ind w:right="2"/>
        <w:rPr>
          <w:rFonts w:eastAsia="Calibri" w:cs="Arial"/>
          <w:b/>
          <w:bCs/>
          <w:sz w:val="24"/>
          <w:szCs w:val="21"/>
        </w:rPr>
      </w:pPr>
      <w:bookmarkStart w:id="0" w:name="_Hlk145670493"/>
      <w:r w:rsidRPr="00984FFC">
        <w:rPr>
          <w:rFonts w:eastAsia="Calibri" w:cs="Arial"/>
          <w:b/>
          <w:bCs/>
          <w:sz w:val="24"/>
          <w:szCs w:val="21"/>
        </w:rPr>
        <w:t>3GPP TSG RAN Meeting #108 Meeting</w:t>
      </w:r>
      <w:r w:rsidRPr="00984FFC">
        <w:rPr>
          <w:rFonts w:eastAsia="Calibri" w:cs="Arial"/>
          <w:b/>
          <w:bCs/>
          <w:sz w:val="24"/>
          <w:szCs w:val="21"/>
        </w:rPr>
        <w:tab/>
      </w:r>
      <w:r w:rsidRPr="00984FFC">
        <w:rPr>
          <w:rFonts w:eastAsia="Calibri" w:cs="Arial"/>
          <w:b/>
          <w:bCs/>
          <w:sz w:val="24"/>
          <w:szCs w:val="21"/>
        </w:rPr>
        <w:tab/>
      </w:r>
      <w:r w:rsidRPr="00984FFC">
        <w:rPr>
          <w:rFonts w:eastAsia="Calibri" w:cs="Arial"/>
          <w:b/>
          <w:bCs/>
          <w:sz w:val="24"/>
          <w:szCs w:val="21"/>
        </w:rPr>
        <w:tab/>
      </w:r>
      <w:r w:rsidR="008E12D7" w:rsidRPr="008E12D7">
        <w:rPr>
          <w:rFonts w:eastAsia="Calibri" w:cs="Arial"/>
          <w:b/>
          <w:bCs/>
          <w:sz w:val="24"/>
          <w:szCs w:val="21"/>
        </w:rPr>
        <w:t>RP-251180</w:t>
      </w:r>
    </w:p>
    <w:bookmarkEnd w:id="0"/>
    <w:p w14:paraId="45FD121E" w14:textId="4716440D" w:rsidR="00984FFC" w:rsidRPr="00984FFC" w:rsidRDefault="00984FFC" w:rsidP="00984FFC">
      <w:pPr>
        <w:pStyle w:val="3GPPHeader"/>
      </w:pPr>
      <w:r w:rsidRPr="00984FFC">
        <w:rPr>
          <w:rFonts w:eastAsia="MS Mincho" w:cs="Times New Roman"/>
          <w:bCs/>
          <w:szCs w:val="21"/>
          <w:lang w:eastAsia="ja-JP"/>
        </w:rPr>
        <w:t>Prague, Czech Republic, June 9-13, 2025</w:t>
      </w:r>
      <w:r w:rsidRPr="00984FFC">
        <w:rPr>
          <w:rFonts w:eastAsia="MS Mincho" w:cs="Times New Roman"/>
          <w:bCs/>
          <w:szCs w:val="21"/>
          <w:lang w:eastAsia="ja-JP"/>
        </w:rPr>
        <w:tab/>
      </w:r>
      <w:r w:rsidRPr="00984FFC">
        <w:rPr>
          <w:rFonts w:eastAsia="MS Mincho" w:cs="Times New Roman"/>
          <w:bCs/>
          <w:szCs w:val="21"/>
          <w:lang w:eastAsia="ja-JP"/>
        </w:rPr>
        <w:br/>
      </w:r>
    </w:p>
    <w:p w14:paraId="18ACDB8C" w14:textId="5D71E671" w:rsidR="00984FFC" w:rsidRPr="00984FFC" w:rsidRDefault="00984FFC" w:rsidP="00984FFC">
      <w:pPr>
        <w:pStyle w:val="3GPPHeader"/>
        <w:tabs>
          <w:tab w:val="clear" w:pos="9639"/>
        </w:tabs>
        <w:rPr>
          <w:sz w:val="22"/>
        </w:rPr>
      </w:pPr>
      <w:r w:rsidRPr="00984FFC">
        <w:rPr>
          <w:sz w:val="22"/>
        </w:rPr>
        <w:t>Agenda Item:</w:t>
      </w:r>
      <w:r w:rsidRPr="00984FFC">
        <w:rPr>
          <w:sz w:val="22"/>
        </w:rPr>
        <w:tab/>
        <w:t>15.1.5</w:t>
      </w:r>
      <w:r w:rsidRPr="00984FFC">
        <w:rPr>
          <w:sz w:val="22"/>
        </w:rPr>
        <w:tab/>
        <w:t>Non-Terrestrial Networks (NTN) for NR Phase 4</w:t>
      </w:r>
    </w:p>
    <w:p w14:paraId="3A6F4ABF" w14:textId="7E10E1EC" w:rsidR="00984FFC" w:rsidRPr="00984FFC" w:rsidRDefault="00984FFC" w:rsidP="00984FFC">
      <w:pPr>
        <w:pStyle w:val="3GPPHeader"/>
        <w:rPr>
          <w:sz w:val="22"/>
        </w:rPr>
      </w:pPr>
      <w:r w:rsidRPr="00984FFC">
        <w:rPr>
          <w:sz w:val="22"/>
        </w:rPr>
        <w:t>Source:</w:t>
      </w:r>
      <w:r w:rsidRPr="00984FFC">
        <w:rPr>
          <w:sz w:val="22"/>
        </w:rPr>
        <w:tab/>
        <w:t>Airbus, ESA, Fraunhofer IIS</w:t>
      </w:r>
    </w:p>
    <w:p w14:paraId="5A9366C3" w14:textId="62D0DA49" w:rsidR="00984FFC" w:rsidRPr="00984FFC" w:rsidRDefault="00984FFC" w:rsidP="00984FFC">
      <w:pPr>
        <w:pStyle w:val="3GPPHeader"/>
        <w:rPr>
          <w:sz w:val="22"/>
        </w:rPr>
      </w:pPr>
      <w:r w:rsidRPr="00984FFC">
        <w:rPr>
          <w:sz w:val="22"/>
        </w:rPr>
        <w:t>Title:</w:t>
      </w:r>
      <w:r w:rsidRPr="00984FFC">
        <w:rPr>
          <w:sz w:val="22"/>
        </w:rPr>
        <w:tab/>
        <w:t>NTN positioning solution for GNSS resilient operation in NR-NTN Phase 4 </w:t>
      </w:r>
    </w:p>
    <w:p w14:paraId="63DA3DD3" w14:textId="67F003DC" w:rsidR="00984FFC" w:rsidRPr="00984FFC" w:rsidRDefault="00984FFC" w:rsidP="00984FFC">
      <w:pPr>
        <w:pStyle w:val="3GPPHeader"/>
        <w:rPr>
          <w:sz w:val="22"/>
        </w:rPr>
      </w:pPr>
      <w:r w:rsidRPr="00984FFC">
        <w:rPr>
          <w:sz w:val="22"/>
        </w:rPr>
        <w:t>Document for:</w:t>
      </w:r>
      <w:r w:rsidRPr="00984FFC">
        <w:rPr>
          <w:sz w:val="22"/>
        </w:rPr>
        <w:tab/>
        <w:t>Discussion</w:t>
      </w:r>
      <w:r w:rsidRPr="00984FFC">
        <w:rPr>
          <w:sz w:val="22"/>
        </w:rPr>
        <w:tab/>
      </w:r>
      <w:r w:rsidRPr="00984FFC">
        <w:rPr>
          <w:sz w:val="22"/>
        </w:rPr>
        <w:br/>
      </w:r>
    </w:p>
    <w:p w14:paraId="4682B293" w14:textId="77777777" w:rsidR="00984FFC" w:rsidRPr="00984FFC" w:rsidRDefault="00984FFC" w:rsidP="00984FFC">
      <w:pPr>
        <w:pStyle w:val="Heading1"/>
        <w:rPr>
          <w:lang w:val="en-US"/>
        </w:rPr>
      </w:pPr>
      <w:r w:rsidRPr="00984FFC">
        <w:rPr>
          <w:lang w:val="en-US"/>
        </w:rPr>
        <w:t>1</w:t>
      </w:r>
      <w:r w:rsidRPr="00984FFC">
        <w:rPr>
          <w:lang w:val="en-US"/>
        </w:rPr>
        <w:tab/>
        <w:t>Introduction</w:t>
      </w:r>
    </w:p>
    <w:p w14:paraId="1F0992F6" w14:textId="1A8B879B" w:rsidR="00984FFC" w:rsidRPr="00984FFC" w:rsidRDefault="00984FFC" w:rsidP="00984FFC">
      <w:pPr>
        <w:pStyle w:val="BodyText"/>
      </w:pPr>
      <w:r w:rsidRPr="00984FFC">
        <w:t>This document discusses a key objective on NR-NTN as part of 5G-Advanced in Rel-20.</w:t>
      </w:r>
    </w:p>
    <w:p w14:paraId="65F3A8B2" w14:textId="77777777" w:rsidR="00984FFC" w:rsidRPr="00984FFC" w:rsidRDefault="00984FFC" w:rsidP="00984FFC">
      <w:pPr>
        <w:pStyle w:val="Heading1"/>
        <w:rPr>
          <w:lang w:val="en-US"/>
        </w:rPr>
      </w:pPr>
      <w:r w:rsidRPr="00984FFC">
        <w:rPr>
          <w:lang w:val="en-US"/>
        </w:rPr>
        <w:t>2</w:t>
      </w:r>
      <w:r w:rsidRPr="00984FFC">
        <w:rPr>
          <w:lang w:val="en-US"/>
        </w:rPr>
        <w:tab/>
        <w:t>Background</w:t>
      </w:r>
    </w:p>
    <w:p w14:paraId="254ED903" w14:textId="77777777" w:rsidR="00984FFC" w:rsidRPr="00984FFC" w:rsidRDefault="00984FFC" w:rsidP="00984FFC">
      <w:pPr>
        <w:jc w:val="both"/>
        <w:rPr>
          <w:rFonts w:eastAsia="DengXian"/>
        </w:rPr>
      </w:pPr>
      <w:r w:rsidRPr="00984FFC">
        <w:rPr>
          <w:rFonts w:eastAsia="DengXian"/>
        </w:rPr>
        <w:t>In comparison to TN, NTN introduces additional requirements for timing advance (TA) management and Doppler compensation. This was already discussed during the study phase, e.g. as reported in TR 38.821. In the study phase, two options were considered:</w:t>
      </w:r>
    </w:p>
    <w:p w14:paraId="5CE7FE7D" w14:textId="77777777" w:rsidR="00984FFC" w:rsidRPr="00984FFC" w:rsidRDefault="00984FFC" w:rsidP="00984FFC">
      <w:pPr>
        <w:numPr>
          <w:ilvl w:val="0"/>
          <w:numId w:val="1"/>
        </w:numPr>
        <w:jc w:val="both"/>
        <w:rPr>
          <w:rFonts w:eastAsia="DengXian"/>
        </w:rPr>
      </w:pPr>
      <w:r w:rsidRPr="00984FFC">
        <w:rPr>
          <w:rFonts w:eastAsia="DengXian"/>
        </w:rPr>
        <w:t>Option 1: Autonomous acquisition of the TA at UE with UE known location and satellite ephemeris.</w:t>
      </w:r>
    </w:p>
    <w:p w14:paraId="4B1AD64E" w14:textId="77777777" w:rsidR="00984FFC" w:rsidRPr="00984FFC" w:rsidRDefault="00984FFC" w:rsidP="00984FFC">
      <w:pPr>
        <w:numPr>
          <w:ilvl w:val="0"/>
          <w:numId w:val="1"/>
        </w:numPr>
        <w:jc w:val="both"/>
        <w:rPr>
          <w:rFonts w:eastAsia="DengXian"/>
        </w:rPr>
      </w:pPr>
      <w:r w:rsidRPr="00984FFC">
        <w:rPr>
          <w:rFonts w:eastAsia="DengXian"/>
        </w:rPr>
        <w:t>Option 2: Timing advance adjustment based on network indication.</w:t>
      </w:r>
    </w:p>
    <w:p w14:paraId="5F9C4075" w14:textId="77777777" w:rsidR="00984FFC" w:rsidRPr="00984FFC" w:rsidRDefault="00984FFC" w:rsidP="00984FFC">
      <w:pPr>
        <w:jc w:val="both"/>
        <w:rPr>
          <w:rFonts w:eastAsia="DengXian"/>
        </w:rPr>
      </w:pPr>
      <w:r w:rsidRPr="00984FFC">
        <w:rPr>
          <w:rFonts w:eastAsia="DengXian"/>
        </w:rPr>
        <w:t>Option 1 was selected using GNSS as basis for the UE location. </w:t>
      </w:r>
    </w:p>
    <w:p w14:paraId="0861A558" w14:textId="77777777" w:rsidR="00984FFC" w:rsidRPr="00984FFC" w:rsidRDefault="00984FFC" w:rsidP="00984FFC">
      <w:pPr>
        <w:jc w:val="both"/>
        <w:rPr>
          <w:rFonts w:eastAsia="DengXian"/>
        </w:rPr>
      </w:pPr>
      <w:r w:rsidRPr="00984FFC">
        <w:rPr>
          <w:rFonts w:eastAsia="DengXian"/>
        </w:rPr>
        <w:t>As enhancement of this NTN access procedure in 5G-Advanced Rel-20, the GNSS resilient operation targets operational concepts under GNSS unavailability or position accuracy insufficient to fulfill the TA requirements. At RAN#107, RP-250803 "Moderator's summary for RAN2 led REL-20 topics" provides the summary discussion of GNSS resilient operation for NR-NTN as part of 5G-Advanced in Rel-20.  The discussion included two approaches as part of GNSS resilient operation for uplink time and frequency synchronization in NR-NTN based access:</w:t>
      </w:r>
    </w:p>
    <w:p w14:paraId="2510D678" w14:textId="77777777" w:rsidR="00984FFC" w:rsidRPr="00984FFC" w:rsidRDefault="00984FFC" w:rsidP="00984FFC">
      <w:pPr>
        <w:numPr>
          <w:ilvl w:val="0"/>
          <w:numId w:val="2"/>
        </w:numPr>
        <w:jc w:val="both"/>
        <w:rPr>
          <w:rFonts w:eastAsia="DengXian"/>
        </w:rPr>
      </w:pPr>
      <w:r w:rsidRPr="00984FFC">
        <w:rPr>
          <w:rFonts w:eastAsia="DengXian"/>
        </w:rPr>
        <w:t>NTN-assisted positioning (e.g., support of multiple satellites positioning with PRS configuration)</w:t>
      </w:r>
    </w:p>
    <w:p w14:paraId="12008799" w14:textId="77777777" w:rsidR="00984FFC" w:rsidRPr="00984FFC" w:rsidRDefault="00984FFC" w:rsidP="00984FFC">
      <w:pPr>
        <w:numPr>
          <w:ilvl w:val="0"/>
          <w:numId w:val="2"/>
        </w:numPr>
        <w:jc w:val="both"/>
        <w:rPr>
          <w:rFonts w:eastAsia="DengXian"/>
        </w:rPr>
      </w:pPr>
      <w:r w:rsidRPr="00984FFC">
        <w:rPr>
          <w:rFonts w:eastAsia="DengXian"/>
        </w:rPr>
        <w:t>GNSS-less (e.g., “position-less”) NTN access</w:t>
      </w:r>
    </w:p>
    <w:p w14:paraId="395EAF6E" w14:textId="77777777" w:rsidR="00984FFC" w:rsidRPr="00984FFC" w:rsidRDefault="00984FFC" w:rsidP="00984FFC">
      <w:pPr>
        <w:jc w:val="both"/>
        <w:rPr>
          <w:rFonts w:eastAsia="DengXian"/>
        </w:rPr>
      </w:pPr>
      <w:r w:rsidRPr="00984FFC">
        <w:rPr>
          <w:rFonts w:eastAsia="DengXian"/>
        </w:rPr>
        <w:t>However, further discussion was required to consolidate this objective. Accordingly, it may be worthwhile to introduce enhancements allowing operation with reduced position accuracy. The required position accuracy depends on several parameters:</w:t>
      </w:r>
    </w:p>
    <w:p w14:paraId="007CE74E" w14:textId="77777777" w:rsidR="00984FFC" w:rsidRPr="00984FFC" w:rsidRDefault="00984FFC" w:rsidP="00984FFC">
      <w:pPr>
        <w:numPr>
          <w:ilvl w:val="0"/>
          <w:numId w:val="3"/>
        </w:numPr>
        <w:jc w:val="both"/>
        <w:rPr>
          <w:rFonts w:eastAsia="DengXian"/>
        </w:rPr>
      </w:pPr>
      <w:r w:rsidRPr="00984FFC">
        <w:rPr>
          <w:rFonts w:eastAsia="DengXian"/>
        </w:rPr>
        <w:t>An initial estimate for the TA must be available already for the RACH procedure. </w:t>
      </w:r>
    </w:p>
    <w:p w14:paraId="52C254BB" w14:textId="77777777" w:rsidR="00984FFC" w:rsidRPr="00984FFC" w:rsidRDefault="00984FFC" w:rsidP="00984FFC">
      <w:pPr>
        <w:numPr>
          <w:ilvl w:val="0"/>
          <w:numId w:val="3"/>
        </w:numPr>
        <w:jc w:val="both"/>
        <w:rPr>
          <w:rFonts w:eastAsia="DengXian"/>
        </w:rPr>
      </w:pPr>
      <w:r w:rsidRPr="00984FFC">
        <w:rPr>
          <w:rFonts w:eastAsia="DengXian"/>
        </w:rPr>
        <w:t>Later on the position accuracy depends on the subcarrier spacing (SCS). Especially for FR2 a high accuracy is required, whereas for FR1 and SCS=15kHz an accuracy of a few hundred meters may be already sufficient. </w:t>
      </w:r>
    </w:p>
    <w:p w14:paraId="284D28F0" w14:textId="2E6D0D0F" w:rsidR="00984FFC" w:rsidRPr="00984FFC" w:rsidRDefault="00984FFC" w:rsidP="00984FFC">
      <w:pPr>
        <w:jc w:val="both"/>
        <w:rPr>
          <w:rFonts w:eastAsia="DengXian"/>
        </w:rPr>
      </w:pPr>
      <w:r w:rsidRPr="00984FFC">
        <w:rPr>
          <w:rFonts w:eastAsia="DengXian"/>
        </w:rPr>
        <w:t>The following sections provide further justifications for the consideration of the NTN-assisted positioning approach.</w:t>
      </w:r>
    </w:p>
    <w:p w14:paraId="33284300" w14:textId="400515CE" w:rsidR="00984FFC" w:rsidRPr="00984FFC" w:rsidRDefault="00984FFC" w:rsidP="00984FFC">
      <w:pPr>
        <w:pStyle w:val="Heading1"/>
        <w:rPr>
          <w:lang w:val="en-US"/>
        </w:rPr>
      </w:pPr>
      <w:r w:rsidRPr="00984FFC">
        <w:rPr>
          <w:lang w:val="en-US"/>
        </w:rPr>
        <w:lastRenderedPageBreak/>
        <w:t>3</w:t>
      </w:r>
      <w:r w:rsidRPr="00984FFC">
        <w:rPr>
          <w:lang w:val="en-US"/>
        </w:rPr>
        <w:tab/>
        <w:t>Proposed objectives for Rel-20 RAN1</w:t>
      </w:r>
      <w:r w:rsidR="00B17521">
        <w:rPr>
          <w:lang w:val="en-US"/>
        </w:rPr>
        <w:t>-</w:t>
      </w:r>
      <w:r w:rsidRPr="00984FFC">
        <w:rPr>
          <w:lang w:val="en-US"/>
        </w:rPr>
        <w:t>led NR-NTN</w:t>
      </w:r>
      <w:r w:rsidR="00B17521">
        <w:rPr>
          <w:lang w:val="en-US"/>
        </w:rPr>
        <w:t xml:space="preserve"> WI</w:t>
      </w:r>
    </w:p>
    <w:p w14:paraId="16B39AEE" w14:textId="7C44379C" w:rsidR="00984FFC" w:rsidRPr="00984FFC" w:rsidRDefault="00984FFC" w:rsidP="00984FFC">
      <w:pPr>
        <w:pStyle w:val="Heading2"/>
        <w:spacing w:after="120"/>
        <w:ind w:left="1134" w:hanging="1134"/>
        <w:rPr>
          <w:rFonts w:ascii="Arial" w:hAnsi="Arial" w:cs="Arial"/>
          <w:color w:val="auto"/>
          <w:sz w:val="32"/>
          <w:szCs w:val="32"/>
        </w:rPr>
      </w:pPr>
      <w:r w:rsidRPr="00984FFC">
        <w:rPr>
          <w:rFonts w:ascii="Arial" w:hAnsi="Arial" w:cs="Arial"/>
          <w:color w:val="auto"/>
          <w:sz w:val="32"/>
          <w:szCs w:val="32"/>
        </w:rPr>
        <w:t>3.1</w:t>
      </w:r>
      <w:r w:rsidRPr="00984FFC">
        <w:rPr>
          <w:rFonts w:ascii="Arial" w:hAnsi="Arial" w:cs="Arial"/>
          <w:color w:val="auto"/>
          <w:sz w:val="32"/>
          <w:szCs w:val="32"/>
        </w:rPr>
        <w:tab/>
        <w:t>NTN-assisted coarse positioning solution for GNSS resilient operation in NR-NTN</w:t>
      </w:r>
    </w:p>
    <w:p w14:paraId="5E45D64E" w14:textId="77777777" w:rsidR="00984FFC" w:rsidRPr="00984FFC" w:rsidRDefault="00984FFC" w:rsidP="00984FFC">
      <w:pPr>
        <w:jc w:val="both"/>
        <w:rPr>
          <w:bCs/>
        </w:rPr>
      </w:pPr>
      <w:r w:rsidRPr="00984FFC">
        <w:rPr>
          <w:bCs/>
        </w:rPr>
        <w:t>Several GNSS independent methods can be considered to provide at least a coarse position to the UE for TA management and Doppler pre-compensation, such as: </w:t>
      </w:r>
    </w:p>
    <w:p w14:paraId="383B4448" w14:textId="77777777" w:rsidR="00984FFC" w:rsidRPr="00984FFC" w:rsidRDefault="00984FFC" w:rsidP="00984FFC">
      <w:pPr>
        <w:numPr>
          <w:ilvl w:val="0"/>
          <w:numId w:val="4"/>
        </w:numPr>
        <w:jc w:val="both"/>
        <w:rPr>
          <w:bCs/>
        </w:rPr>
      </w:pPr>
      <w:r w:rsidRPr="00984FFC">
        <w:rPr>
          <w:bCs/>
        </w:rPr>
        <w:t>Prior knowledge of the UE position (applicable at least for stationary UEs)</w:t>
      </w:r>
    </w:p>
    <w:p w14:paraId="54B73EBE" w14:textId="77777777" w:rsidR="00984FFC" w:rsidRPr="00984FFC" w:rsidRDefault="00984FFC" w:rsidP="00984FFC">
      <w:pPr>
        <w:numPr>
          <w:ilvl w:val="0"/>
          <w:numId w:val="4"/>
        </w:numPr>
        <w:jc w:val="both"/>
        <w:rPr>
          <w:bCs/>
        </w:rPr>
      </w:pPr>
      <w:r w:rsidRPr="00984FFC">
        <w:rPr>
          <w:bCs/>
        </w:rPr>
        <w:t>Other non-3GPP positioning solutions </w:t>
      </w:r>
    </w:p>
    <w:p w14:paraId="14EEEEE5" w14:textId="77777777" w:rsidR="00984FFC" w:rsidRPr="00984FFC" w:rsidRDefault="00984FFC" w:rsidP="00984FFC">
      <w:pPr>
        <w:numPr>
          <w:ilvl w:val="0"/>
          <w:numId w:val="4"/>
        </w:numPr>
        <w:jc w:val="both"/>
        <w:rPr>
          <w:bCs/>
        </w:rPr>
      </w:pPr>
      <w:r w:rsidRPr="00984FFC">
        <w:rPr>
          <w:bCs/>
        </w:rPr>
        <w:t>NTN-assisted positioning </w:t>
      </w:r>
    </w:p>
    <w:p w14:paraId="2D4F81F0" w14:textId="77777777" w:rsidR="00984FFC" w:rsidRPr="00984FFC" w:rsidRDefault="00984FFC" w:rsidP="00984FFC">
      <w:pPr>
        <w:jc w:val="both"/>
        <w:rPr>
          <w:bCs/>
        </w:rPr>
      </w:pPr>
      <w:r w:rsidRPr="00984FFC">
        <w:rPr>
          <w:bCs/>
        </w:rPr>
        <w:t>Depending on the scenario conditions, a coarse positioning solution can be sufficient for uplink time and frequency synchronization in NR-NTN access, or additional enhancements may be required.</w:t>
      </w:r>
    </w:p>
    <w:p w14:paraId="5E38973F" w14:textId="77777777" w:rsidR="00984FFC" w:rsidRPr="00984FFC" w:rsidRDefault="00984FFC" w:rsidP="00984FFC">
      <w:pPr>
        <w:jc w:val="both"/>
        <w:rPr>
          <w:b/>
        </w:rPr>
      </w:pPr>
      <w:r w:rsidRPr="00984FFC">
        <w:rPr>
          <w:b/>
          <w:bCs/>
        </w:rPr>
        <w:t>Proposal 1:  To consider a coarse positioning solution potentially complemented by network indication and/or closed-loop adjustment as baseline for GNSS resilient operation.</w:t>
      </w:r>
    </w:p>
    <w:p w14:paraId="4613D148" w14:textId="1757F4BD" w:rsidR="00984FFC" w:rsidRPr="00984FFC" w:rsidRDefault="00984FFC" w:rsidP="00984FFC">
      <w:pPr>
        <w:pStyle w:val="Heading2"/>
        <w:spacing w:after="120"/>
        <w:ind w:left="1134" w:hanging="1134"/>
        <w:rPr>
          <w:rFonts w:ascii="Arial" w:hAnsi="Arial" w:cs="Arial"/>
          <w:color w:val="auto"/>
          <w:sz w:val="32"/>
          <w:szCs w:val="32"/>
        </w:rPr>
      </w:pPr>
      <w:r w:rsidRPr="00984FFC">
        <w:rPr>
          <w:rFonts w:ascii="Arial" w:hAnsi="Arial" w:cs="Arial"/>
          <w:color w:val="auto"/>
          <w:sz w:val="32"/>
          <w:szCs w:val="32"/>
        </w:rPr>
        <w:t>3.</w:t>
      </w:r>
      <w:r>
        <w:rPr>
          <w:rFonts w:ascii="Arial" w:hAnsi="Arial" w:cs="Arial"/>
          <w:color w:val="auto"/>
          <w:sz w:val="32"/>
          <w:szCs w:val="32"/>
        </w:rPr>
        <w:t>2</w:t>
      </w:r>
      <w:r w:rsidRPr="00984FFC">
        <w:rPr>
          <w:rFonts w:ascii="Arial" w:hAnsi="Arial" w:cs="Arial"/>
          <w:color w:val="auto"/>
          <w:sz w:val="32"/>
          <w:szCs w:val="32"/>
        </w:rPr>
        <w:tab/>
        <w:t>Specification impact of NTN positioning solution</w:t>
      </w:r>
    </w:p>
    <w:p w14:paraId="415459AD" w14:textId="794CBF79" w:rsidR="00984FFC" w:rsidRPr="00984FFC" w:rsidRDefault="00984FFC" w:rsidP="00984FFC">
      <w:pPr>
        <w:jc w:val="both"/>
      </w:pPr>
      <w:r w:rsidRPr="00984FFC">
        <w:t xml:space="preserve">The full support of NTN positioning may be in the scope of 6G, especially considering high-accuracy positioning use cases. Nonetheless, existing 5G </w:t>
      </w:r>
      <w:r w:rsidR="005366B9">
        <w:t xml:space="preserve">IoT-NTN and </w:t>
      </w:r>
      <w:r w:rsidRPr="00984FFC">
        <w:t>NR-NTN capabilities are expected to be sufficient for coarse positioning. While network verified UE location methods are supported in 5G by using round-trip time (RTT) measurements, which require active uplink and mainly useful in RRC connected mode, there are other methods that may just rely on the use of downlink signals and related signaling information. </w:t>
      </w:r>
    </w:p>
    <w:p w14:paraId="5C01117F" w14:textId="68233558" w:rsidR="00984FFC" w:rsidRPr="00984FFC" w:rsidRDefault="005366B9" w:rsidP="00984FFC">
      <w:pPr>
        <w:jc w:val="both"/>
      </w:pPr>
      <w:r w:rsidRPr="00984FFC">
        <w:t>Besides</w:t>
      </w:r>
      <w:r w:rsidR="00984FFC" w:rsidRPr="00984FFC">
        <w:t xml:space="preserve"> reference signals optimized for positioning, e.g. positioning reference signal (PRS</w:t>
      </w:r>
      <w:r w:rsidR="00B0277B">
        <w:t>) or</w:t>
      </w:r>
      <w:r>
        <w:t xml:space="preserve"> </w:t>
      </w:r>
      <w:r w:rsidR="00B0277B">
        <w:t xml:space="preserve">narrowband </w:t>
      </w:r>
      <w:r>
        <w:t>PRS</w:t>
      </w:r>
      <w:r w:rsidR="00B0277B">
        <w:t xml:space="preserve"> (NPRS)</w:t>
      </w:r>
      <w:r w:rsidR="00984FFC" w:rsidRPr="00984FFC">
        <w:t>, nearly any existing downlink synchronization and/or reference signal can be used for positioning. This is feasible if from the timestamps and ephemeris data, the position of the satellite at the time of transmission of the downlink RS can be derived with sufficient accuracy. Thus, existing downlink synchronization and/or reference signals and existing signaling information (e.g. as provided via SIB19) may be sufficient to obtain at least a coarse UE position. </w:t>
      </w:r>
    </w:p>
    <w:p w14:paraId="30091233" w14:textId="77777777" w:rsidR="00984FFC" w:rsidRPr="00984FFC" w:rsidRDefault="00984FFC" w:rsidP="00984FFC">
      <w:pPr>
        <w:jc w:val="both"/>
      </w:pPr>
      <w:r w:rsidRPr="00984FFC">
        <w:rPr>
          <w:b/>
          <w:bCs/>
        </w:rPr>
        <w:t>Observation 1: The NTN positioning solution(s) can be implemented without impact to RAN1 specification. </w:t>
      </w:r>
    </w:p>
    <w:p w14:paraId="670BF8EE" w14:textId="012317E4" w:rsidR="00984FFC" w:rsidRPr="00984FFC" w:rsidRDefault="00984FFC" w:rsidP="00984FFC">
      <w:pPr>
        <w:jc w:val="both"/>
      </w:pPr>
      <w:r w:rsidRPr="00984FFC">
        <w:rPr>
          <w:b/>
          <w:bCs/>
        </w:rPr>
        <w:t>Proposal 2: Study the specification impact for the support of a</w:t>
      </w:r>
      <w:r w:rsidR="005366B9">
        <w:rPr>
          <w:b/>
          <w:bCs/>
        </w:rPr>
        <w:t>n</w:t>
      </w:r>
      <w:r w:rsidRPr="00984FFC">
        <w:rPr>
          <w:b/>
          <w:bCs/>
        </w:rPr>
        <w:t xml:space="preserve"> NTN positioning solution providing at least a coarse UE position, assuming:</w:t>
      </w:r>
    </w:p>
    <w:p w14:paraId="40A6DB01" w14:textId="77777777" w:rsidR="00B0277B" w:rsidRDefault="00984FFC" w:rsidP="00B0277B">
      <w:pPr>
        <w:numPr>
          <w:ilvl w:val="0"/>
          <w:numId w:val="5"/>
        </w:numPr>
        <w:jc w:val="both"/>
      </w:pPr>
      <w:r w:rsidRPr="00984FFC">
        <w:rPr>
          <w:b/>
          <w:bCs/>
        </w:rPr>
        <w:t>Updates of the physical layer are excluded, </w:t>
      </w:r>
    </w:p>
    <w:p w14:paraId="5A991E77" w14:textId="00DD30D4" w:rsidR="00B0277B" w:rsidRPr="00B0277B" w:rsidRDefault="00984FFC" w:rsidP="00B0277B">
      <w:pPr>
        <w:numPr>
          <w:ilvl w:val="0"/>
          <w:numId w:val="5"/>
        </w:numPr>
        <w:jc w:val="both"/>
      </w:pPr>
      <w:r w:rsidRPr="00B0277B">
        <w:rPr>
          <w:b/>
          <w:bCs/>
        </w:rPr>
        <w:t>Minimal additional requirements for signaling. </w:t>
      </w:r>
    </w:p>
    <w:p w14:paraId="4817116B" w14:textId="257D7FB6" w:rsidR="005366B9" w:rsidRPr="00984FFC" w:rsidRDefault="005366B9" w:rsidP="00B0277B">
      <w:pPr>
        <w:jc w:val="both"/>
      </w:pPr>
      <w:r>
        <w:rPr>
          <w:b/>
          <w:bCs/>
        </w:rPr>
        <w:t>Note, the study should focus on NR-NTN. However, study phase outcomes may be replicated on IoT-NTN as well.</w:t>
      </w:r>
    </w:p>
    <w:p w14:paraId="35291384" w14:textId="3D73307C" w:rsidR="00984FFC" w:rsidRPr="00984FFC" w:rsidRDefault="00984FFC" w:rsidP="00984FFC">
      <w:pPr>
        <w:pStyle w:val="Heading1"/>
        <w:rPr>
          <w:lang w:val="en-US"/>
        </w:rPr>
      </w:pPr>
      <w:r>
        <w:rPr>
          <w:lang w:val="en-US"/>
        </w:rPr>
        <w:t>4</w:t>
      </w:r>
      <w:r w:rsidRPr="00984FFC">
        <w:rPr>
          <w:lang w:val="en-US"/>
        </w:rPr>
        <w:tab/>
        <w:t>Conclusion and Way Forward</w:t>
      </w:r>
    </w:p>
    <w:p w14:paraId="4D795346" w14:textId="5721195E" w:rsidR="00984FFC" w:rsidRPr="00984FFC" w:rsidRDefault="00984FFC" w:rsidP="00984FFC">
      <w:pPr>
        <w:jc w:val="both"/>
        <w:rPr>
          <w:rFonts w:eastAsia="DengXian"/>
          <w:b/>
          <w:bCs/>
        </w:rPr>
      </w:pPr>
      <w:r w:rsidRPr="00984FFC">
        <w:rPr>
          <w:rFonts w:eastAsia="DengXian"/>
          <w:b/>
          <w:bCs/>
        </w:rPr>
        <w:t>Proposal 1:  To consider a coarse positioning solution potentially complemented by network indication and/or closed-loop adjustment as baseline for GNSS resilient operation.</w:t>
      </w:r>
    </w:p>
    <w:p w14:paraId="3B97DF2A" w14:textId="2BD70AD5" w:rsidR="00984FFC" w:rsidRPr="00984FFC" w:rsidRDefault="00984FFC" w:rsidP="00984FFC">
      <w:pPr>
        <w:jc w:val="both"/>
        <w:rPr>
          <w:rFonts w:eastAsia="DengXian"/>
          <w:b/>
          <w:bCs/>
        </w:rPr>
      </w:pPr>
      <w:r w:rsidRPr="00984FFC">
        <w:rPr>
          <w:rFonts w:eastAsia="DengXian"/>
          <w:b/>
          <w:bCs/>
        </w:rPr>
        <w:t>Observation 1: The NTN positioning solution(s) can be implemented without impact to RAN1 specification. </w:t>
      </w:r>
    </w:p>
    <w:p w14:paraId="4905AAE7" w14:textId="38978718" w:rsidR="00984FFC" w:rsidRPr="00984FFC" w:rsidRDefault="00984FFC" w:rsidP="00984FFC">
      <w:pPr>
        <w:jc w:val="both"/>
      </w:pPr>
      <w:r w:rsidRPr="00984FFC">
        <w:rPr>
          <w:b/>
          <w:bCs/>
        </w:rPr>
        <w:t>Proposal 2: Study the specification impact for the support of a</w:t>
      </w:r>
      <w:r w:rsidR="005366B9">
        <w:rPr>
          <w:b/>
          <w:bCs/>
        </w:rPr>
        <w:t>n</w:t>
      </w:r>
      <w:r w:rsidRPr="00984FFC">
        <w:rPr>
          <w:b/>
          <w:bCs/>
        </w:rPr>
        <w:t xml:space="preserve"> NTN positioning solution providing at least a coarse UE position, assuming:</w:t>
      </w:r>
    </w:p>
    <w:p w14:paraId="797A2BD1" w14:textId="77777777" w:rsidR="00984FFC" w:rsidRPr="00B0277B" w:rsidRDefault="00984FFC" w:rsidP="00984FFC">
      <w:pPr>
        <w:numPr>
          <w:ilvl w:val="0"/>
          <w:numId w:val="5"/>
        </w:numPr>
        <w:jc w:val="both"/>
        <w:rPr>
          <w:b/>
          <w:bCs/>
        </w:rPr>
      </w:pPr>
      <w:r w:rsidRPr="00984FFC">
        <w:rPr>
          <w:b/>
          <w:bCs/>
        </w:rPr>
        <w:lastRenderedPageBreak/>
        <w:t>Updates of the physical layer are excluded, </w:t>
      </w:r>
    </w:p>
    <w:p w14:paraId="6E63E797" w14:textId="77777777" w:rsidR="005366B9" w:rsidRPr="00B0277B" w:rsidRDefault="00984FFC" w:rsidP="005366B9">
      <w:pPr>
        <w:numPr>
          <w:ilvl w:val="0"/>
          <w:numId w:val="5"/>
        </w:numPr>
        <w:jc w:val="both"/>
        <w:rPr>
          <w:b/>
          <w:bCs/>
        </w:rPr>
      </w:pPr>
      <w:r w:rsidRPr="00984FFC">
        <w:rPr>
          <w:b/>
          <w:bCs/>
        </w:rPr>
        <w:t>Minimal additional requirements for signaling. </w:t>
      </w:r>
    </w:p>
    <w:p w14:paraId="25F23D52" w14:textId="54E4F3A5" w:rsidR="005366B9" w:rsidRPr="00984FFC" w:rsidRDefault="005366B9" w:rsidP="00B0277B">
      <w:pPr>
        <w:jc w:val="both"/>
      </w:pPr>
      <w:r w:rsidRPr="00B0277B">
        <w:rPr>
          <w:b/>
          <w:bCs/>
        </w:rPr>
        <w:t>Note, the study should focus on NR-NTN. However, study phase outcomes may be replicated on IoT-NTN as well.</w:t>
      </w:r>
    </w:p>
    <w:sectPr w:rsidR="005366B9" w:rsidRPr="00984FFC" w:rsidSect="00984FFC">
      <w:headerReference w:type="even" r:id="rId7"/>
      <w:headerReference w:type="default" r:id="rId8"/>
      <w:footerReference w:type="even" r:id="rId9"/>
      <w:footerReference w:type="default" r:id="rId10"/>
      <w:headerReference w:type="first" r:id="rId11"/>
      <w:footerReference w:type="first" r:id="rId12"/>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674D" w14:textId="77777777" w:rsidR="00984FFC" w:rsidRDefault="00984FFC" w:rsidP="00984FFC">
      <w:pPr>
        <w:spacing w:after="0" w:line="240" w:lineRule="auto"/>
      </w:pPr>
      <w:r>
        <w:separator/>
      </w:r>
    </w:p>
  </w:endnote>
  <w:endnote w:type="continuationSeparator" w:id="0">
    <w:p w14:paraId="02E22304" w14:textId="77777777" w:rsidR="00984FFC" w:rsidRDefault="00984FFC" w:rsidP="0098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F54E" w14:textId="77777777"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E9B0" w14:textId="3CCDC684" w:rsidR="008E12D7" w:rsidRDefault="008E12D7" w:rsidP="008E12D7">
    <w:pPr>
      <w:pStyle w:val="Footer"/>
    </w:pPr>
    <w:bookmarkStart w:id="2" w:name="TITUS1FooterPrimary"/>
    <w:r w:rsidRPr="008E12D7">
      <w:rPr>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01A6" w14:textId="77777777"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CA82" w14:textId="77777777" w:rsidR="00984FFC" w:rsidRDefault="00984FFC" w:rsidP="00984FFC">
      <w:pPr>
        <w:spacing w:after="0" w:line="240" w:lineRule="auto"/>
      </w:pPr>
      <w:r>
        <w:separator/>
      </w:r>
    </w:p>
  </w:footnote>
  <w:footnote w:type="continuationSeparator" w:id="0">
    <w:p w14:paraId="4B38F5C2" w14:textId="77777777" w:rsidR="00984FFC" w:rsidRDefault="00984FFC" w:rsidP="0098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8C9E" w14:textId="77777777" w:rsidR="008E12D7" w:rsidRDefault="008E1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196" w14:textId="0ACC52A3" w:rsidR="008E12D7" w:rsidRDefault="008E12D7" w:rsidP="008E12D7">
    <w:pPr>
      <w:pStyle w:val="Header"/>
    </w:pPr>
    <w:bookmarkStart w:id="1" w:name="TITUS1HeaderPrimary"/>
    <w:r w:rsidRPr="008E12D7">
      <w:rPr>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2D2" w14:textId="77777777" w:rsidR="008E12D7" w:rsidRDefault="008E1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FFC"/>
    <w:rsid w:val="00036E39"/>
    <w:rsid w:val="00425AE8"/>
    <w:rsid w:val="005366B9"/>
    <w:rsid w:val="008E12D7"/>
    <w:rsid w:val="00984FFC"/>
    <w:rsid w:val="00B0277B"/>
    <w:rsid w:val="00B17521"/>
    <w:rsid w:val="00F51D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A968F"/>
  <w15:chartTrackingRefBased/>
  <w15:docId w15:val="{1F537D16-5AE3-441E-AAFA-6E0E18DE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6B9"/>
    <w:rPr>
      <w:rFonts w:ascii="Arial" w:hAnsi="Arial"/>
      <w:sz w:val="20"/>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98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jc w:val="both"/>
    </w:pPr>
    <w:rPr>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semiHidden/>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984FFC"/>
    <w:pPr>
      <w:ind w:left="720"/>
      <w:contextualSpacing/>
    </w:p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iPriority w:val="99"/>
    <w:unhideWhenUsed/>
    <w:rsid w:val="005366B9"/>
    <w:pPr>
      <w:spacing w:line="240" w:lineRule="auto"/>
    </w:pPr>
    <w:rPr>
      <w:szCs w:val="20"/>
    </w:rPr>
  </w:style>
  <w:style w:type="character" w:customStyle="1" w:styleId="CommentTextChar">
    <w:name w:val="Comment Text Char"/>
    <w:basedOn w:val="DefaultParagraphFont"/>
    <w:link w:val="CommentText"/>
    <w:uiPriority w:val="99"/>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4564</Characters>
  <Application>Microsoft Office Word</Application>
  <DocSecurity>0</DocSecurity>
  <Lines>72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Del Peral Rosado, Jose Antonio [DE]</cp:lastModifiedBy>
  <cp:revision>4</cp:revision>
  <dcterms:created xsi:type="dcterms:W3CDTF">2025-05-26T10:57:00Z</dcterms:created>
  <dcterms:modified xsi:type="dcterms:W3CDTF">2025-05-28T18:32:00Z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87f09b4b-6d25-41d8-9a76-44dbe16452aa</vt:lpwstr>
  </property>
  <property fmtid="{D5CDD505-2E9C-101B-9397-08002B2CF9AE}" pid="3" name="L">
    <vt:lpwstr>XXPUB</vt:lpwstr>
  </property>
  <property fmtid="{D5CDD505-2E9C-101B-9397-08002B2CF9AE}" pid="4" name="STAMP">
    <vt:lpwstr>NO</vt:lpwstr>
  </property>
  <property fmtid="{D5CDD505-2E9C-101B-9397-08002B2CF9AE}" pid="5" name="TaggedBy">
    <vt:lpwstr>o27513734</vt:lpwstr>
  </property>
</Properties>
</file>