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77620" w14:textId="5F9B31DB" w:rsidR="00D23A2C" w:rsidRPr="00D23A2C" w:rsidRDefault="00D23A2C" w:rsidP="00FC1E83">
      <w:pPr>
        <w:pStyle w:val="3GPPHeader"/>
        <w:rPr>
          <w:rFonts w:ascii="Arial" w:eastAsiaTheme="minorEastAsia" w:hAnsi="Arial"/>
          <w:szCs w:val="20"/>
          <w:lang w:val="en-GB" w:eastAsia="en-US"/>
        </w:rPr>
      </w:pPr>
      <w:r w:rsidRPr="00D23A2C">
        <w:rPr>
          <w:rFonts w:ascii="Arial" w:eastAsiaTheme="minorEastAsia" w:hAnsi="Arial"/>
          <w:szCs w:val="20"/>
          <w:lang w:val="en-GB" w:eastAsia="en-US"/>
        </w:rPr>
        <w:t>3GPP TSG RAN Meeting #10</w:t>
      </w:r>
      <w:r w:rsidR="00531349">
        <w:rPr>
          <w:rFonts w:ascii="Arial" w:eastAsiaTheme="minorEastAsia" w:hAnsi="Arial"/>
          <w:szCs w:val="20"/>
          <w:lang w:val="en-GB" w:eastAsia="en-US"/>
        </w:rPr>
        <w:t>7</w:t>
      </w:r>
      <w:r w:rsidRPr="00D23A2C">
        <w:rPr>
          <w:rFonts w:ascii="Arial" w:eastAsiaTheme="minorEastAsia" w:hAnsi="Arial"/>
          <w:szCs w:val="20"/>
          <w:lang w:val="en-GB" w:eastAsia="en-US"/>
        </w:rPr>
        <w:tab/>
      </w:r>
      <w:r w:rsidR="00FC1E83" w:rsidRPr="00FC1E83">
        <w:rPr>
          <w:rFonts w:ascii="Arial" w:eastAsiaTheme="minorEastAsia" w:hAnsi="Arial"/>
          <w:szCs w:val="20"/>
          <w:lang w:eastAsia="en-US"/>
        </w:rPr>
        <w:t>RP-250434</w:t>
      </w:r>
    </w:p>
    <w:p w14:paraId="22E2613E" w14:textId="5041F395" w:rsidR="003B5D44" w:rsidRDefault="00531349" w:rsidP="00D23A2C">
      <w:pPr>
        <w:pStyle w:val="3GPPHeader"/>
      </w:pPr>
      <w:r w:rsidRPr="00531349">
        <w:rPr>
          <w:rFonts w:ascii="Arial" w:eastAsiaTheme="minorEastAsia" w:hAnsi="Arial"/>
          <w:szCs w:val="20"/>
          <w:lang w:val="en-GB" w:eastAsia="en-US"/>
        </w:rPr>
        <w:t>Incheon, Korea, March 12-14, 2025</w:t>
      </w:r>
    </w:p>
    <w:p w14:paraId="636D8650" w14:textId="7403E920" w:rsidR="00E1410C" w:rsidRDefault="00646946">
      <w:pPr>
        <w:pStyle w:val="3GPPHeader"/>
      </w:pPr>
      <w:r>
        <w:t>Agenda Item:</w:t>
      </w:r>
      <w:r>
        <w:tab/>
      </w:r>
      <w:r w:rsidR="00531349">
        <w:t>16</w:t>
      </w:r>
    </w:p>
    <w:p w14:paraId="7BC685B9" w14:textId="10F8569A" w:rsidR="00E1410C" w:rsidRDefault="00646946">
      <w:pPr>
        <w:pStyle w:val="3GPPHeader"/>
      </w:pPr>
      <w:r>
        <w:t>Source:</w:t>
      </w:r>
      <w:r>
        <w:tab/>
        <w:t xml:space="preserve">Apple </w:t>
      </w:r>
    </w:p>
    <w:p w14:paraId="0A05022C" w14:textId="63EA068D" w:rsidR="00E1410C" w:rsidRDefault="00646946">
      <w:pPr>
        <w:pStyle w:val="3GPPHeader"/>
      </w:pPr>
      <w:r>
        <w:t>Title:</w:t>
      </w:r>
      <w:r>
        <w:tab/>
      </w:r>
      <w:r w:rsidR="00282CB8">
        <w:t xml:space="preserve">On </w:t>
      </w:r>
      <w:r w:rsidR="00531349">
        <w:t>IMT-2030 Technical Performance Requirements</w:t>
      </w:r>
    </w:p>
    <w:p w14:paraId="7D30FE1D" w14:textId="6D1AF57C" w:rsidR="00E1410C" w:rsidRDefault="00646946">
      <w:pPr>
        <w:pStyle w:val="3GPPHeader"/>
      </w:pPr>
      <w:r>
        <w:t>Document for:</w:t>
      </w:r>
      <w:r>
        <w:tab/>
        <w:t>Discussion</w:t>
      </w:r>
    </w:p>
    <w:p w14:paraId="5B919E36" w14:textId="77777777" w:rsidR="00E1410C" w:rsidRDefault="00646946">
      <w:pPr>
        <w:pStyle w:val="Heading1"/>
      </w:pPr>
      <w:r>
        <w:t>Introduction</w:t>
      </w:r>
    </w:p>
    <w:p w14:paraId="7C6F6B3C" w14:textId="5898EA9F" w:rsidR="00E1410C" w:rsidRPr="00C13A95" w:rsidRDefault="00646946">
      <w:pPr>
        <w:pStyle w:val="0Maintext"/>
        <w:spacing w:after="120" w:afterAutospacing="0" w:line="240" w:lineRule="auto"/>
        <w:ind w:firstLine="0"/>
        <w:rPr>
          <w:lang w:val="en-US"/>
        </w:rPr>
      </w:pPr>
      <w:r w:rsidRPr="00C13A95">
        <w:rPr>
          <w:lang w:val="en-US"/>
        </w:rPr>
        <w:t>In this contribution</w:t>
      </w:r>
      <w:r w:rsidR="00997BFC">
        <w:rPr>
          <w:lang w:val="en-US"/>
        </w:rPr>
        <w:t xml:space="preserve"> </w:t>
      </w:r>
      <w:r w:rsidRPr="00C13A95">
        <w:rPr>
          <w:lang w:val="en-US"/>
        </w:rPr>
        <w:t xml:space="preserve">we provide our views </w:t>
      </w:r>
      <w:r w:rsidR="00531349">
        <w:rPr>
          <w:lang w:val="en-US"/>
        </w:rPr>
        <w:t>on the IMT-2030 Technical Performance Requirements (TPRs), which are under discussion in ITU-R WP5D.</w:t>
      </w:r>
    </w:p>
    <w:p w14:paraId="5971D308" w14:textId="77777777" w:rsidR="00E1410C" w:rsidRDefault="00646946">
      <w:pPr>
        <w:pStyle w:val="Heading1"/>
      </w:pPr>
      <w:r>
        <w:t>Discussion</w:t>
      </w:r>
    </w:p>
    <w:p w14:paraId="6AFD3A24" w14:textId="7350E700" w:rsidR="00531349" w:rsidRPr="00531349" w:rsidRDefault="00531349" w:rsidP="00531349">
      <w:pPr>
        <w:rPr>
          <w:sz w:val="20"/>
          <w:szCs w:val="20"/>
        </w:rPr>
      </w:pPr>
      <w:r w:rsidRPr="00531349">
        <w:rPr>
          <w:sz w:val="20"/>
          <w:szCs w:val="20"/>
        </w:rPr>
        <w:t xml:space="preserve">RAN#106 approved the SI [1], to investigate the IMT-2030 Technical Performance Requirements, which are being discussed in ITU-R WP5D. </w:t>
      </w:r>
    </w:p>
    <w:p w14:paraId="7B6AD539" w14:textId="77777777" w:rsidR="00531349" w:rsidRPr="00531349" w:rsidRDefault="00531349" w:rsidP="00531349">
      <w:pPr>
        <w:rPr>
          <w:sz w:val="20"/>
          <w:szCs w:val="20"/>
        </w:rPr>
      </w:pPr>
    </w:p>
    <w:p w14:paraId="540BE47A" w14:textId="14CD05B2" w:rsidR="00531349" w:rsidRDefault="00531349" w:rsidP="00531349">
      <w:pPr>
        <w:rPr>
          <w:sz w:val="20"/>
          <w:szCs w:val="20"/>
        </w:rPr>
      </w:pPr>
      <w:r w:rsidRPr="00531349">
        <w:rPr>
          <w:sz w:val="20"/>
          <w:szCs w:val="20"/>
        </w:rPr>
        <w:t xml:space="preserve">Furthermore, RAN#106 approved the LS [2] </w:t>
      </w:r>
      <w:r>
        <w:rPr>
          <w:sz w:val="20"/>
          <w:szCs w:val="20"/>
        </w:rPr>
        <w:t xml:space="preserve">where RAN provided our (very preliminary) view on the list of TPRs. It must be noted that the LS [2] approved by RAN#106 only covered the “legacy” TPRs (i.e. those common to IMT-2020 and IMT-2030) and did not address the new ones (e.g. Sensing). Furthermore, the LS [2] did not provide 3GPP recommendation about the TPR values. </w:t>
      </w:r>
    </w:p>
    <w:p w14:paraId="3BE593C9" w14:textId="77777777" w:rsidR="00531349" w:rsidRDefault="00531349" w:rsidP="00531349">
      <w:pPr>
        <w:rPr>
          <w:sz w:val="20"/>
          <w:szCs w:val="20"/>
        </w:rPr>
      </w:pPr>
    </w:p>
    <w:p w14:paraId="0E27782A" w14:textId="2EC6E257" w:rsidR="00531349" w:rsidRPr="00531349" w:rsidRDefault="00531349" w:rsidP="00531349">
      <w:pPr>
        <w:rPr>
          <w:b/>
          <w:bCs/>
          <w:sz w:val="20"/>
          <w:szCs w:val="20"/>
        </w:rPr>
      </w:pPr>
      <w:r w:rsidRPr="00531349">
        <w:rPr>
          <w:b/>
          <w:bCs/>
          <w:sz w:val="20"/>
          <w:szCs w:val="20"/>
        </w:rPr>
        <w:t xml:space="preserve">Observation 1: the LS to ITU-R WP5D on IMT-2030 TPRs approved by RAN#106 did not address neither the new (e.g. Sensing) TPRs nor provided a 3GPP recommendation on the TPR values. </w:t>
      </w:r>
    </w:p>
    <w:p w14:paraId="76E87F37" w14:textId="77777777" w:rsidR="00531349" w:rsidRDefault="00531349" w:rsidP="00531349">
      <w:pPr>
        <w:rPr>
          <w:sz w:val="20"/>
          <w:szCs w:val="20"/>
        </w:rPr>
      </w:pPr>
    </w:p>
    <w:p w14:paraId="59C1971A" w14:textId="70B87D4B" w:rsidR="00531349" w:rsidRDefault="00531349" w:rsidP="00531349">
      <w:pPr>
        <w:rPr>
          <w:sz w:val="20"/>
          <w:szCs w:val="20"/>
        </w:rPr>
      </w:pPr>
      <w:r>
        <w:rPr>
          <w:sz w:val="20"/>
          <w:szCs w:val="20"/>
        </w:rPr>
        <w:t xml:space="preserve">In the present contribution we address these open questions. </w:t>
      </w:r>
    </w:p>
    <w:p w14:paraId="33B2532F" w14:textId="77777777" w:rsidR="006B2109" w:rsidRDefault="006B2109" w:rsidP="00531349">
      <w:pPr>
        <w:rPr>
          <w:sz w:val="20"/>
          <w:szCs w:val="20"/>
        </w:rPr>
      </w:pPr>
    </w:p>
    <w:p w14:paraId="0D334839" w14:textId="7FFC8AF9" w:rsidR="006B2109" w:rsidRDefault="006B2109" w:rsidP="00531349">
      <w:pPr>
        <w:rPr>
          <w:sz w:val="20"/>
          <w:szCs w:val="20"/>
        </w:rPr>
      </w:pPr>
      <w:r>
        <w:rPr>
          <w:sz w:val="20"/>
          <w:szCs w:val="20"/>
        </w:rPr>
        <w:t>In the last ITU-R WP5D meeting, Sub-Working Group (SWG) Technology [3] sent an LS to SWG Evaluation with the list of TPRs currently under discussion. The list is provided below to facilitate the discussion:</w:t>
      </w:r>
    </w:p>
    <w:p w14:paraId="58C27736" w14:textId="77777777" w:rsidR="006B2109" w:rsidRDefault="006B2109" w:rsidP="00531349">
      <w:pPr>
        <w:rPr>
          <w:sz w:val="20"/>
          <w:szCs w:val="20"/>
        </w:rPr>
      </w:pPr>
    </w:p>
    <w:p w14:paraId="24E2466D" w14:textId="77777777" w:rsidR="006B2109" w:rsidRDefault="006B2109" w:rsidP="006B2109">
      <w:pPr>
        <w:pStyle w:val="Tabletitle"/>
      </w:pPr>
      <w:r>
        <w:t>Preliminary list of Minimum Technical Performance Requirements</w:t>
      </w:r>
    </w:p>
    <w:p w14:paraId="17B4798C" w14:textId="77777777" w:rsidR="006B2109" w:rsidRPr="00E42376" w:rsidRDefault="006B2109" w:rsidP="006B2109">
      <w:pPr>
        <w:pStyle w:val="Note"/>
        <w:jc w:val="center"/>
        <w:rPr>
          <w:i/>
          <w:iCs/>
          <w:sz w:val="20"/>
          <w:szCs w:val="18"/>
        </w:rPr>
      </w:pPr>
      <w:r w:rsidRPr="00E42376">
        <w:rPr>
          <w:i/>
          <w:iCs/>
          <w:sz w:val="20"/>
          <w:szCs w:val="18"/>
        </w:rPr>
        <w:t>(Note: Square brackets indicate further discussion required)</w:t>
      </w:r>
    </w:p>
    <w:tbl>
      <w:tblPr>
        <w:tblStyle w:val="TableGrid"/>
        <w:tblW w:w="0" w:type="auto"/>
        <w:jc w:val="center"/>
        <w:tblLook w:val="04A0" w:firstRow="1" w:lastRow="0" w:firstColumn="1" w:lastColumn="0" w:noHBand="0" w:noVBand="1"/>
      </w:tblPr>
      <w:tblGrid>
        <w:gridCol w:w="4955"/>
        <w:gridCol w:w="1805"/>
      </w:tblGrid>
      <w:tr w:rsidR="006B2109" w:rsidRPr="00844B18" w14:paraId="3F39BDAA" w14:textId="77777777" w:rsidTr="008B5F28">
        <w:trPr>
          <w:tblHeader/>
          <w:jc w:val="center"/>
        </w:trPr>
        <w:tc>
          <w:tcPr>
            <w:tcW w:w="4955" w:type="dxa"/>
          </w:tcPr>
          <w:p w14:paraId="01A7C150" w14:textId="77777777" w:rsidR="006B2109" w:rsidRPr="00844B18" w:rsidRDefault="006B2109" w:rsidP="008B5F28">
            <w:pPr>
              <w:pStyle w:val="Tablehead"/>
            </w:pPr>
            <w:r w:rsidRPr="00844B18">
              <w:t>M</w:t>
            </w:r>
            <w:r>
              <w:t>inimum Technical Performance Requirement</w:t>
            </w:r>
          </w:p>
        </w:tc>
        <w:tc>
          <w:tcPr>
            <w:tcW w:w="1805" w:type="dxa"/>
          </w:tcPr>
          <w:p w14:paraId="1BAFB830" w14:textId="77777777" w:rsidR="006B2109" w:rsidRPr="00844B18" w:rsidRDefault="006B2109" w:rsidP="008B5F28">
            <w:pPr>
              <w:pStyle w:val="Tablehead"/>
            </w:pPr>
            <w:r w:rsidRPr="00844B18">
              <w:t>Method</w:t>
            </w:r>
          </w:p>
        </w:tc>
      </w:tr>
      <w:tr w:rsidR="006B2109" w:rsidRPr="00D26E80" w14:paraId="1AF7CC5A" w14:textId="77777777" w:rsidTr="008B5F28">
        <w:trPr>
          <w:jc w:val="center"/>
        </w:trPr>
        <w:tc>
          <w:tcPr>
            <w:tcW w:w="4955" w:type="dxa"/>
          </w:tcPr>
          <w:p w14:paraId="252DF8E4" w14:textId="77777777" w:rsidR="006B2109" w:rsidRPr="00D26E80" w:rsidRDefault="006B2109" w:rsidP="008B5F28">
            <w:pPr>
              <w:pStyle w:val="Tabletext"/>
            </w:pPr>
            <w:r w:rsidRPr="00D26E80">
              <w:t>AI-related capabilities</w:t>
            </w:r>
          </w:p>
        </w:tc>
        <w:tc>
          <w:tcPr>
            <w:tcW w:w="1805" w:type="dxa"/>
          </w:tcPr>
          <w:p w14:paraId="6FB201B1" w14:textId="77777777" w:rsidR="006B2109" w:rsidRPr="008C4671" w:rsidRDefault="006B2109" w:rsidP="008B5F28">
            <w:pPr>
              <w:pStyle w:val="Tabletext"/>
              <w:rPr>
                <w:i/>
                <w:iCs/>
              </w:rPr>
            </w:pPr>
            <w:r w:rsidRPr="008C4671">
              <w:rPr>
                <w:i/>
                <w:iCs/>
              </w:rPr>
              <w:t>(to be determined)</w:t>
            </w:r>
          </w:p>
        </w:tc>
      </w:tr>
      <w:tr w:rsidR="006B2109" w:rsidRPr="00D26E80" w14:paraId="29B9FCFF" w14:textId="77777777" w:rsidTr="008B5F28">
        <w:trPr>
          <w:jc w:val="center"/>
        </w:trPr>
        <w:tc>
          <w:tcPr>
            <w:tcW w:w="4955" w:type="dxa"/>
          </w:tcPr>
          <w:p w14:paraId="2F676580" w14:textId="77777777" w:rsidR="006B2109" w:rsidRPr="00D26E80" w:rsidRDefault="006B2109" w:rsidP="008B5F28">
            <w:pPr>
              <w:pStyle w:val="Tabletext"/>
              <w:rPr>
                <w:rFonts w:eastAsia="Gulim"/>
                <w:szCs w:val="24"/>
              </w:rPr>
            </w:pPr>
            <w:r w:rsidRPr="00D26E80">
              <w:rPr>
                <w:rFonts w:eastAsia="Gulim"/>
                <w:szCs w:val="24"/>
              </w:rPr>
              <w:t xml:space="preserve">Area traffic capacity </w:t>
            </w:r>
          </w:p>
        </w:tc>
        <w:tc>
          <w:tcPr>
            <w:tcW w:w="1805" w:type="dxa"/>
          </w:tcPr>
          <w:p w14:paraId="2CAD99F2" w14:textId="77777777" w:rsidR="006B2109" w:rsidRDefault="006B2109" w:rsidP="008B5F28">
            <w:pPr>
              <w:pStyle w:val="Tabletext"/>
              <w:rPr>
                <w:rFonts w:eastAsia="Gulim"/>
                <w:szCs w:val="24"/>
              </w:rPr>
            </w:pPr>
            <w:r w:rsidRPr="00D26E80">
              <w:rPr>
                <w:rFonts w:eastAsia="Gulim"/>
                <w:szCs w:val="24"/>
              </w:rPr>
              <w:t>(Quantitative)</w:t>
            </w:r>
          </w:p>
          <w:p w14:paraId="1AF7A678" w14:textId="77777777" w:rsidR="006B2109" w:rsidRPr="000926C8" w:rsidRDefault="006B2109" w:rsidP="008B5F28">
            <w:pPr>
              <w:pStyle w:val="Tabletext"/>
              <w:rPr>
                <w:i/>
                <w:iCs/>
              </w:rPr>
            </w:pPr>
            <w:r>
              <w:t>(</w:t>
            </w:r>
            <w:r>
              <w:rPr>
                <w:i/>
                <w:iCs/>
              </w:rPr>
              <w:t>Note 1)</w:t>
            </w:r>
          </w:p>
        </w:tc>
      </w:tr>
      <w:tr w:rsidR="006B2109" w:rsidRPr="00D26E80" w14:paraId="5F0EECBF" w14:textId="77777777" w:rsidTr="008B5F28">
        <w:trPr>
          <w:jc w:val="center"/>
        </w:trPr>
        <w:tc>
          <w:tcPr>
            <w:tcW w:w="4955" w:type="dxa"/>
          </w:tcPr>
          <w:p w14:paraId="5F2B8D57" w14:textId="77777777" w:rsidR="006B2109" w:rsidRPr="00D26E80" w:rsidRDefault="006B2109" w:rsidP="008B5F28">
            <w:pPr>
              <w:pStyle w:val="Tabletext"/>
            </w:pPr>
            <w:r w:rsidRPr="00D26E80">
              <w:t>Average Spectral efficiency</w:t>
            </w:r>
          </w:p>
        </w:tc>
        <w:tc>
          <w:tcPr>
            <w:tcW w:w="1805" w:type="dxa"/>
          </w:tcPr>
          <w:p w14:paraId="24DA201E" w14:textId="77777777" w:rsidR="006B2109" w:rsidRPr="00D26E80" w:rsidRDefault="006B2109" w:rsidP="008B5F28">
            <w:pPr>
              <w:pStyle w:val="Tabletext"/>
            </w:pPr>
            <w:r w:rsidRPr="00D26E80">
              <w:rPr>
                <w:rFonts w:eastAsia="Gulim"/>
                <w:szCs w:val="24"/>
              </w:rPr>
              <w:t>(Quantitative)</w:t>
            </w:r>
          </w:p>
        </w:tc>
      </w:tr>
      <w:tr w:rsidR="006B2109" w:rsidRPr="00D26E80" w14:paraId="33E09EDA" w14:textId="77777777" w:rsidTr="008B5F28">
        <w:trPr>
          <w:jc w:val="center"/>
        </w:trPr>
        <w:tc>
          <w:tcPr>
            <w:tcW w:w="4955" w:type="dxa"/>
          </w:tcPr>
          <w:p w14:paraId="5A9D5106" w14:textId="77777777" w:rsidR="006B2109" w:rsidRPr="00D26E80" w:rsidRDefault="006B2109" w:rsidP="008B5F28">
            <w:pPr>
              <w:pStyle w:val="Tabletext"/>
              <w:rPr>
                <w:rFonts w:eastAsia="Gulim"/>
                <w:szCs w:val="24"/>
              </w:rPr>
            </w:pPr>
            <w:r w:rsidRPr="00D26E80">
              <w:rPr>
                <w:rFonts w:eastAsia="Gulim"/>
                <w:szCs w:val="24"/>
              </w:rPr>
              <w:t>Peak spectral efficiency</w:t>
            </w:r>
          </w:p>
        </w:tc>
        <w:tc>
          <w:tcPr>
            <w:tcW w:w="1805" w:type="dxa"/>
          </w:tcPr>
          <w:p w14:paraId="603A33C3"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079BC9FE" w14:textId="77777777" w:rsidTr="008B5F28">
        <w:trPr>
          <w:jc w:val="center"/>
        </w:trPr>
        <w:tc>
          <w:tcPr>
            <w:tcW w:w="4955" w:type="dxa"/>
          </w:tcPr>
          <w:p w14:paraId="4B3AD0F5" w14:textId="77777777" w:rsidR="006B2109" w:rsidRPr="00D26E80" w:rsidRDefault="006B2109" w:rsidP="008B5F28">
            <w:pPr>
              <w:pStyle w:val="Tabletext"/>
              <w:rPr>
                <w:rFonts w:eastAsia="Gulim"/>
                <w:szCs w:val="24"/>
              </w:rPr>
            </w:pPr>
            <w:r w:rsidRPr="00A51C9B">
              <w:t>5th percentile user Spectral efficiency</w:t>
            </w:r>
          </w:p>
        </w:tc>
        <w:tc>
          <w:tcPr>
            <w:tcW w:w="1805" w:type="dxa"/>
          </w:tcPr>
          <w:p w14:paraId="2A6F36F3" w14:textId="77777777" w:rsidR="006B2109" w:rsidRPr="00D26E80" w:rsidRDefault="006B2109" w:rsidP="008B5F28">
            <w:pPr>
              <w:pStyle w:val="Tabletext"/>
              <w:rPr>
                <w:rFonts w:eastAsia="Gulim"/>
                <w:szCs w:val="24"/>
              </w:rPr>
            </w:pPr>
            <w:r>
              <w:rPr>
                <w:rFonts w:eastAsia="Gulim"/>
                <w:szCs w:val="24"/>
              </w:rPr>
              <w:t>(Quantitative)</w:t>
            </w:r>
          </w:p>
        </w:tc>
      </w:tr>
      <w:tr w:rsidR="006B2109" w:rsidRPr="00D26E80" w14:paraId="659D34F8" w14:textId="77777777" w:rsidTr="008B5F28">
        <w:trPr>
          <w:jc w:val="center"/>
        </w:trPr>
        <w:tc>
          <w:tcPr>
            <w:tcW w:w="4955" w:type="dxa"/>
          </w:tcPr>
          <w:p w14:paraId="7EA0D436" w14:textId="77777777" w:rsidR="006B2109" w:rsidRPr="00D26E80" w:rsidRDefault="006B2109" w:rsidP="008B5F28">
            <w:pPr>
              <w:pStyle w:val="Tabletext"/>
              <w:rPr>
                <w:rFonts w:eastAsia="Gulim"/>
                <w:szCs w:val="24"/>
              </w:rPr>
            </w:pPr>
            <w:r w:rsidRPr="00D26E80">
              <w:rPr>
                <w:rFonts w:eastAsia="Gulim"/>
                <w:szCs w:val="24"/>
              </w:rPr>
              <w:t>Bandwidth</w:t>
            </w:r>
          </w:p>
        </w:tc>
        <w:tc>
          <w:tcPr>
            <w:tcW w:w="1805" w:type="dxa"/>
          </w:tcPr>
          <w:p w14:paraId="7AFA0BA2"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14D38589" w14:textId="77777777" w:rsidTr="008B5F28">
        <w:trPr>
          <w:jc w:val="center"/>
        </w:trPr>
        <w:tc>
          <w:tcPr>
            <w:tcW w:w="4955" w:type="dxa"/>
          </w:tcPr>
          <w:p w14:paraId="5B05F651" w14:textId="77777777" w:rsidR="006B2109" w:rsidRPr="00D26E80" w:rsidRDefault="006B2109" w:rsidP="008B5F28">
            <w:pPr>
              <w:pStyle w:val="Tabletext"/>
              <w:rPr>
                <w:rFonts w:eastAsia="Gulim"/>
                <w:szCs w:val="24"/>
              </w:rPr>
            </w:pPr>
            <w:r w:rsidRPr="00D26E80">
              <w:rPr>
                <w:rFonts w:eastAsia="Gulim"/>
                <w:szCs w:val="24"/>
              </w:rPr>
              <w:t>Connection density</w:t>
            </w:r>
          </w:p>
        </w:tc>
        <w:tc>
          <w:tcPr>
            <w:tcW w:w="1805" w:type="dxa"/>
          </w:tcPr>
          <w:p w14:paraId="0EC774AB" w14:textId="77777777" w:rsidR="006B2109" w:rsidRPr="00D26E80" w:rsidRDefault="006B2109" w:rsidP="008B5F28">
            <w:pPr>
              <w:pStyle w:val="Tabletext"/>
            </w:pPr>
            <w:r w:rsidRPr="00D26E80">
              <w:rPr>
                <w:rFonts w:eastAsia="Gulim"/>
                <w:szCs w:val="24"/>
              </w:rPr>
              <w:t>(Quantitative)</w:t>
            </w:r>
          </w:p>
        </w:tc>
      </w:tr>
      <w:tr w:rsidR="006B2109" w:rsidRPr="00D26E80" w14:paraId="184B5F4E" w14:textId="77777777" w:rsidTr="008B5F28">
        <w:trPr>
          <w:jc w:val="center"/>
        </w:trPr>
        <w:tc>
          <w:tcPr>
            <w:tcW w:w="4955" w:type="dxa"/>
          </w:tcPr>
          <w:p w14:paraId="11B6A234" w14:textId="77777777" w:rsidR="006B2109" w:rsidRPr="00D26E80" w:rsidRDefault="006B2109" w:rsidP="008B5F28">
            <w:pPr>
              <w:pStyle w:val="Tabletext"/>
            </w:pPr>
            <w:r w:rsidRPr="00D26E80">
              <w:t xml:space="preserve">Control plane latency </w:t>
            </w:r>
          </w:p>
        </w:tc>
        <w:tc>
          <w:tcPr>
            <w:tcW w:w="1805" w:type="dxa"/>
          </w:tcPr>
          <w:p w14:paraId="267958AB" w14:textId="77777777" w:rsidR="006B2109" w:rsidRPr="00D26E80" w:rsidRDefault="006B2109" w:rsidP="008B5F28">
            <w:pPr>
              <w:pStyle w:val="Tabletext"/>
            </w:pPr>
            <w:r w:rsidRPr="00D26E80">
              <w:rPr>
                <w:rFonts w:eastAsia="Gulim"/>
                <w:szCs w:val="24"/>
              </w:rPr>
              <w:t>(Quantitative)</w:t>
            </w:r>
          </w:p>
        </w:tc>
      </w:tr>
      <w:tr w:rsidR="006B2109" w:rsidRPr="00D26E80" w14:paraId="0136A2EC" w14:textId="77777777" w:rsidTr="008B5F28">
        <w:trPr>
          <w:jc w:val="center"/>
        </w:trPr>
        <w:tc>
          <w:tcPr>
            <w:tcW w:w="4955" w:type="dxa"/>
          </w:tcPr>
          <w:p w14:paraId="1E93FC3E" w14:textId="77777777" w:rsidR="006B2109" w:rsidRPr="00D26E80" w:rsidRDefault="006B2109" w:rsidP="008B5F28">
            <w:pPr>
              <w:pStyle w:val="Tabletext"/>
              <w:rPr>
                <w:rFonts w:eastAsia="Gulim"/>
                <w:szCs w:val="24"/>
              </w:rPr>
            </w:pPr>
            <w:r w:rsidRPr="00D26E80">
              <w:rPr>
                <w:rFonts w:eastAsia="Gulim"/>
                <w:szCs w:val="24"/>
              </w:rPr>
              <w:t xml:space="preserve">User plane latency </w:t>
            </w:r>
          </w:p>
        </w:tc>
        <w:tc>
          <w:tcPr>
            <w:tcW w:w="1805" w:type="dxa"/>
          </w:tcPr>
          <w:p w14:paraId="2E40A640"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5D682E4F" w14:textId="77777777" w:rsidTr="008B5F28">
        <w:trPr>
          <w:jc w:val="center"/>
        </w:trPr>
        <w:tc>
          <w:tcPr>
            <w:tcW w:w="4955" w:type="dxa"/>
          </w:tcPr>
          <w:p w14:paraId="2814D7A8" w14:textId="77777777" w:rsidR="006B2109" w:rsidRPr="00D26E80" w:rsidRDefault="006B2109" w:rsidP="008B5F28">
            <w:pPr>
              <w:pStyle w:val="Tabletext"/>
            </w:pPr>
            <w:r w:rsidRPr="00D26E80">
              <w:t xml:space="preserve">Energy Efficiency </w:t>
            </w:r>
          </w:p>
        </w:tc>
        <w:tc>
          <w:tcPr>
            <w:tcW w:w="1805" w:type="dxa"/>
          </w:tcPr>
          <w:p w14:paraId="42A20A0B" w14:textId="77777777" w:rsidR="006B2109" w:rsidRPr="00D26E80" w:rsidRDefault="006B2109" w:rsidP="008B5F28">
            <w:pPr>
              <w:pStyle w:val="Tabletext"/>
            </w:pPr>
            <w:r w:rsidRPr="00D26E80">
              <w:rPr>
                <w:rFonts w:eastAsia="Gulim"/>
                <w:szCs w:val="24"/>
              </w:rPr>
              <w:t>(Quantitative)</w:t>
            </w:r>
          </w:p>
        </w:tc>
      </w:tr>
      <w:tr w:rsidR="006B2109" w:rsidRPr="00D26E80" w14:paraId="0B4C737E" w14:textId="77777777" w:rsidTr="008B5F28">
        <w:trPr>
          <w:jc w:val="center"/>
        </w:trPr>
        <w:tc>
          <w:tcPr>
            <w:tcW w:w="4955" w:type="dxa"/>
          </w:tcPr>
          <w:p w14:paraId="00C57AEC" w14:textId="77777777" w:rsidR="006B2109" w:rsidRPr="00D26E80" w:rsidRDefault="006B2109" w:rsidP="008B5F28">
            <w:pPr>
              <w:pStyle w:val="Tabletext"/>
            </w:pPr>
            <w:r w:rsidRPr="00D26E80">
              <w:t>Mobility</w:t>
            </w:r>
          </w:p>
        </w:tc>
        <w:tc>
          <w:tcPr>
            <w:tcW w:w="1805" w:type="dxa"/>
          </w:tcPr>
          <w:p w14:paraId="33096AA1" w14:textId="77777777" w:rsidR="006B2109" w:rsidRPr="00D26E80" w:rsidRDefault="006B2109" w:rsidP="008B5F28">
            <w:pPr>
              <w:pStyle w:val="Tabletext"/>
            </w:pPr>
            <w:r w:rsidRPr="00D26E80">
              <w:t xml:space="preserve"> </w:t>
            </w:r>
            <w:r w:rsidRPr="00D26E80">
              <w:rPr>
                <w:rFonts w:eastAsia="Gulim"/>
                <w:szCs w:val="24"/>
              </w:rPr>
              <w:t>(Quantitative)</w:t>
            </w:r>
          </w:p>
        </w:tc>
      </w:tr>
      <w:tr w:rsidR="006B2109" w:rsidRPr="00D26E80" w14:paraId="5314CF88" w14:textId="77777777" w:rsidTr="008B5F28">
        <w:trPr>
          <w:jc w:val="center"/>
        </w:trPr>
        <w:tc>
          <w:tcPr>
            <w:tcW w:w="4955" w:type="dxa"/>
          </w:tcPr>
          <w:p w14:paraId="0EF74EF4" w14:textId="77777777" w:rsidR="006B2109" w:rsidRPr="00D26E80" w:rsidRDefault="006B2109" w:rsidP="008B5F28">
            <w:pPr>
              <w:pStyle w:val="Tabletext"/>
              <w:rPr>
                <w:rFonts w:eastAsia="Gulim"/>
                <w:szCs w:val="24"/>
              </w:rPr>
            </w:pPr>
            <w:r w:rsidRPr="00D26E80">
              <w:rPr>
                <w:rFonts w:eastAsia="Gulim"/>
                <w:szCs w:val="24"/>
              </w:rPr>
              <w:t xml:space="preserve">Mobility interruption time </w:t>
            </w:r>
          </w:p>
        </w:tc>
        <w:tc>
          <w:tcPr>
            <w:tcW w:w="1805" w:type="dxa"/>
          </w:tcPr>
          <w:p w14:paraId="409C9BE1" w14:textId="77777777" w:rsidR="006B2109" w:rsidRPr="00D26E80" w:rsidRDefault="006B2109" w:rsidP="008B5F28">
            <w:pPr>
              <w:pStyle w:val="Tabletext"/>
            </w:pPr>
            <w:r w:rsidRPr="00D26E80">
              <w:rPr>
                <w:rFonts w:eastAsia="Gulim"/>
                <w:szCs w:val="24"/>
              </w:rPr>
              <w:t>(Quantitative)</w:t>
            </w:r>
          </w:p>
        </w:tc>
      </w:tr>
      <w:tr w:rsidR="006B2109" w:rsidRPr="00D26E80" w14:paraId="57D72D4E" w14:textId="77777777" w:rsidTr="008B5F28">
        <w:trPr>
          <w:jc w:val="center"/>
        </w:trPr>
        <w:tc>
          <w:tcPr>
            <w:tcW w:w="4955" w:type="dxa"/>
          </w:tcPr>
          <w:p w14:paraId="606A6CE5" w14:textId="77777777" w:rsidR="006B2109" w:rsidRPr="00D26E80" w:rsidRDefault="006B2109" w:rsidP="008B5F28">
            <w:pPr>
              <w:pStyle w:val="Tabletext"/>
              <w:rPr>
                <w:rFonts w:eastAsia="Gulim"/>
                <w:szCs w:val="24"/>
              </w:rPr>
            </w:pPr>
            <w:r>
              <w:rPr>
                <w:rFonts w:eastAsia="Gulim"/>
                <w:szCs w:val="24"/>
              </w:rPr>
              <w:lastRenderedPageBreak/>
              <w:t>Peak data rate</w:t>
            </w:r>
          </w:p>
        </w:tc>
        <w:tc>
          <w:tcPr>
            <w:tcW w:w="1805" w:type="dxa"/>
          </w:tcPr>
          <w:p w14:paraId="6DE07AE2"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0DC1FEE8" w14:textId="77777777" w:rsidTr="008B5F28">
        <w:trPr>
          <w:jc w:val="center"/>
        </w:trPr>
        <w:tc>
          <w:tcPr>
            <w:tcW w:w="4955" w:type="dxa"/>
          </w:tcPr>
          <w:p w14:paraId="74F1F741" w14:textId="77777777" w:rsidR="006B2109" w:rsidRDefault="006B2109" w:rsidP="008B5F28">
            <w:pPr>
              <w:pStyle w:val="Tabletext"/>
              <w:rPr>
                <w:rFonts w:eastAsia="Gulim"/>
                <w:szCs w:val="24"/>
              </w:rPr>
            </w:pPr>
            <w:r>
              <w:rPr>
                <w:rFonts w:eastAsia="Gulim"/>
                <w:szCs w:val="24"/>
              </w:rPr>
              <w:t>User Experienced Data Rate</w:t>
            </w:r>
          </w:p>
        </w:tc>
        <w:tc>
          <w:tcPr>
            <w:tcW w:w="1805" w:type="dxa"/>
          </w:tcPr>
          <w:p w14:paraId="01A7645D"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667D98C6" w14:textId="77777777" w:rsidTr="008B5F28">
        <w:trPr>
          <w:jc w:val="center"/>
        </w:trPr>
        <w:tc>
          <w:tcPr>
            <w:tcW w:w="4955" w:type="dxa"/>
          </w:tcPr>
          <w:p w14:paraId="665CC9D2" w14:textId="77777777" w:rsidR="006B2109" w:rsidRDefault="006B2109" w:rsidP="008B5F28">
            <w:pPr>
              <w:pStyle w:val="Tabletext"/>
              <w:rPr>
                <w:rFonts w:eastAsia="Gulim"/>
                <w:szCs w:val="24"/>
              </w:rPr>
            </w:pPr>
            <w:r>
              <w:rPr>
                <w:rFonts w:eastAsia="Gulim"/>
                <w:szCs w:val="24"/>
              </w:rPr>
              <w:t>Sensing-related capabilities</w:t>
            </w:r>
          </w:p>
        </w:tc>
        <w:tc>
          <w:tcPr>
            <w:tcW w:w="1805" w:type="dxa"/>
          </w:tcPr>
          <w:p w14:paraId="10B763D5"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3BD578C9" w14:textId="77777777" w:rsidTr="008B5F28">
        <w:trPr>
          <w:jc w:val="center"/>
        </w:trPr>
        <w:tc>
          <w:tcPr>
            <w:tcW w:w="4955" w:type="dxa"/>
          </w:tcPr>
          <w:p w14:paraId="7B5ADF2F" w14:textId="77777777" w:rsidR="006B2109" w:rsidRDefault="006B2109" w:rsidP="008B5F28">
            <w:pPr>
              <w:pStyle w:val="Tabletext"/>
              <w:rPr>
                <w:rFonts w:eastAsia="Gulim"/>
                <w:szCs w:val="24"/>
              </w:rPr>
            </w:pPr>
            <w:r>
              <w:rPr>
                <w:rFonts w:eastAsia="Gulim"/>
                <w:szCs w:val="24"/>
              </w:rPr>
              <w:t>Positioning</w:t>
            </w:r>
          </w:p>
        </w:tc>
        <w:tc>
          <w:tcPr>
            <w:tcW w:w="1805" w:type="dxa"/>
          </w:tcPr>
          <w:p w14:paraId="6831068F" w14:textId="77777777" w:rsidR="006B2109" w:rsidRPr="00D26E80" w:rsidRDefault="006B2109" w:rsidP="008B5F28">
            <w:pPr>
              <w:pStyle w:val="Tabletext"/>
              <w:rPr>
                <w:rFonts w:eastAsia="Gulim"/>
                <w:szCs w:val="24"/>
              </w:rPr>
            </w:pPr>
            <w:r w:rsidRPr="00D26E80">
              <w:rPr>
                <w:rFonts w:eastAsia="Gulim"/>
                <w:szCs w:val="24"/>
              </w:rPr>
              <w:t>(Quantitative)</w:t>
            </w:r>
          </w:p>
        </w:tc>
      </w:tr>
      <w:tr w:rsidR="006B2109" w:rsidRPr="00D26E80" w14:paraId="735F655E" w14:textId="77777777" w:rsidTr="008B5F28">
        <w:trPr>
          <w:jc w:val="center"/>
        </w:trPr>
        <w:tc>
          <w:tcPr>
            <w:tcW w:w="4955" w:type="dxa"/>
          </w:tcPr>
          <w:p w14:paraId="078792E3" w14:textId="77777777" w:rsidR="006B2109" w:rsidRDefault="006B2109" w:rsidP="008B5F28">
            <w:pPr>
              <w:pStyle w:val="Tabletext"/>
              <w:rPr>
                <w:rFonts w:eastAsia="Gulim"/>
                <w:szCs w:val="24"/>
              </w:rPr>
            </w:pPr>
            <w:r>
              <w:rPr>
                <w:rFonts w:eastAsia="Gulim"/>
                <w:szCs w:val="24"/>
              </w:rPr>
              <w:t>Reliability</w:t>
            </w:r>
          </w:p>
        </w:tc>
        <w:tc>
          <w:tcPr>
            <w:tcW w:w="1805" w:type="dxa"/>
          </w:tcPr>
          <w:p w14:paraId="771AB619" w14:textId="77777777" w:rsidR="006B2109" w:rsidRDefault="006B2109" w:rsidP="008B5F28">
            <w:pPr>
              <w:pStyle w:val="Tabletext"/>
              <w:rPr>
                <w:rFonts w:eastAsia="Gulim"/>
                <w:szCs w:val="24"/>
              </w:rPr>
            </w:pPr>
            <w:r w:rsidRPr="00D26E80">
              <w:rPr>
                <w:rFonts w:eastAsia="Gulim"/>
                <w:szCs w:val="24"/>
              </w:rPr>
              <w:t>(Quantitative)</w:t>
            </w:r>
          </w:p>
          <w:p w14:paraId="56C8E0A8" w14:textId="77777777" w:rsidR="006B2109" w:rsidRPr="000C08DF" w:rsidRDefault="006B2109" w:rsidP="008B5F28">
            <w:pPr>
              <w:pStyle w:val="Tabletext"/>
              <w:rPr>
                <w:rFonts w:eastAsia="Gulim"/>
                <w:i/>
                <w:iCs/>
                <w:szCs w:val="24"/>
              </w:rPr>
            </w:pPr>
            <w:r>
              <w:rPr>
                <w:rFonts w:eastAsia="Gulim"/>
                <w:i/>
                <w:iCs/>
                <w:szCs w:val="24"/>
              </w:rPr>
              <w:t>(Note 2)</w:t>
            </w:r>
          </w:p>
        </w:tc>
      </w:tr>
      <w:tr w:rsidR="006B2109" w:rsidRPr="00844B18" w14:paraId="1B3F31E7" w14:textId="77777777" w:rsidTr="008B5F28">
        <w:trPr>
          <w:trHeight w:val="207"/>
          <w:jc w:val="center"/>
        </w:trPr>
        <w:tc>
          <w:tcPr>
            <w:tcW w:w="4955" w:type="dxa"/>
          </w:tcPr>
          <w:p w14:paraId="2DC0CD46" w14:textId="77777777" w:rsidR="006B2109" w:rsidRPr="00062865" w:rsidRDefault="006B2109" w:rsidP="008B5F28">
            <w:pPr>
              <w:pStyle w:val="Tabletext"/>
              <w:rPr>
                <w:rFonts w:eastAsia="Gulim"/>
              </w:rPr>
            </w:pPr>
            <w:r w:rsidRPr="00062865">
              <w:rPr>
                <w:rFonts w:eastAsia="Gulim"/>
                <w:szCs w:val="24"/>
              </w:rPr>
              <w:t>[Joint requirement on data rate, latency</w:t>
            </w:r>
            <w:r w:rsidRPr="00062865">
              <w:rPr>
                <w:rFonts w:eastAsia="Gulim"/>
              </w:rPr>
              <w:t>, reliability and capacity]</w:t>
            </w:r>
          </w:p>
        </w:tc>
        <w:tc>
          <w:tcPr>
            <w:tcW w:w="1805" w:type="dxa"/>
          </w:tcPr>
          <w:p w14:paraId="588FAF26" w14:textId="77777777" w:rsidR="006B2109" w:rsidRPr="00844B18" w:rsidRDefault="006B2109" w:rsidP="008B5F28">
            <w:pPr>
              <w:pStyle w:val="Tabletext"/>
              <w:rPr>
                <w:rFonts w:eastAsia="Gulim"/>
                <w:i/>
                <w:iCs/>
              </w:rPr>
            </w:pPr>
            <w:r>
              <w:rPr>
                <w:rFonts w:eastAsia="Gulim"/>
                <w:i/>
                <w:iCs/>
              </w:rPr>
              <w:t>To be determined</w:t>
            </w:r>
          </w:p>
        </w:tc>
      </w:tr>
      <w:tr w:rsidR="006B2109" w:rsidRPr="00844B18" w14:paraId="7BF540EE" w14:textId="77777777" w:rsidTr="008B5F28">
        <w:trPr>
          <w:trHeight w:val="203"/>
          <w:jc w:val="center"/>
        </w:trPr>
        <w:tc>
          <w:tcPr>
            <w:tcW w:w="4955" w:type="dxa"/>
          </w:tcPr>
          <w:p w14:paraId="626A3060" w14:textId="77777777" w:rsidR="006B2109" w:rsidRPr="00062865" w:rsidRDefault="006B2109" w:rsidP="008B5F28">
            <w:pPr>
              <w:pStyle w:val="Tabletext"/>
            </w:pPr>
            <w:r w:rsidRPr="00062865">
              <w:rPr>
                <w:rFonts w:eastAsia="Gulim"/>
              </w:rPr>
              <w:t>[</w:t>
            </w:r>
            <w:r w:rsidRPr="00062865">
              <w:rPr>
                <w:rFonts w:eastAsia="Gulim"/>
                <w:szCs w:val="24"/>
              </w:rPr>
              <w:t>Coverage</w:t>
            </w:r>
            <w:r w:rsidRPr="00062865">
              <w:rPr>
                <w:rFonts w:eastAsia="Gulim"/>
              </w:rPr>
              <w:t>]</w:t>
            </w:r>
          </w:p>
        </w:tc>
        <w:tc>
          <w:tcPr>
            <w:tcW w:w="1805" w:type="dxa"/>
          </w:tcPr>
          <w:p w14:paraId="1ECEBB54" w14:textId="77777777" w:rsidR="006B2109" w:rsidRPr="00844B18" w:rsidRDefault="006B2109" w:rsidP="008B5F28">
            <w:pPr>
              <w:pStyle w:val="Tabletext"/>
              <w:rPr>
                <w:rFonts w:eastAsia="Gulim"/>
                <w:i/>
                <w:iCs/>
                <w:szCs w:val="24"/>
              </w:rPr>
            </w:pPr>
            <w:r>
              <w:rPr>
                <w:rFonts w:eastAsia="Gulim"/>
                <w:i/>
                <w:iCs/>
              </w:rPr>
              <w:t>To be determined</w:t>
            </w:r>
          </w:p>
        </w:tc>
      </w:tr>
      <w:tr w:rsidR="006B2109" w:rsidRPr="00844B18" w14:paraId="1570FE0F" w14:textId="77777777" w:rsidTr="008B5F28">
        <w:trPr>
          <w:trHeight w:val="203"/>
          <w:jc w:val="center"/>
        </w:trPr>
        <w:tc>
          <w:tcPr>
            <w:tcW w:w="4955" w:type="dxa"/>
          </w:tcPr>
          <w:p w14:paraId="0AC8EC3E" w14:textId="77777777" w:rsidR="006B2109" w:rsidRPr="00062865" w:rsidRDefault="006B2109" w:rsidP="008B5F28">
            <w:pPr>
              <w:pStyle w:val="Tabletext"/>
            </w:pPr>
            <w:r w:rsidRPr="00062865">
              <w:t>[Security]</w:t>
            </w:r>
          </w:p>
        </w:tc>
        <w:tc>
          <w:tcPr>
            <w:tcW w:w="1805" w:type="dxa"/>
          </w:tcPr>
          <w:p w14:paraId="591BAAB6" w14:textId="77777777" w:rsidR="006B2109" w:rsidRPr="00844B18" w:rsidRDefault="006B2109" w:rsidP="008B5F28">
            <w:pPr>
              <w:pStyle w:val="Tabletext"/>
              <w:rPr>
                <w:rFonts w:eastAsia="Gulim"/>
                <w:i/>
                <w:iCs/>
                <w:szCs w:val="24"/>
              </w:rPr>
            </w:pPr>
            <w:r>
              <w:rPr>
                <w:rFonts w:eastAsia="Gulim"/>
                <w:i/>
                <w:iCs/>
              </w:rPr>
              <w:t>To be determined</w:t>
            </w:r>
          </w:p>
        </w:tc>
      </w:tr>
      <w:tr w:rsidR="006B2109" w:rsidRPr="00844B18" w14:paraId="7FA1896B" w14:textId="77777777" w:rsidTr="008B5F28">
        <w:trPr>
          <w:trHeight w:val="203"/>
          <w:jc w:val="center"/>
        </w:trPr>
        <w:tc>
          <w:tcPr>
            <w:tcW w:w="4955" w:type="dxa"/>
          </w:tcPr>
          <w:p w14:paraId="2ACF352E" w14:textId="77777777" w:rsidR="006B2109" w:rsidRPr="00062865" w:rsidRDefault="006B2109" w:rsidP="008B5F28">
            <w:pPr>
              <w:pStyle w:val="Tabletext"/>
              <w:rPr>
                <w:rFonts w:eastAsia="Gulim"/>
                <w:szCs w:val="24"/>
              </w:rPr>
            </w:pPr>
            <w:r w:rsidRPr="00062865">
              <w:t>[Resilience]</w:t>
            </w:r>
          </w:p>
        </w:tc>
        <w:tc>
          <w:tcPr>
            <w:tcW w:w="1805" w:type="dxa"/>
          </w:tcPr>
          <w:p w14:paraId="6A37F43C" w14:textId="77777777" w:rsidR="006B2109" w:rsidRPr="00844B18" w:rsidRDefault="006B2109" w:rsidP="008B5F28">
            <w:pPr>
              <w:pStyle w:val="Tabletext"/>
              <w:rPr>
                <w:rFonts w:eastAsia="Gulim"/>
                <w:i/>
                <w:iCs/>
                <w:szCs w:val="24"/>
              </w:rPr>
            </w:pPr>
            <w:r>
              <w:rPr>
                <w:rFonts w:eastAsia="Gulim"/>
                <w:i/>
                <w:iCs/>
              </w:rPr>
              <w:t>To be determined</w:t>
            </w:r>
          </w:p>
        </w:tc>
      </w:tr>
      <w:tr w:rsidR="006B2109" w:rsidRPr="00844B18" w14:paraId="671EA32A" w14:textId="77777777" w:rsidTr="008B5F28">
        <w:trPr>
          <w:trHeight w:val="203"/>
          <w:jc w:val="center"/>
        </w:trPr>
        <w:tc>
          <w:tcPr>
            <w:tcW w:w="4955" w:type="dxa"/>
          </w:tcPr>
          <w:p w14:paraId="7321D617" w14:textId="77777777" w:rsidR="006B2109" w:rsidRPr="00062865" w:rsidRDefault="006B2109" w:rsidP="008B5F28">
            <w:pPr>
              <w:pStyle w:val="Tabletext"/>
              <w:rPr>
                <w:rFonts w:eastAsia="Gulim"/>
                <w:szCs w:val="24"/>
              </w:rPr>
            </w:pPr>
            <w:r w:rsidRPr="00062865">
              <w:t>[Sustainability]</w:t>
            </w:r>
          </w:p>
        </w:tc>
        <w:tc>
          <w:tcPr>
            <w:tcW w:w="1805" w:type="dxa"/>
          </w:tcPr>
          <w:p w14:paraId="741F12BC" w14:textId="77777777" w:rsidR="006B2109" w:rsidRPr="00844B18" w:rsidRDefault="006B2109" w:rsidP="008B5F28">
            <w:pPr>
              <w:pStyle w:val="Tabletext"/>
              <w:rPr>
                <w:rFonts w:eastAsia="Gulim"/>
                <w:i/>
                <w:iCs/>
                <w:szCs w:val="24"/>
              </w:rPr>
            </w:pPr>
            <w:r>
              <w:rPr>
                <w:rFonts w:eastAsia="Gulim"/>
                <w:i/>
                <w:iCs/>
              </w:rPr>
              <w:t>To be determined</w:t>
            </w:r>
          </w:p>
        </w:tc>
      </w:tr>
      <w:tr w:rsidR="006B2109" w:rsidRPr="00844B18" w14:paraId="5F3861AD" w14:textId="77777777" w:rsidTr="008B5F28">
        <w:trPr>
          <w:trHeight w:val="203"/>
          <w:jc w:val="center"/>
        </w:trPr>
        <w:tc>
          <w:tcPr>
            <w:tcW w:w="4955" w:type="dxa"/>
          </w:tcPr>
          <w:p w14:paraId="1D667F9E" w14:textId="77777777" w:rsidR="006B2109" w:rsidRPr="00062865" w:rsidRDefault="006B2109" w:rsidP="008B5F28">
            <w:pPr>
              <w:pStyle w:val="Tabletext"/>
            </w:pPr>
            <w:r w:rsidRPr="00062865">
              <w:t>[Interoperability]</w:t>
            </w:r>
          </w:p>
        </w:tc>
        <w:tc>
          <w:tcPr>
            <w:tcW w:w="1805" w:type="dxa"/>
          </w:tcPr>
          <w:p w14:paraId="003A7F75" w14:textId="77777777" w:rsidR="006B2109" w:rsidRPr="00844B18" w:rsidRDefault="006B2109" w:rsidP="00A10787">
            <w:pPr>
              <w:pStyle w:val="Tabletext"/>
              <w:keepNext/>
              <w:rPr>
                <w:rFonts w:eastAsia="Gulim"/>
                <w:i/>
                <w:iCs/>
                <w:szCs w:val="24"/>
              </w:rPr>
            </w:pPr>
            <w:r>
              <w:rPr>
                <w:rFonts w:eastAsia="Gulim"/>
                <w:i/>
                <w:iCs/>
              </w:rPr>
              <w:t>To be determined</w:t>
            </w:r>
          </w:p>
        </w:tc>
      </w:tr>
    </w:tbl>
    <w:p w14:paraId="11081034" w14:textId="2AD00B35" w:rsidR="006B2109" w:rsidRPr="00C82127" w:rsidRDefault="00A10787" w:rsidP="00A10787">
      <w:pPr>
        <w:pStyle w:val="Caption"/>
      </w:pPr>
      <w:r>
        <w:t xml:space="preserve">Table </w:t>
      </w:r>
      <w:fldSimple w:instr=" SEQ Table \* ARABIC ">
        <w:r w:rsidR="00515A8A">
          <w:rPr>
            <w:noProof/>
          </w:rPr>
          <w:t>1</w:t>
        </w:r>
      </w:fldSimple>
      <w:r>
        <w:t>: TPR list from ITU-R WP5D</w:t>
      </w:r>
    </w:p>
    <w:p w14:paraId="7D626165" w14:textId="77777777" w:rsidR="006B2109" w:rsidRPr="0033129F" w:rsidRDefault="006B2109" w:rsidP="006B2109">
      <w:pPr>
        <w:pStyle w:val="Note"/>
        <w:rPr>
          <w:rFonts w:eastAsia="Tahoma"/>
          <w:i/>
          <w:iCs/>
        </w:rPr>
      </w:pPr>
      <w:r w:rsidRPr="0033129F">
        <w:rPr>
          <w:rFonts w:eastAsia="Tahoma"/>
          <w:i/>
          <w:iCs/>
        </w:rPr>
        <w:t>Note 1: The evaluation technique for quantitative requirements is determined by SWG Eval (e.g., analysis, simulation, etc.)</w:t>
      </w:r>
      <w:r>
        <w:rPr>
          <w:rFonts w:eastAsia="Tahoma"/>
          <w:i/>
          <w:iCs/>
        </w:rPr>
        <w:t>.</w:t>
      </w:r>
    </w:p>
    <w:p w14:paraId="423F5CF9" w14:textId="77777777" w:rsidR="006B2109" w:rsidRPr="0033129F" w:rsidRDefault="006B2109" w:rsidP="006B2109">
      <w:pPr>
        <w:pStyle w:val="Note"/>
        <w:rPr>
          <w:rFonts w:eastAsia="Tahoma"/>
          <w:i/>
          <w:iCs/>
        </w:rPr>
      </w:pPr>
      <w:r w:rsidRPr="0033129F">
        <w:rPr>
          <w:rFonts w:eastAsia="Tahoma"/>
          <w:i/>
          <w:iCs/>
        </w:rPr>
        <w:t>Note 2: The reliability requirement may be replaced by the “Joint Requirement” (if agreed)</w:t>
      </w:r>
      <w:r>
        <w:rPr>
          <w:rFonts w:eastAsia="Tahoma"/>
          <w:i/>
          <w:iCs/>
        </w:rPr>
        <w:t>.</w:t>
      </w:r>
    </w:p>
    <w:p w14:paraId="67363027" w14:textId="77777777" w:rsidR="006B2109" w:rsidRDefault="006B2109" w:rsidP="00531349">
      <w:pPr>
        <w:rPr>
          <w:sz w:val="20"/>
          <w:szCs w:val="20"/>
        </w:rPr>
      </w:pPr>
    </w:p>
    <w:p w14:paraId="7B218F1E" w14:textId="31519F0C" w:rsidR="006B2109" w:rsidRDefault="006B2109" w:rsidP="00531349">
      <w:pPr>
        <w:rPr>
          <w:sz w:val="20"/>
          <w:szCs w:val="20"/>
        </w:rPr>
      </w:pPr>
      <w:r>
        <w:rPr>
          <w:sz w:val="20"/>
          <w:szCs w:val="20"/>
        </w:rPr>
        <w:t xml:space="preserve">An immediate observation one can make is that while for many TPRs, WP5D have already agreed whether they are to be qualitative or quantitative, for some this is still under discussion. This topic must be addressed first, as there is no point in discussing a TPR value while not knowing whether the said TPR is to be evaluated quantitatively or qualitatively. </w:t>
      </w:r>
    </w:p>
    <w:p w14:paraId="34142E49" w14:textId="77777777" w:rsidR="006B2109" w:rsidRDefault="006B2109" w:rsidP="00531349">
      <w:pPr>
        <w:rPr>
          <w:sz w:val="20"/>
          <w:szCs w:val="20"/>
        </w:rPr>
      </w:pPr>
    </w:p>
    <w:p w14:paraId="64AA45A5" w14:textId="2B5A9383" w:rsidR="006B2109" w:rsidRPr="00970368" w:rsidRDefault="006B2109" w:rsidP="006B2109">
      <w:pPr>
        <w:rPr>
          <w:b/>
          <w:bCs/>
          <w:sz w:val="20"/>
          <w:szCs w:val="20"/>
        </w:rPr>
      </w:pPr>
      <w:r w:rsidRPr="00970368">
        <w:rPr>
          <w:b/>
          <w:bCs/>
          <w:sz w:val="20"/>
          <w:szCs w:val="20"/>
        </w:rPr>
        <w:t>Observation 2: for some TPRs, ITU-R WP5D is yet to decide whether they are quantitative or qualitative, which in our view requires 3GPP feedback.</w:t>
      </w:r>
    </w:p>
    <w:p w14:paraId="12A4CF48" w14:textId="77777777" w:rsidR="00970368" w:rsidRDefault="00970368" w:rsidP="006B2109">
      <w:pPr>
        <w:rPr>
          <w:sz w:val="20"/>
          <w:szCs w:val="20"/>
        </w:rPr>
      </w:pPr>
    </w:p>
    <w:p w14:paraId="17FF1AF9" w14:textId="3735817C" w:rsidR="00970368" w:rsidRDefault="00970368" w:rsidP="00970368">
      <w:pPr>
        <w:pStyle w:val="Heading2"/>
      </w:pPr>
      <w:r>
        <w:t>Legacy TPRs</w:t>
      </w:r>
    </w:p>
    <w:p w14:paraId="32EDABCE" w14:textId="6C3E5946" w:rsidR="00970368" w:rsidRPr="00406032" w:rsidRDefault="00970368" w:rsidP="00970368">
      <w:pPr>
        <w:rPr>
          <w:sz w:val="20"/>
          <w:szCs w:val="20"/>
          <w:lang w:bidi="he-IL"/>
        </w:rPr>
      </w:pPr>
      <w:r w:rsidRPr="00970368">
        <w:rPr>
          <w:sz w:val="20"/>
          <w:szCs w:val="20"/>
        </w:rPr>
        <w:t xml:space="preserve">We start the </w:t>
      </w:r>
      <w:r>
        <w:rPr>
          <w:sz w:val="20"/>
          <w:szCs w:val="20"/>
        </w:rPr>
        <w:t xml:space="preserve">discussion with “legacy” TPRs, i.e. these IMT-2030 “inherits” from IMT-2020. For these, we have a pretty good understanding of what they are and how they should be evaluated and so the main topic for discussion is the actual TPR values. </w:t>
      </w:r>
      <w:proofErr w:type="gramStart"/>
      <w:r w:rsidR="004F68AE">
        <w:rPr>
          <w:sz w:val="20"/>
          <w:szCs w:val="20"/>
        </w:rPr>
        <w:t>So</w:t>
      </w:r>
      <w:proofErr w:type="gramEnd"/>
      <w:r w:rsidR="004F68AE">
        <w:rPr>
          <w:sz w:val="20"/>
          <w:szCs w:val="20"/>
        </w:rPr>
        <w:t xml:space="preserve"> we omit the discussion on the TPR description (which is well known to all 3GPP members) and go straight to discuss the values. </w:t>
      </w:r>
    </w:p>
    <w:p w14:paraId="1A67C059" w14:textId="77777777" w:rsidR="00970368" w:rsidRDefault="00970368" w:rsidP="00970368">
      <w:pPr>
        <w:rPr>
          <w:sz w:val="20"/>
          <w:szCs w:val="20"/>
        </w:rPr>
      </w:pPr>
    </w:p>
    <w:p w14:paraId="0EA3375B" w14:textId="77777777" w:rsidR="003466C0" w:rsidRDefault="00406032" w:rsidP="003466C0">
      <w:pPr>
        <w:rPr>
          <w:sz w:val="20"/>
          <w:szCs w:val="20"/>
          <w:lang w:val="en-GB"/>
        </w:rPr>
      </w:pPr>
      <w:r w:rsidRPr="00406032">
        <w:rPr>
          <w:sz w:val="20"/>
          <w:szCs w:val="20"/>
          <w:lang w:val="en-GB"/>
        </w:rPr>
        <w:t>Arguably, the most visible TPRs are the ones related to data rate, i.e. Peak Data Rate, User Experienced Data Rate and Spectrum Efficiency. We observe that in real deployments in the field the gap between what a</w:t>
      </w:r>
      <w:r>
        <w:rPr>
          <w:sz w:val="20"/>
          <w:szCs w:val="20"/>
          <w:lang w:val="en-GB"/>
        </w:rPr>
        <w:t xml:space="preserve"> 3GPP </w:t>
      </w:r>
      <w:r w:rsidRPr="00406032">
        <w:rPr>
          <w:sz w:val="20"/>
          <w:szCs w:val="20"/>
          <w:lang w:val="en-GB"/>
        </w:rPr>
        <w:t xml:space="preserve">technology can deliver </w:t>
      </w:r>
      <w:r>
        <w:rPr>
          <w:sz w:val="20"/>
          <w:szCs w:val="20"/>
          <w:lang w:val="en-GB"/>
        </w:rPr>
        <w:t xml:space="preserve">(on paper) </w:t>
      </w:r>
      <w:r w:rsidRPr="00406032">
        <w:rPr>
          <w:sz w:val="20"/>
          <w:szCs w:val="20"/>
          <w:lang w:val="en-GB"/>
        </w:rPr>
        <w:t xml:space="preserve">and what is </w:t>
      </w:r>
      <w:proofErr w:type="gramStart"/>
      <w:r w:rsidRPr="00406032">
        <w:rPr>
          <w:sz w:val="20"/>
          <w:szCs w:val="20"/>
          <w:lang w:val="en-GB"/>
        </w:rPr>
        <w:t>actually being</w:t>
      </w:r>
      <w:proofErr w:type="gramEnd"/>
      <w:r w:rsidRPr="00406032">
        <w:rPr>
          <w:sz w:val="20"/>
          <w:szCs w:val="20"/>
          <w:lang w:val="en-GB"/>
        </w:rPr>
        <w:t xml:space="preserve"> used has grown larger and larger. This is an indication that market demand has not caught up with IMT requirements and </w:t>
      </w:r>
      <w:r>
        <w:rPr>
          <w:sz w:val="20"/>
          <w:szCs w:val="20"/>
          <w:lang w:val="en-GB"/>
        </w:rPr>
        <w:t>3GPP</w:t>
      </w:r>
      <w:r w:rsidRPr="00406032">
        <w:rPr>
          <w:sz w:val="20"/>
          <w:szCs w:val="20"/>
          <w:lang w:val="en-GB"/>
        </w:rPr>
        <w:t xml:space="preserve"> technologies capabilities. We believe that driving the requirements much further will widen the gap and may have negative consequences. </w:t>
      </w:r>
    </w:p>
    <w:p w14:paraId="638E028F" w14:textId="77777777" w:rsidR="003466C0" w:rsidRDefault="003466C0" w:rsidP="003466C0">
      <w:pPr>
        <w:rPr>
          <w:sz w:val="20"/>
          <w:szCs w:val="20"/>
          <w:lang w:val="en-GB"/>
        </w:rPr>
      </w:pPr>
    </w:p>
    <w:p w14:paraId="7CBFF71A" w14:textId="0F5CDD02" w:rsidR="00406032" w:rsidRDefault="00406032" w:rsidP="003466C0">
      <w:pPr>
        <w:rPr>
          <w:sz w:val="20"/>
          <w:szCs w:val="20"/>
          <w:lang w:val="en-GB"/>
        </w:rPr>
      </w:pPr>
      <w:r w:rsidRPr="00406032">
        <w:rPr>
          <w:sz w:val="20"/>
          <w:szCs w:val="20"/>
          <w:lang w:val="en-GB"/>
        </w:rPr>
        <w:t xml:space="preserve">It is perhaps time to let market demand catch up and therefore we think that substantial increase of the throughput related TPRs is not needed </w:t>
      </w:r>
      <w:proofErr w:type="gramStart"/>
      <w:r w:rsidRPr="00406032">
        <w:rPr>
          <w:sz w:val="20"/>
          <w:szCs w:val="20"/>
          <w:lang w:val="en-GB"/>
        </w:rPr>
        <w:t>at this time</w:t>
      </w:r>
      <w:proofErr w:type="gramEnd"/>
      <w:r w:rsidRPr="00406032">
        <w:rPr>
          <w:sz w:val="20"/>
          <w:szCs w:val="20"/>
          <w:lang w:val="en-GB"/>
        </w:rPr>
        <w:t>. Naturally, IMT-2030 data rate TPRs should be an improvement compared to IMT-2020, but such improvement should acknowledge the real market needs.</w:t>
      </w:r>
      <w:r w:rsidR="003466C0">
        <w:rPr>
          <w:sz w:val="20"/>
          <w:szCs w:val="20"/>
          <w:lang w:val="en-GB"/>
        </w:rPr>
        <w:t xml:space="preserve"> We believe that 6G/IMT-2030 should focus on new services and new markets (e.g. Sensing, AI/ML) rather than pushing the theoretical data rates higher (in disconnect with real deployments). </w:t>
      </w:r>
    </w:p>
    <w:p w14:paraId="6843C7DB" w14:textId="77777777" w:rsidR="00406032" w:rsidRDefault="00406032" w:rsidP="00406032">
      <w:pPr>
        <w:rPr>
          <w:sz w:val="20"/>
          <w:szCs w:val="20"/>
          <w:lang w:val="en-GB"/>
        </w:rPr>
      </w:pPr>
    </w:p>
    <w:p w14:paraId="267BC796" w14:textId="1B151E42" w:rsidR="00406032" w:rsidRPr="00406032" w:rsidRDefault="003466C0" w:rsidP="00406032">
      <w:pPr>
        <w:rPr>
          <w:b/>
          <w:bCs/>
          <w:sz w:val="20"/>
          <w:szCs w:val="20"/>
          <w:lang w:val="en-GB"/>
        </w:rPr>
      </w:pPr>
      <w:r w:rsidRPr="00534760">
        <w:rPr>
          <w:b/>
          <w:bCs/>
          <w:sz w:val="20"/>
          <w:szCs w:val="20"/>
          <w:lang w:val="en-GB"/>
        </w:rPr>
        <w:t xml:space="preserve">Observation 3: the gap between what 5G/IMT-2020 can deliver “on paper” and what is </w:t>
      </w:r>
      <w:proofErr w:type="gramStart"/>
      <w:r w:rsidRPr="00534760">
        <w:rPr>
          <w:b/>
          <w:bCs/>
          <w:sz w:val="20"/>
          <w:szCs w:val="20"/>
          <w:lang w:val="en-GB"/>
        </w:rPr>
        <w:t>actually being</w:t>
      </w:r>
      <w:proofErr w:type="gramEnd"/>
      <w:r w:rsidRPr="00534760">
        <w:rPr>
          <w:b/>
          <w:bCs/>
          <w:sz w:val="20"/>
          <w:szCs w:val="20"/>
          <w:lang w:val="en-GB"/>
        </w:rPr>
        <w:t xml:space="preserve"> deployed is significant. </w:t>
      </w:r>
    </w:p>
    <w:p w14:paraId="692F0DB3" w14:textId="77777777" w:rsidR="00970368" w:rsidRPr="00534760" w:rsidRDefault="00970368" w:rsidP="00970368">
      <w:pPr>
        <w:rPr>
          <w:b/>
          <w:bCs/>
          <w:sz w:val="20"/>
          <w:szCs w:val="20"/>
        </w:rPr>
      </w:pPr>
    </w:p>
    <w:p w14:paraId="099FDB01" w14:textId="202F5929" w:rsidR="003466C0" w:rsidRPr="00534760" w:rsidRDefault="003466C0" w:rsidP="00970368">
      <w:pPr>
        <w:rPr>
          <w:b/>
          <w:bCs/>
          <w:sz w:val="20"/>
          <w:szCs w:val="20"/>
          <w:lang w:val="en-GB"/>
        </w:rPr>
      </w:pPr>
      <w:r w:rsidRPr="00534760">
        <w:rPr>
          <w:b/>
          <w:bCs/>
          <w:sz w:val="20"/>
          <w:szCs w:val="20"/>
        </w:rPr>
        <w:t xml:space="preserve">Proposal 1: </w:t>
      </w:r>
      <w:r w:rsidRPr="00534760">
        <w:rPr>
          <w:b/>
          <w:bCs/>
          <w:sz w:val="20"/>
          <w:szCs w:val="20"/>
          <w:lang w:val="en-GB"/>
        </w:rPr>
        <w:t xml:space="preserve">6G/IMT-2030 should </w:t>
      </w:r>
      <w:r w:rsidR="00534760">
        <w:rPr>
          <w:b/>
          <w:bCs/>
          <w:sz w:val="20"/>
          <w:szCs w:val="20"/>
          <w:lang w:val="en-GB"/>
        </w:rPr>
        <w:t xml:space="preserve">address real market needs and therefore should </w:t>
      </w:r>
      <w:r w:rsidRPr="00534760">
        <w:rPr>
          <w:b/>
          <w:bCs/>
          <w:sz w:val="20"/>
          <w:szCs w:val="20"/>
          <w:lang w:val="en-GB"/>
        </w:rPr>
        <w:t>focus on new services and new markets (e.g. Sensing, AI/ML) rather than pushing the theoretical data rates higher (in disconnect with real deployments).</w:t>
      </w:r>
    </w:p>
    <w:p w14:paraId="03803FBE" w14:textId="77777777" w:rsidR="00534760" w:rsidRDefault="00534760" w:rsidP="00970368">
      <w:pPr>
        <w:rPr>
          <w:sz w:val="20"/>
          <w:szCs w:val="20"/>
          <w:lang w:val="en-GB"/>
        </w:rPr>
      </w:pPr>
    </w:p>
    <w:p w14:paraId="01C95618" w14:textId="559E2DE4" w:rsidR="00534760" w:rsidRDefault="00534760" w:rsidP="00970368">
      <w:pPr>
        <w:rPr>
          <w:sz w:val="20"/>
          <w:szCs w:val="20"/>
          <w:lang w:val="ru-RU"/>
        </w:rPr>
      </w:pPr>
      <w:r>
        <w:rPr>
          <w:sz w:val="20"/>
          <w:szCs w:val="20"/>
          <w:lang w:val="en-GB"/>
        </w:rPr>
        <w:t xml:space="preserve">With this in mind, we provide our view on the “legacy” TPR values in the Table 2 below. We are generally open to a discussion with regards to the actual numbers, but the overall “message” should be clear – 6G/IMT-2030 requirements should not be theoretical but rather address actual market needs. </w:t>
      </w:r>
    </w:p>
    <w:p w14:paraId="14F667D5" w14:textId="77777777" w:rsidR="006637C0" w:rsidRDefault="006637C0" w:rsidP="00970368">
      <w:pPr>
        <w:rPr>
          <w:sz w:val="20"/>
          <w:szCs w:val="20"/>
          <w:lang w:val="ru-RU"/>
        </w:rPr>
      </w:pPr>
    </w:p>
    <w:tbl>
      <w:tblPr>
        <w:tblStyle w:val="TableGrid"/>
        <w:tblW w:w="0" w:type="auto"/>
        <w:jc w:val="center"/>
        <w:tblLook w:val="04A0" w:firstRow="1" w:lastRow="0" w:firstColumn="1" w:lastColumn="0" w:noHBand="0" w:noVBand="1"/>
      </w:tblPr>
      <w:tblGrid>
        <w:gridCol w:w="3539"/>
        <w:gridCol w:w="5186"/>
      </w:tblGrid>
      <w:tr w:rsidR="006637C0" w:rsidRPr="00844B18" w14:paraId="77BFE1AC" w14:textId="77777777" w:rsidTr="004B58DE">
        <w:trPr>
          <w:trHeight w:val="405"/>
          <w:tblHeader/>
          <w:jc w:val="center"/>
        </w:trPr>
        <w:tc>
          <w:tcPr>
            <w:tcW w:w="3539" w:type="dxa"/>
          </w:tcPr>
          <w:p w14:paraId="4D3A39F4" w14:textId="12FE58EE" w:rsidR="006637C0" w:rsidRPr="004B58DE" w:rsidRDefault="004B58DE" w:rsidP="008B5F28">
            <w:pPr>
              <w:pStyle w:val="Tablehead"/>
              <w:rPr>
                <w:lang w:val="en-US"/>
              </w:rPr>
            </w:pPr>
            <w:r>
              <w:rPr>
                <w:lang w:val="en-US"/>
              </w:rPr>
              <w:t>TPR</w:t>
            </w:r>
          </w:p>
        </w:tc>
        <w:tc>
          <w:tcPr>
            <w:tcW w:w="5186" w:type="dxa"/>
          </w:tcPr>
          <w:p w14:paraId="4DCE2074" w14:textId="263A14F3" w:rsidR="006637C0" w:rsidRPr="00844B18" w:rsidRDefault="004B58DE" w:rsidP="008B5F28">
            <w:pPr>
              <w:pStyle w:val="Tablehead"/>
            </w:pPr>
            <w:r>
              <w:t>Value</w:t>
            </w:r>
          </w:p>
        </w:tc>
      </w:tr>
      <w:tr w:rsidR="004B58DE" w:rsidRPr="00D26E80" w14:paraId="1F516EEA" w14:textId="77777777" w:rsidTr="004B58DE">
        <w:trPr>
          <w:trHeight w:val="705"/>
          <w:jc w:val="center"/>
        </w:trPr>
        <w:tc>
          <w:tcPr>
            <w:tcW w:w="3539" w:type="dxa"/>
          </w:tcPr>
          <w:p w14:paraId="17417408" w14:textId="6D73B39C" w:rsidR="004B58DE" w:rsidRPr="00D26E80" w:rsidRDefault="004B58DE" w:rsidP="004B58DE">
            <w:pPr>
              <w:pStyle w:val="Tabletext"/>
            </w:pPr>
            <w:r w:rsidRPr="00ED113B">
              <w:rPr>
                <w:lang w:eastAsia="zh-CN"/>
              </w:rPr>
              <w:t>Peak data rate</w:t>
            </w:r>
          </w:p>
        </w:tc>
        <w:tc>
          <w:tcPr>
            <w:tcW w:w="5186" w:type="dxa"/>
          </w:tcPr>
          <w:p w14:paraId="6DA29FC9" w14:textId="77777777" w:rsidR="004B58DE" w:rsidRDefault="004B58DE" w:rsidP="004B58DE">
            <w:pPr>
              <w:pStyle w:val="Tabletext"/>
              <w:rPr>
                <w:lang w:eastAsia="zh-CN"/>
              </w:rPr>
            </w:pPr>
            <w:r>
              <w:rPr>
                <w:lang w:eastAsia="zh-CN"/>
              </w:rPr>
              <w:t>–</w:t>
            </w:r>
            <w:r>
              <w:rPr>
                <w:lang w:eastAsia="zh-CN"/>
              </w:rPr>
              <w:tab/>
              <w:t>Downlink peak data rate is TBD 50 Gbit/s.</w:t>
            </w:r>
          </w:p>
          <w:p w14:paraId="450D03A3" w14:textId="12D8DD48" w:rsidR="004B58DE" w:rsidRPr="008C4671" w:rsidRDefault="004B58DE" w:rsidP="004B58DE">
            <w:pPr>
              <w:pStyle w:val="Tabletext"/>
              <w:rPr>
                <w:i/>
                <w:iCs/>
              </w:rPr>
            </w:pPr>
            <w:r>
              <w:rPr>
                <w:lang w:eastAsia="zh-CN"/>
              </w:rPr>
              <w:t>–</w:t>
            </w:r>
            <w:r>
              <w:rPr>
                <w:lang w:eastAsia="zh-CN"/>
              </w:rPr>
              <w:tab/>
              <w:t>Uplink peak data rate is TBD 20 Gbit/s.</w:t>
            </w:r>
          </w:p>
        </w:tc>
      </w:tr>
      <w:tr w:rsidR="004B58DE" w:rsidRPr="00D26E80" w14:paraId="5AB70426" w14:textId="77777777" w:rsidTr="004B58DE">
        <w:trPr>
          <w:trHeight w:val="324"/>
          <w:jc w:val="center"/>
        </w:trPr>
        <w:tc>
          <w:tcPr>
            <w:tcW w:w="3539" w:type="dxa"/>
          </w:tcPr>
          <w:p w14:paraId="1218D3AA" w14:textId="2C784012" w:rsidR="004B58DE" w:rsidRPr="00D26E80" w:rsidRDefault="004B58DE" w:rsidP="004B58DE">
            <w:pPr>
              <w:pStyle w:val="Tabletext"/>
              <w:rPr>
                <w:rFonts w:eastAsia="Gulim"/>
                <w:szCs w:val="24"/>
              </w:rPr>
            </w:pPr>
            <w:r w:rsidRPr="00ED113B">
              <w:rPr>
                <w:lang w:eastAsia="zh-CN"/>
              </w:rPr>
              <w:t xml:space="preserve">Peak spectral efficiency </w:t>
            </w:r>
          </w:p>
        </w:tc>
        <w:tc>
          <w:tcPr>
            <w:tcW w:w="5186" w:type="dxa"/>
          </w:tcPr>
          <w:p w14:paraId="12782350" w14:textId="496FC610" w:rsidR="004B58DE" w:rsidRPr="004B58DE" w:rsidRDefault="004B58DE" w:rsidP="004B58DE">
            <w:pPr>
              <w:pStyle w:val="Tabletext"/>
            </w:pPr>
            <w:r w:rsidRPr="004B58DE">
              <w:t>–</w:t>
            </w:r>
            <w:r w:rsidRPr="004B58DE">
              <w:tab/>
              <w:t xml:space="preserve">Downlink peak spectral efficiency is </w:t>
            </w:r>
            <w:proofErr w:type="gramStart"/>
            <w:r w:rsidRPr="004B58DE">
              <w:t>45 bit</w:t>
            </w:r>
            <w:proofErr w:type="gramEnd"/>
            <w:r w:rsidRPr="004B58DE">
              <w:t>/s/Hz.</w:t>
            </w:r>
          </w:p>
          <w:p w14:paraId="17DB7F80" w14:textId="600E2376" w:rsidR="004B58DE" w:rsidRPr="004B58DE" w:rsidRDefault="004B58DE" w:rsidP="004B58DE">
            <w:pPr>
              <w:pStyle w:val="Tabletext"/>
            </w:pPr>
            <w:r w:rsidRPr="004B58DE">
              <w:t>–</w:t>
            </w:r>
            <w:r w:rsidRPr="004B58DE">
              <w:tab/>
              <w:t xml:space="preserve">Uplink peak spectral efficiency is </w:t>
            </w:r>
            <w:proofErr w:type="gramStart"/>
            <w:r w:rsidRPr="004B58DE">
              <w:t>22 bit</w:t>
            </w:r>
            <w:proofErr w:type="gramEnd"/>
            <w:r w:rsidRPr="004B58DE">
              <w:t>/s/Hz.</w:t>
            </w:r>
          </w:p>
        </w:tc>
      </w:tr>
      <w:tr w:rsidR="004B58DE" w:rsidRPr="00D26E80" w14:paraId="456A3241" w14:textId="77777777" w:rsidTr="004B58DE">
        <w:trPr>
          <w:trHeight w:val="324"/>
          <w:jc w:val="center"/>
        </w:trPr>
        <w:tc>
          <w:tcPr>
            <w:tcW w:w="3539" w:type="dxa"/>
          </w:tcPr>
          <w:p w14:paraId="3A271DEA" w14:textId="2D7056BA" w:rsidR="004B58DE" w:rsidRPr="00D26E80" w:rsidRDefault="004B58DE" w:rsidP="004B58DE">
            <w:pPr>
              <w:pStyle w:val="Tabletext"/>
            </w:pPr>
            <w:r w:rsidRPr="00ED113B">
              <w:rPr>
                <w:lang w:eastAsia="zh-CN"/>
              </w:rPr>
              <w:t xml:space="preserve">User experienced data rate </w:t>
            </w:r>
          </w:p>
        </w:tc>
        <w:tc>
          <w:tcPr>
            <w:tcW w:w="5186" w:type="dxa"/>
          </w:tcPr>
          <w:p w14:paraId="47B3EB4D" w14:textId="197342EE" w:rsidR="004B58DE" w:rsidRPr="004B58DE" w:rsidRDefault="004B58DE" w:rsidP="004B58DE">
            <w:pPr>
              <w:pStyle w:val="Tabletext"/>
            </w:pPr>
            <w:r w:rsidRPr="004B58DE">
              <w:t>–</w:t>
            </w:r>
            <w:r w:rsidRPr="004B58DE">
              <w:tab/>
              <w:t xml:space="preserve">Downlink user experienced data rate is 300 Mbit/s. </w:t>
            </w:r>
          </w:p>
          <w:p w14:paraId="09B37A5F" w14:textId="75DB6EDD" w:rsidR="004B58DE" w:rsidRPr="00D26E80" w:rsidRDefault="004B58DE" w:rsidP="004B58DE">
            <w:pPr>
              <w:pStyle w:val="Tabletext"/>
            </w:pPr>
            <w:r w:rsidRPr="004B58DE">
              <w:t>–</w:t>
            </w:r>
            <w:r w:rsidRPr="004B58DE">
              <w:tab/>
              <w:t xml:space="preserve">Uplink user experienced data rate is 200 Mbit/s. </w:t>
            </w:r>
          </w:p>
        </w:tc>
      </w:tr>
      <w:tr w:rsidR="004B58DE" w:rsidRPr="00D26E80" w14:paraId="3FBB62F6" w14:textId="77777777" w:rsidTr="004B58DE">
        <w:trPr>
          <w:trHeight w:val="324"/>
          <w:jc w:val="center"/>
        </w:trPr>
        <w:tc>
          <w:tcPr>
            <w:tcW w:w="3539" w:type="dxa"/>
          </w:tcPr>
          <w:p w14:paraId="1616B3BE" w14:textId="47B0EF9D" w:rsidR="004B58DE" w:rsidRPr="00D26E80" w:rsidRDefault="004B58DE" w:rsidP="004B58DE">
            <w:pPr>
              <w:pStyle w:val="Tabletext"/>
              <w:rPr>
                <w:rFonts w:eastAsia="Gulim"/>
                <w:szCs w:val="24"/>
              </w:rPr>
            </w:pPr>
            <w:r w:rsidRPr="00ED113B">
              <w:rPr>
                <w:lang w:eastAsia="zh-CN"/>
              </w:rPr>
              <w:t xml:space="preserve">5th percentile user spectral efficiency </w:t>
            </w:r>
          </w:p>
        </w:tc>
        <w:tc>
          <w:tcPr>
            <w:tcW w:w="5186" w:type="dxa"/>
          </w:tcPr>
          <w:p w14:paraId="7FFA487A" w14:textId="170E0B73" w:rsidR="004B58DE" w:rsidRPr="00D26E80" w:rsidRDefault="00E31EEB" w:rsidP="004B58DE">
            <w:pPr>
              <w:pStyle w:val="Tabletext"/>
              <w:rPr>
                <w:rFonts w:eastAsia="Gulim"/>
                <w:szCs w:val="24"/>
              </w:rPr>
            </w:pPr>
            <w:r>
              <w:rPr>
                <w:rFonts w:eastAsia="Gulim"/>
                <w:szCs w:val="24"/>
              </w:rPr>
              <w:t xml:space="preserve">1.5 times that of IMT-2020, value depends on the Test Environment </w:t>
            </w:r>
          </w:p>
        </w:tc>
      </w:tr>
      <w:tr w:rsidR="004B58DE" w:rsidRPr="00D26E80" w14:paraId="363C6984" w14:textId="77777777" w:rsidTr="004B58DE">
        <w:trPr>
          <w:trHeight w:val="324"/>
          <w:jc w:val="center"/>
        </w:trPr>
        <w:tc>
          <w:tcPr>
            <w:tcW w:w="3539" w:type="dxa"/>
          </w:tcPr>
          <w:p w14:paraId="12D04DC3" w14:textId="1A401BD3" w:rsidR="004B58DE" w:rsidRPr="00D26E80" w:rsidRDefault="004B58DE" w:rsidP="004B58DE">
            <w:pPr>
              <w:pStyle w:val="Tabletext"/>
              <w:rPr>
                <w:rFonts w:eastAsia="Gulim"/>
                <w:szCs w:val="24"/>
              </w:rPr>
            </w:pPr>
            <w:r w:rsidRPr="00ED113B">
              <w:rPr>
                <w:lang w:eastAsia="zh-CN"/>
              </w:rPr>
              <w:t xml:space="preserve">Average spectral efficiency </w:t>
            </w:r>
          </w:p>
        </w:tc>
        <w:tc>
          <w:tcPr>
            <w:tcW w:w="5186" w:type="dxa"/>
          </w:tcPr>
          <w:p w14:paraId="5C43F5E0" w14:textId="098BB6FA" w:rsidR="004B58DE" w:rsidRPr="00D26E80" w:rsidRDefault="00E31EEB" w:rsidP="004B58DE">
            <w:pPr>
              <w:pStyle w:val="Tabletext"/>
              <w:rPr>
                <w:rFonts w:eastAsia="Gulim"/>
                <w:szCs w:val="24"/>
              </w:rPr>
            </w:pPr>
            <w:r>
              <w:rPr>
                <w:rFonts w:eastAsia="Gulim"/>
                <w:szCs w:val="24"/>
              </w:rPr>
              <w:t>1.5 times that of IMT-2020, value depends on the Test Environment</w:t>
            </w:r>
          </w:p>
        </w:tc>
      </w:tr>
      <w:tr w:rsidR="004B58DE" w:rsidRPr="00D26E80" w14:paraId="6880095F" w14:textId="77777777" w:rsidTr="004B58DE">
        <w:trPr>
          <w:trHeight w:val="324"/>
          <w:jc w:val="center"/>
        </w:trPr>
        <w:tc>
          <w:tcPr>
            <w:tcW w:w="3539" w:type="dxa"/>
          </w:tcPr>
          <w:p w14:paraId="46A8D04F" w14:textId="02A2A6EF" w:rsidR="004B58DE" w:rsidRPr="00D26E80" w:rsidRDefault="004B58DE" w:rsidP="004B58DE">
            <w:pPr>
              <w:pStyle w:val="Tabletext"/>
              <w:rPr>
                <w:rFonts w:eastAsia="Gulim"/>
                <w:szCs w:val="24"/>
              </w:rPr>
            </w:pPr>
            <w:r w:rsidRPr="00ED113B">
              <w:rPr>
                <w:lang w:eastAsia="zh-CN"/>
              </w:rPr>
              <w:t>Energy efficiency</w:t>
            </w:r>
          </w:p>
        </w:tc>
        <w:tc>
          <w:tcPr>
            <w:tcW w:w="5186" w:type="dxa"/>
          </w:tcPr>
          <w:p w14:paraId="554C3AFE" w14:textId="2805CFBE" w:rsidR="004B58DE" w:rsidRPr="00D26E80" w:rsidRDefault="00EB463F" w:rsidP="004B58DE">
            <w:pPr>
              <w:pStyle w:val="Tabletext"/>
              <w:rPr>
                <w:rFonts w:eastAsia="Gulim"/>
                <w:szCs w:val="24"/>
              </w:rPr>
            </w:pPr>
            <w:r>
              <w:rPr>
                <w:rFonts w:eastAsia="Gulim"/>
                <w:szCs w:val="24"/>
              </w:rPr>
              <w:t>TBD</w:t>
            </w:r>
            <w:r w:rsidR="00A10787">
              <w:rPr>
                <w:rFonts w:eastAsia="Gulim"/>
                <w:szCs w:val="24"/>
              </w:rPr>
              <w:t xml:space="preserve"> </w:t>
            </w:r>
          </w:p>
        </w:tc>
      </w:tr>
      <w:tr w:rsidR="004B58DE" w:rsidRPr="00D26E80" w14:paraId="4D4E440E" w14:textId="77777777" w:rsidTr="004B58DE">
        <w:trPr>
          <w:trHeight w:val="315"/>
          <w:jc w:val="center"/>
        </w:trPr>
        <w:tc>
          <w:tcPr>
            <w:tcW w:w="3539" w:type="dxa"/>
          </w:tcPr>
          <w:p w14:paraId="12F47F52" w14:textId="76D63B16" w:rsidR="004B58DE" w:rsidRPr="00D26E80" w:rsidRDefault="004B58DE" w:rsidP="004B58DE">
            <w:pPr>
              <w:pStyle w:val="Tabletext"/>
              <w:rPr>
                <w:rFonts w:eastAsia="Gulim"/>
                <w:szCs w:val="24"/>
              </w:rPr>
            </w:pPr>
            <w:r w:rsidRPr="00ED113B">
              <w:rPr>
                <w:lang w:eastAsia="zh-CN"/>
              </w:rPr>
              <w:t xml:space="preserve">Area traffic capacity  </w:t>
            </w:r>
          </w:p>
        </w:tc>
        <w:tc>
          <w:tcPr>
            <w:tcW w:w="5186" w:type="dxa"/>
          </w:tcPr>
          <w:p w14:paraId="48C51F4A" w14:textId="71CF12D8" w:rsidR="004B58DE" w:rsidRPr="00D26E80" w:rsidRDefault="004B58DE" w:rsidP="004B58DE">
            <w:pPr>
              <w:pStyle w:val="Tabletext"/>
            </w:pPr>
            <w:r w:rsidRPr="004B58DE">
              <w:rPr>
                <w:lang w:val="en-US" w:eastAsia="zh-CN"/>
              </w:rPr>
              <w:t>Area traffic capacity in downlink is 10 Mbit/s/m</w:t>
            </w:r>
          </w:p>
        </w:tc>
      </w:tr>
      <w:tr w:rsidR="004B58DE" w:rsidRPr="00D26E80" w14:paraId="0D94126B" w14:textId="77777777" w:rsidTr="004B58DE">
        <w:trPr>
          <w:trHeight w:val="324"/>
          <w:jc w:val="center"/>
        </w:trPr>
        <w:tc>
          <w:tcPr>
            <w:tcW w:w="3539" w:type="dxa"/>
          </w:tcPr>
          <w:p w14:paraId="4E95B5AF" w14:textId="557BDC65" w:rsidR="004B58DE" w:rsidRPr="00D26E80" w:rsidRDefault="004B58DE" w:rsidP="004B58DE">
            <w:pPr>
              <w:pStyle w:val="Tabletext"/>
            </w:pPr>
            <w:r w:rsidRPr="00ED113B">
              <w:rPr>
                <w:lang w:eastAsia="zh-CN"/>
              </w:rPr>
              <w:t>User plane latency</w:t>
            </w:r>
          </w:p>
        </w:tc>
        <w:tc>
          <w:tcPr>
            <w:tcW w:w="5186" w:type="dxa"/>
          </w:tcPr>
          <w:p w14:paraId="6067EA4A" w14:textId="3040C669" w:rsidR="004B58DE" w:rsidRPr="00D26E80" w:rsidRDefault="004B58DE" w:rsidP="004B58DE">
            <w:pPr>
              <w:pStyle w:val="Tabletext"/>
            </w:pPr>
            <w:r>
              <w:rPr>
                <w:lang w:eastAsia="zh-CN"/>
              </w:rPr>
              <w:t>1ms</w:t>
            </w:r>
          </w:p>
        </w:tc>
      </w:tr>
      <w:tr w:rsidR="004B58DE" w:rsidRPr="00D26E80" w14:paraId="5D4506FB" w14:textId="77777777" w:rsidTr="004B58DE">
        <w:trPr>
          <w:trHeight w:val="324"/>
          <w:jc w:val="center"/>
        </w:trPr>
        <w:tc>
          <w:tcPr>
            <w:tcW w:w="3539" w:type="dxa"/>
          </w:tcPr>
          <w:p w14:paraId="04935E2E" w14:textId="532DEF3C" w:rsidR="004B58DE" w:rsidRPr="00D26E80" w:rsidRDefault="004B58DE" w:rsidP="004B58DE">
            <w:pPr>
              <w:pStyle w:val="Tabletext"/>
              <w:rPr>
                <w:rFonts w:eastAsia="Gulim"/>
                <w:szCs w:val="24"/>
              </w:rPr>
            </w:pPr>
            <w:r w:rsidRPr="00ED113B">
              <w:rPr>
                <w:lang w:eastAsia="zh-CN"/>
              </w:rPr>
              <w:t>Control plane latency</w:t>
            </w:r>
          </w:p>
        </w:tc>
        <w:tc>
          <w:tcPr>
            <w:tcW w:w="5186" w:type="dxa"/>
          </w:tcPr>
          <w:p w14:paraId="2490ACE1" w14:textId="56EE4A8E" w:rsidR="004B58DE" w:rsidRPr="00D26E80" w:rsidRDefault="004B58DE" w:rsidP="004B58DE">
            <w:pPr>
              <w:pStyle w:val="Tabletext"/>
              <w:rPr>
                <w:rFonts w:eastAsia="Gulim"/>
                <w:szCs w:val="24"/>
              </w:rPr>
            </w:pPr>
            <w:r>
              <w:rPr>
                <w:lang w:eastAsia="zh-CN"/>
              </w:rPr>
              <w:t>15ms</w:t>
            </w:r>
          </w:p>
        </w:tc>
      </w:tr>
      <w:tr w:rsidR="004B58DE" w:rsidRPr="00D26E80" w14:paraId="19E28DA6" w14:textId="77777777" w:rsidTr="004B58DE">
        <w:trPr>
          <w:trHeight w:val="324"/>
          <w:jc w:val="center"/>
        </w:trPr>
        <w:tc>
          <w:tcPr>
            <w:tcW w:w="3539" w:type="dxa"/>
          </w:tcPr>
          <w:p w14:paraId="3C29C3D2" w14:textId="3CCC3AFF" w:rsidR="004B58DE" w:rsidRPr="00D26E80" w:rsidRDefault="004B58DE" w:rsidP="004B58DE">
            <w:pPr>
              <w:pStyle w:val="Tabletext"/>
            </w:pPr>
            <w:r w:rsidRPr="00ED113B">
              <w:rPr>
                <w:lang w:eastAsia="zh-CN"/>
              </w:rPr>
              <w:t>Connection density</w:t>
            </w:r>
          </w:p>
        </w:tc>
        <w:tc>
          <w:tcPr>
            <w:tcW w:w="5186" w:type="dxa"/>
          </w:tcPr>
          <w:p w14:paraId="294A13B3" w14:textId="7E38FC48" w:rsidR="004B58DE" w:rsidRPr="00D26E80" w:rsidRDefault="004B58DE" w:rsidP="004B58DE">
            <w:pPr>
              <w:pStyle w:val="Tabletext"/>
            </w:pPr>
            <w:r w:rsidRPr="008E4EBB">
              <w:t>10 000 000 devices per km</w:t>
            </w:r>
            <w:r w:rsidRPr="008E4EBB">
              <w:rPr>
                <w:vertAlign w:val="superscript"/>
              </w:rPr>
              <w:t>2</w:t>
            </w:r>
            <w:r w:rsidRPr="008E4EBB">
              <w:t>.</w:t>
            </w:r>
          </w:p>
        </w:tc>
      </w:tr>
      <w:tr w:rsidR="004B58DE" w:rsidRPr="00D26E80" w14:paraId="115B8E1C" w14:textId="77777777" w:rsidTr="004B58DE">
        <w:trPr>
          <w:trHeight w:val="324"/>
          <w:jc w:val="center"/>
        </w:trPr>
        <w:tc>
          <w:tcPr>
            <w:tcW w:w="3539" w:type="dxa"/>
          </w:tcPr>
          <w:p w14:paraId="2360E80E" w14:textId="576BB431" w:rsidR="004B58DE" w:rsidRPr="00D26E80" w:rsidRDefault="004B58DE" w:rsidP="004B58DE">
            <w:pPr>
              <w:pStyle w:val="Tabletext"/>
            </w:pPr>
            <w:r w:rsidRPr="00ED113B">
              <w:rPr>
                <w:lang w:eastAsia="zh-CN"/>
              </w:rPr>
              <w:t>Reliability</w:t>
            </w:r>
          </w:p>
        </w:tc>
        <w:tc>
          <w:tcPr>
            <w:tcW w:w="5186" w:type="dxa"/>
          </w:tcPr>
          <w:p w14:paraId="57B33741" w14:textId="6B335ADA" w:rsidR="004B58DE" w:rsidRPr="00D26E80" w:rsidRDefault="001013A0" w:rsidP="001013A0">
            <w:pPr>
              <w:pStyle w:val="Tabletext"/>
            </w:pPr>
            <w:r w:rsidRPr="001013A0">
              <w:rPr>
                <w:lang w:val="en-US" w:eastAsia="zh-CN"/>
              </w:rPr>
              <w:t>1-10</w:t>
            </w:r>
            <w:r w:rsidRPr="001013A0">
              <w:rPr>
                <w:vertAlign w:val="superscript"/>
                <w:lang w:val="en-US" w:eastAsia="zh-CN"/>
              </w:rPr>
              <w:t>−6</w:t>
            </w:r>
            <w:r w:rsidRPr="001013A0" w:rsidDel="00F77187">
              <w:rPr>
                <w:lang w:val="en-US" w:eastAsia="zh-CN"/>
              </w:rPr>
              <w:t xml:space="preserve"> </w:t>
            </w:r>
            <w:r w:rsidRPr="001013A0">
              <w:rPr>
                <w:lang w:val="en-US" w:eastAsia="zh-CN"/>
              </w:rPr>
              <w:t>success probability of transmitting a layer 2 PDU</w:t>
            </w:r>
          </w:p>
        </w:tc>
      </w:tr>
      <w:tr w:rsidR="004B58DE" w:rsidRPr="00D26E80" w14:paraId="1DB38C1C" w14:textId="77777777" w:rsidTr="004B58DE">
        <w:trPr>
          <w:trHeight w:val="324"/>
          <w:jc w:val="center"/>
        </w:trPr>
        <w:tc>
          <w:tcPr>
            <w:tcW w:w="3539" w:type="dxa"/>
          </w:tcPr>
          <w:p w14:paraId="00678551" w14:textId="68714C7F" w:rsidR="004B58DE" w:rsidRPr="00D26E80" w:rsidRDefault="004B58DE" w:rsidP="004B58DE">
            <w:pPr>
              <w:pStyle w:val="Tabletext"/>
              <w:rPr>
                <w:rFonts w:eastAsia="Gulim"/>
                <w:szCs w:val="24"/>
              </w:rPr>
            </w:pPr>
            <w:r w:rsidRPr="00ED113B">
              <w:rPr>
                <w:lang w:eastAsia="zh-CN"/>
              </w:rPr>
              <w:t>Mobility</w:t>
            </w:r>
          </w:p>
        </w:tc>
        <w:tc>
          <w:tcPr>
            <w:tcW w:w="5186" w:type="dxa"/>
          </w:tcPr>
          <w:p w14:paraId="2240AC03" w14:textId="77777777" w:rsidR="004B58DE" w:rsidRDefault="004B58DE" w:rsidP="004B58DE">
            <w:pPr>
              <w:pStyle w:val="Tabletext"/>
              <w:rPr>
                <w:lang w:eastAsia="zh-CN"/>
              </w:rPr>
            </w:pPr>
            <w:r>
              <w:rPr>
                <w:lang w:eastAsia="zh-CN"/>
              </w:rPr>
              <w:t>The following classes of mobility are defined:</w:t>
            </w:r>
          </w:p>
          <w:p w14:paraId="2613B4A0" w14:textId="77777777" w:rsidR="004B58DE" w:rsidRDefault="004B58DE" w:rsidP="004B58DE">
            <w:pPr>
              <w:pStyle w:val="Tabletext"/>
              <w:rPr>
                <w:lang w:eastAsia="zh-CN"/>
              </w:rPr>
            </w:pPr>
            <w:r>
              <w:rPr>
                <w:lang w:eastAsia="zh-CN"/>
              </w:rPr>
              <w:t>–</w:t>
            </w:r>
            <w:r>
              <w:rPr>
                <w:lang w:eastAsia="zh-CN"/>
              </w:rPr>
              <w:tab/>
              <w:t>Stationary: 0 km/h</w:t>
            </w:r>
          </w:p>
          <w:p w14:paraId="5D05272E" w14:textId="77777777" w:rsidR="004B58DE" w:rsidRDefault="004B58DE" w:rsidP="004B58DE">
            <w:pPr>
              <w:pStyle w:val="Tabletext"/>
              <w:rPr>
                <w:lang w:eastAsia="zh-CN"/>
              </w:rPr>
            </w:pPr>
            <w:r>
              <w:rPr>
                <w:lang w:eastAsia="zh-CN"/>
              </w:rPr>
              <w:t>–</w:t>
            </w:r>
            <w:r>
              <w:rPr>
                <w:lang w:eastAsia="zh-CN"/>
              </w:rPr>
              <w:tab/>
              <w:t>Pedestrian: 0 km/h to 10 km/h</w:t>
            </w:r>
          </w:p>
          <w:p w14:paraId="29BCED5F" w14:textId="77777777" w:rsidR="004B58DE" w:rsidRDefault="004B58DE" w:rsidP="004B58DE">
            <w:pPr>
              <w:pStyle w:val="Tabletext"/>
              <w:rPr>
                <w:lang w:eastAsia="zh-CN"/>
              </w:rPr>
            </w:pPr>
            <w:r>
              <w:rPr>
                <w:lang w:eastAsia="zh-CN"/>
              </w:rPr>
              <w:t>–</w:t>
            </w:r>
            <w:r>
              <w:rPr>
                <w:lang w:eastAsia="zh-CN"/>
              </w:rPr>
              <w:tab/>
              <w:t>Vehicular: 10 km/h to 120 km/h</w:t>
            </w:r>
          </w:p>
          <w:p w14:paraId="1E72304C" w14:textId="4FEB314C" w:rsidR="004B58DE" w:rsidRPr="00D26E80" w:rsidRDefault="004B58DE" w:rsidP="004B58DE">
            <w:pPr>
              <w:pStyle w:val="Tabletext"/>
            </w:pPr>
            <w:r>
              <w:rPr>
                <w:lang w:eastAsia="zh-CN"/>
              </w:rPr>
              <w:t>–</w:t>
            </w:r>
            <w:r>
              <w:rPr>
                <w:lang w:eastAsia="zh-CN"/>
              </w:rPr>
              <w:tab/>
              <w:t>High speed vehicular: 120 km/h to 500 km/h.</w:t>
            </w:r>
          </w:p>
        </w:tc>
      </w:tr>
      <w:tr w:rsidR="004B58DE" w:rsidRPr="00D26E80" w14:paraId="1D2277A0" w14:textId="77777777" w:rsidTr="004B58DE">
        <w:trPr>
          <w:trHeight w:val="324"/>
          <w:jc w:val="center"/>
        </w:trPr>
        <w:tc>
          <w:tcPr>
            <w:tcW w:w="3539" w:type="dxa"/>
          </w:tcPr>
          <w:p w14:paraId="0C12CE64" w14:textId="0CB360AF" w:rsidR="004B58DE" w:rsidRPr="00D26E80" w:rsidRDefault="004B58DE" w:rsidP="004B58DE">
            <w:pPr>
              <w:pStyle w:val="Tabletext"/>
              <w:rPr>
                <w:rFonts w:eastAsia="Gulim"/>
                <w:szCs w:val="24"/>
              </w:rPr>
            </w:pPr>
            <w:r w:rsidRPr="00ED113B">
              <w:rPr>
                <w:lang w:eastAsia="zh-CN"/>
              </w:rPr>
              <w:t>Mobility interruption time</w:t>
            </w:r>
          </w:p>
        </w:tc>
        <w:tc>
          <w:tcPr>
            <w:tcW w:w="5186" w:type="dxa"/>
          </w:tcPr>
          <w:p w14:paraId="488478FE" w14:textId="5D3442D4" w:rsidR="004B58DE" w:rsidRPr="00D26E80" w:rsidRDefault="00A10787" w:rsidP="00A10787">
            <w:pPr>
              <w:pStyle w:val="Tabletext"/>
              <w:tabs>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Gulim"/>
                <w:szCs w:val="24"/>
              </w:rPr>
            </w:pPr>
            <w:r>
              <w:rPr>
                <w:rFonts w:eastAsia="Gulim"/>
                <w:szCs w:val="24"/>
              </w:rPr>
              <w:t xml:space="preserve">0 </w:t>
            </w:r>
            <w:proofErr w:type="spellStart"/>
            <w:r>
              <w:rPr>
                <w:rFonts w:eastAsia="Gulim"/>
                <w:szCs w:val="24"/>
              </w:rPr>
              <w:t>ms</w:t>
            </w:r>
            <w:proofErr w:type="spellEnd"/>
          </w:p>
        </w:tc>
      </w:tr>
      <w:tr w:rsidR="004B58DE" w:rsidRPr="00D26E80" w14:paraId="29AB91C8" w14:textId="77777777" w:rsidTr="004B58DE">
        <w:trPr>
          <w:trHeight w:val="324"/>
          <w:jc w:val="center"/>
        </w:trPr>
        <w:tc>
          <w:tcPr>
            <w:tcW w:w="3539" w:type="dxa"/>
          </w:tcPr>
          <w:p w14:paraId="4E53F650" w14:textId="4639BBD8" w:rsidR="004B58DE" w:rsidRDefault="004B58DE" w:rsidP="004B58DE">
            <w:pPr>
              <w:pStyle w:val="Tabletext"/>
              <w:rPr>
                <w:rFonts w:eastAsia="Gulim"/>
                <w:szCs w:val="24"/>
              </w:rPr>
            </w:pPr>
            <w:r w:rsidRPr="00ED113B">
              <w:rPr>
                <w:lang w:eastAsia="zh-CN"/>
              </w:rPr>
              <w:t>Bandwidth</w:t>
            </w:r>
          </w:p>
        </w:tc>
        <w:tc>
          <w:tcPr>
            <w:tcW w:w="5186" w:type="dxa"/>
          </w:tcPr>
          <w:p w14:paraId="061D35F4" w14:textId="13494555" w:rsidR="004B58DE" w:rsidRPr="00D26E80" w:rsidRDefault="00A31F8F" w:rsidP="00A10787">
            <w:pPr>
              <w:pStyle w:val="Tabletext"/>
              <w:keepNext/>
              <w:rPr>
                <w:rFonts w:eastAsia="Gulim"/>
                <w:szCs w:val="24"/>
              </w:rPr>
            </w:pPr>
            <w:r w:rsidRPr="00C04B4C">
              <w:rPr>
                <w:rFonts w:eastAsia="Gulim"/>
                <w:szCs w:val="24"/>
                <w:highlight w:val="yellow"/>
              </w:rPr>
              <w:t xml:space="preserve">At least </w:t>
            </w:r>
            <w:r w:rsidR="00A9043B" w:rsidRPr="00C04B4C">
              <w:rPr>
                <w:rFonts w:eastAsia="Gulim"/>
                <w:szCs w:val="24"/>
                <w:highlight w:val="yellow"/>
              </w:rPr>
              <w:t>4</w:t>
            </w:r>
            <w:r w:rsidRPr="00C04B4C">
              <w:rPr>
                <w:rFonts w:eastAsia="Gulim"/>
                <w:szCs w:val="24"/>
                <w:highlight w:val="yellow"/>
              </w:rPr>
              <w:t xml:space="preserve">00MHz </w:t>
            </w:r>
            <w:r w:rsidR="00A9043B" w:rsidRPr="00C04B4C">
              <w:rPr>
                <w:rFonts w:eastAsia="Gulim"/>
                <w:szCs w:val="24"/>
                <w:highlight w:val="yellow"/>
              </w:rPr>
              <w:t>system bandwidth</w:t>
            </w:r>
          </w:p>
        </w:tc>
      </w:tr>
    </w:tbl>
    <w:p w14:paraId="53DFD6A4" w14:textId="2F465691" w:rsidR="006637C0" w:rsidRDefault="00A10787" w:rsidP="00A10787">
      <w:pPr>
        <w:pStyle w:val="Caption"/>
        <w:rPr>
          <w:sz w:val="20"/>
          <w:szCs w:val="20"/>
        </w:rPr>
      </w:pPr>
      <w:r>
        <w:t xml:space="preserve">Table </w:t>
      </w:r>
      <w:fldSimple w:instr=" SEQ Table \* ARABIC ">
        <w:r w:rsidR="00515A8A">
          <w:rPr>
            <w:noProof/>
          </w:rPr>
          <w:t>2</w:t>
        </w:r>
      </w:fldSimple>
      <w:r>
        <w:t>: Proposed values for "legacy" TPRs</w:t>
      </w:r>
    </w:p>
    <w:p w14:paraId="31C67DAB" w14:textId="77777777" w:rsidR="00A10787" w:rsidRDefault="00E31EEB" w:rsidP="00970368">
      <w:pPr>
        <w:rPr>
          <w:sz w:val="20"/>
          <w:szCs w:val="20"/>
        </w:rPr>
      </w:pPr>
      <w:r>
        <w:rPr>
          <w:sz w:val="20"/>
          <w:szCs w:val="20"/>
        </w:rPr>
        <w:t>NOTE</w:t>
      </w:r>
      <w:r w:rsidR="00A10787">
        <w:rPr>
          <w:sz w:val="20"/>
          <w:szCs w:val="20"/>
        </w:rPr>
        <w:t>s</w:t>
      </w:r>
      <w:r>
        <w:rPr>
          <w:sz w:val="20"/>
          <w:szCs w:val="20"/>
        </w:rPr>
        <w:t xml:space="preserve">: </w:t>
      </w:r>
    </w:p>
    <w:p w14:paraId="2A1B57A3" w14:textId="58E8C63D" w:rsidR="00E31EEB" w:rsidRPr="00A10787" w:rsidRDefault="00A10787" w:rsidP="00A10787">
      <w:pPr>
        <w:pStyle w:val="ListParagraph"/>
        <w:numPr>
          <w:ilvl w:val="0"/>
          <w:numId w:val="28"/>
        </w:numPr>
        <w:ind w:leftChars="0"/>
        <w:rPr>
          <w:szCs w:val="20"/>
          <w:lang w:val="en-US"/>
        </w:rPr>
      </w:pPr>
      <w:r>
        <w:rPr>
          <w:szCs w:val="20"/>
        </w:rPr>
        <w:t>S</w:t>
      </w:r>
      <w:r w:rsidR="00E31EEB" w:rsidRPr="00A10787">
        <w:rPr>
          <w:szCs w:val="20"/>
        </w:rPr>
        <w:t xml:space="preserve">ome values, e.g. peak data rate, are to be evaluated by inspection and therefore do not depend on a Test Environment (TE), </w:t>
      </w:r>
      <w:r w:rsidRPr="00A10787">
        <w:rPr>
          <w:szCs w:val="20"/>
        </w:rPr>
        <w:t xml:space="preserve">yet </w:t>
      </w:r>
      <w:r w:rsidR="00E31EEB" w:rsidRPr="00A10787">
        <w:rPr>
          <w:szCs w:val="20"/>
        </w:rPr>
        <w:t xml:space="preserve">to be defined by ITU-R WP5D. Some others, though, specifically those to be evaluated by simulations in a yet-to-be-defined TE, naturally depend on the simulation assumptions in the TE. Therefore, for those TPRs where the value depends on the TE, instead of providing a number (which is not </w:t>
      </w:r>
      <w:r w:rsidRPr="00A10787">
        <w:rPr>
          <w:szCs w:val="20"/>
        </w:rPr>
        <w:t>possible without knowing the details of a TE), we provide a relative value (relative to the corresponding IMT-2020 values).</w:t>
      </w:r>
    </w:p>
    <w:p w14:paraId="07E273D8" w14:textId="2A95B3B7" w:rsidR="00A10787" w:rsidRDefault="00A10787" w:rsidP="00A10787">
      <w:pPr>
        <w:pStyle w:val="ListParagraph"/>
        <w:numPr>
          <w:ilvl w:val="0"/>
          <w:numId w:val="28"/>
        </w:numPr>
        <w:ind w:leftChars="0"/>
      </w:pPr>
      <w:r>
        <w:t xml:space="preserve">In IMT-2020, </w:t>
      </w:r>
      <w:r w:rsidRPr="00ED113B">
        <w:t xml:space="preserve">Energy </w:t>
      </w:r>
      <w:r>
        <w:t>E</w:t>
      </w:r>
      <w:r w:rsidRPr="00ED113B">
        <w:t>fficiency</w:t>
      </w:r>
      <w:r>
        <w:t xml:space="preserve"> was a “qualitative” TPR with the following requirement: “The RIT/SRIT shall have the capability to support a high sleep ratio and long sleep duration.”. Since in IMT-2030 WP5D decided to define a quantitative TPR for energy efficiency, but is yet to provide a definition, it is hard for 3GPP to discuss a value. Therefore, we propose to come back to discussing this TPR value in the next meeting. </w:t>
      </w:r>
    </w:p>
    <w:p w14:paraId="160916DA" w14:textId="475B4814" w:rsidR="009C3FB2" w:rsidRDefault="009C3FB2" w:rsidP="00A10787">
      <w:pPr>
        <w:pStyle w:val="ListParagraph"/>
        <w:numPr>
          <w:ilvl w:val="0"/>
          <w:numId w:val="28"/>
        </w:numPr>
        <w:ind w:leftChars="0"/>
      </w:pPr>
      <w:r>
        <w:t xml:space="preserve">Even </w:t>
      </w:r>
      <w:r w:rsidR="00421DA4">
        <w:t>though</w:t>
      </w:r>
      <w:r>
        <w:t xml:space="preserve"> IMT TPR document</w:t>
      </w:r>
      <w:r w:rsidR="00095C68">
        <w:t xml:space="preserve"> </w:t>
      </w:r>
      <w:r>
        <w:t xml:space="preserve">don’t normally refer to </w:t>
      </w:r>
      <w:r w:rsidR="00421DA4">
        <w:t>frequencies, 400</w:t>
      </w:r>
      <w:r w:rsidR="00F03573">
        <w:t xml:space="preserve">MHz system bandwidth </w:t>
      </w:r>
      <w:r w:rsidR="00EC167C">
        <w:t xml:space="preserve">requirement </w:t>
      </w:r>
      <w:r w:rsidR="00431A7C">
        <w:t>assumes FR2</w:t>
      </w:r>
      <w:r w:rsidR="00EC167C">
        <w:t xml:space="preserve">. </w:t>
      </w:r>
    </w:p>
    <w:p w14:paraId="60779DF2" w14:textId="77777777" w:rsidR="00A10787" w:rsidRPr="00A10787" w:rsidRDefault="00A10787" w:rsidP="00A10787">
      <w:pPr>
        <w:rPr>
          <w:sz w:val="20"/>
          <w:szCs w:val="20"/>
        </w:rPr>
      </w:pPr>
    </w:p>
    <w:p w14:paraId="7F9DDF86" w14:textId="56F0BA2B" w:rsidR="00A10787" w:rsidRPr="00A10787" w:rsidRDefault="00A10787" w:rsidP="00A10787">
      <w:pPr>
        <w:rPr>
          <w:b/>
          <w:bCs/>
          <w:sz w:val="20"/>
          <w:szCs w:val="20"/>
        </w:rPr>
      </w:pPr>
      <w:r w:rsidRPr="00A10787">
        <w:rPr>
          <w:b/>
          <w:bCs/>
          <w:sz w:val="20"/>
          <w:szCs w:val="20"/>
        </w:rPr>
        <w:t>Proposal 2: to include the values values provided in Table 2 in the TR and to communicate them to ITU-R WP5D.</w:t>
      </w:r>
    </w:p>
    <w:p w14:paraId="27D6818C" w14:textId="77777777" w:rsidR="00A10787" w:rsidRDefault="00A10787" w:rsidP="00A10787">
      <w:pPr>
        <w:rPr>
          <w:sz w:val="20"/>
          <w:szCs w:val="20"/>
        </w:rPr>
      </w:pPr>
    </w:p>
    <w:p w14:paraId="7C8D4085" w14:textId="23743150" w:rsidR="00970368" w:rsidRDefault="00970368" w:rsidP="00970368">
      <w:pPr>
        <w:pStyle w:val="Heading2"/>
      </w:pPr>
      <w:r>
        <w:lastRenderedPageBreak/>
        <w:t>New TPRs</w:t>
      </w:r>
    </w:p>
    <w:p w14:paraId="5F6517E3" w14:textId="67D38921" w:rsidR="00EB78F3" w:rsidRDefault="00EB78F3" w:rsidP="006B2109">
      <w:pPr>
        <w:rPr>
          <w:sz w:val="20"/>
          <w:szCs w:val="20"/>
        </w:rPr>
      </w:pPr>
      <w:r>
        <w:rPr>
          <w:sz w:val="20"/>
          <w:szCs w:val="20"/>
        </w:rPr>
        <w:t>In this section we discuss the new IMT-2030 TPRs, i.e. those not evaluated in IMT-2020, specifically:</w:t>
      </w:r>
    </w:p>
    <w:p w14:paraId="6B71F30D" w14:textId="203D870F" w:rsidR="00EB78F3" w:rsidRPr="00EB78F3" w:rsidRDefault="00EB78F3" w:rsidP="00EB78F3">
      <w:pPr>
        <w:pStyle w:val="ListParagraph"/>
        <w:numPr>
          <w:ilvl w:val="0"/>
          <w:numId w:val="29"/>
        </w:numPr>
        <w:ind w:leftChars="0"/>
        <w:rPr>
          <w:szCs w:val="20"/>
        </w:rPr>
      </w:pPr>
      <w:r w:rsidRPr="00D26E80">
        <w:t>AI-related capabilities</w:t>
      </w:r>
    </w:p>
    <w:p w14:paraId="1E974926" w14:textId="2CDDEE2E" w:rsidR="00EB78F3" w:rsidRPr="00EB78F3" w:rsidRDefault="00EB78F3" w:rsidP="00EB78F3">
      <w:pPr>
        <w:pStyle w:val="ListParagraph"/>
        <w:numPr>
          <w:ilvl w:val="0"/>
          <w:numId w:val="29"/>
        </w:numPr>
        <w:ind w:leftChars="0"/>
        <w:rPr>
          <w:szCs w:val="20"/>
        </w:rPr>
      </w:pPr>
      <w:r>
        <w:rPr>
          <w:rFonts w:eastAsia="Gulim"/>
        </w:rPr>
        <w:t>Positioning</w:t>
      </w:r>
    </w:p>
    <w:p w14:paraId="5626A35D" w14:textId="208161F2" w:rsidR="00EB78F3" w:rsidRPr="00EB78F3" w:rsidRDefault="00EB78F3" w:rsidP="00EB78F3">
      <w:pPr>
        <w:pStyle w:val="ListParagraph"/>
        <w:numPr>
          <w:ilvl w:val="0"/>
          <w:numId w:val="29"/>
        </w:numPr>
        <w:ind w:leftChars="0"/>
        <w:rPr>
          <w:szCs w:val="20"/>
        </w:rPr>
      </w:pPr>
      <w:r w:rsidRPr="00EB78F3">
        <w:rPr>
          <w:szCs w:val="20"/>
          <w:lang w:val="en-US"/>
        </w:rPr>
        <w:t>Sensing-related capabilities</w:t>
      </w:r>
    </w:p>
    <w:p w14:paraId="7B2A7676" w14:textId="77777777" w:rsidR="00EB78F3" w:rsidRPr="00EB78F3" w:rsidRDefault="00EB78F3" w:rsidP="00EB78F3">
      <w:pPr>
        <w:pStyle w:val="ListParagraph"/>
        <w:numPr>
          <w:ilvl w:val="0"/>
          <w:numId w:val="29"/>
        </w:numPr>
        <w:ind w:leftChars="0"/>
        <w:rPr>
          <w:szCs w:val="20"/>
        </w:rPr>
      </w:pPr>
      <w:r w:rsidRPr="00EB78F3">
        <w:rPr>
          <w:szCs w:val="20"/>
        </w:rPr>
        <w:t>[Joint requirement on data rate, latency, reliability and capacity]</w:t>
      </w:r>
    </w:p>
    <w:p w14:paraId="270F7C36" w14:textId="77777777" w:rsidR="00EB78F3" w:rsidRPr="00EB78F3" w:rsidRDefault="00EB78F3" w:rsidP="00EB78F3">
      <w:pPr>
        <w:pStyle w:val="ListParagraph"/>
        <w:numPr>
          <w:ilvl w:val="0"/>
          <w:numId w:val="29"/>
        </w:numPr>
        <w:ind w:leftChars="0"/>
        <w:rPr>
          <w:szCs w:val="20"/>
        </w:rPr>
      </w:pPr>
      <w:r w:rsidRPr="00EB78F3">
        <w:rPr>
          <w:szCs w:val="20"/>
        </w:rPr>
        <w:t>[Coverage]</w:t>
      </w:r>
    </w:p>
    <w:p w14:paraId="181CFA50" w14:textId="77777777" w:rsidR="00EB78F3" w:rsidRPr="00EB78F3" w:rsidRDefault="00EB78F3" w:rsidP="00EB78F3">
      <w:pPr>
        <w:pStyle w:val="ListParagraph"/>
        <w:numPr>
          <w:ilvl w:val="0"/>
          <w:numId w:val="29"/>
        </w:numPr>
        <w:ind w:leftChars="0"/>
        <w:rPr>
          <w:szCs w:val="20"/>
        </w:rPr>
      </w:pPr>
      <w:r w:rsidRPr="00EB78F3">
        <w:rPr>
          <w:szCs w:val="20"/>
        </w:rPr>
        <w:t>[Security]</w:t>
      </w:r>
    </w:p>
    <w:p w14:paraId="2ABB889C" w14:textId="77777777" w:rsidR="00EB78F3" w:rsidRPr="00EB78F3" w:rsidRDefault="00EB78F3" w:rsidP="00EB78F3">
      <w:pPr>
        <w:pStyle w:val="ListParagraph"/>
        <w:numPr>
          <w:ilvl w:val="0"/>
          <w:numId w:val="29"/>
        </w:numPr>
        <w:ind w:leftChars="0"/>
        <w:rPr>
          <w:szCs w:val="20"/>
        </w:rPr>
      </w:pPr>
      <w:r w:rsidRPr="00EB78F3">
        <w:rPr>
          <w:szCs w:val="20"/>
        </w:rPr>
        <w:t>[Resilience]</w:t>
      </w:r>
    </w:p>
    <w:p w14:paraId="77748F54" w14:textId="77777777" w:rsidR="00EB78F3" w:rsidRPr="00EB78F3" w:rsidRDefault="00EB78F3" w:rsidP="00EB78F3">
      <w:pPr>
        <w:pStyle w:val="ListParagraph"/>
        <w:numPr>
          <w:ilvl w:val="0"/>
          <w:numId w:val="29"/>
        </w:numPr>
        <w:ind w:leftChars="0"/>
        <w:rPr>
          <w:szCs w:val="20"/>
        </w:rPr>
      </w:pPr>
      <w:r w:rsidRPr="00EB78F3">
        <w:rPr>
          <w:szCs w:val="20"/>
        </w:rPr>
        <w:t>[Sustainability]</w:t>
      </w:r>
    </w:p>
    <w:p w14:paraId="63B9DB0F" w14:textId="5E75C20B" w:rsidR="00EB78F3" w:rsidRPr="00EB78F3" w:rsidRDefault="00EB78F3" w:rsidP="00EB78F3">
      <w:pPr>
        <w:pStyle w:val="ListParagraph"/>
        <w:numPr>
          <w:ilvl w:val="0"/>
          <w:numId w:val="29"/>
        </w:numPr>
        <w:ind w:leftChars="0"/>
        <w:rPr>
          <w:szCs w:val="20"/>
        </w:rPr>
      </w:pPr>
      <w:r w:rsidRPr="00EB78F3">
        <w:rPr>
          <w:szCs w:val="20"/>
        </w:rPr>
        <w:t>[Interoperability]</w:t>
      </w:r>
    </w:p>
    <w:p w14:paraId="495463DD" w14:textId="77777777" w:rsidR="00EB78F3" w:rsidRDefault="00EB78F3" w:rsidP="006B2109">
      <w:pPr>
        <w:rPr>
          <w:sz w:val="20"/>
          <w:szCs w:val="20"/>
        </w:rPr>
      </w:pPr>
    </w:p>
    <w:p w14:paraId="57441BE2" w14:textId="295F5534" w:rsidR="00EB78F3" w:rsidRDefault="00EB78F3" w:rsidP="006B2109">
      <w:pPr>
        <w:rPr>
          <w:sz w:val="20"/>
          <w:szCs w:val="20"/>
        </w:rPr>
      </w:pPr>
      <w:r>
        <w:rPr>
          <w:sz w:val="20"/>
          <w:szCs w:val="20"/>
        </w:rPr>
        <w:t>Note: square brackets [] indicate that as of now there is no consensus in ITU-R to introduce the TPR.</w:t>
      </w:r>
    </w:p>
    <w:p w14:paraId="7F08AE3A" w14:textId="77777777" w:rsidR="00EB78F3" w:rsidRDefault="00EB78F3" w:rsidP="006B2109">
      <w:pPr>
        <w:rPr>
          <w:sz w:val="20"/>
          <w:szCs w:val="20"/>
        </w:rPr>
      </w:pPr>
    </w:p>
    <w:p w14:paraId="0FCA3D1F" w14:textId="0E3085B8" w:rsidR="00EB78F3" w:rsidRDefault="00EB78F3" w:rsidP="00EB78F3">
      <w:pPr>
        <w:pStyle w:val="Heading3"/>
      </w:pPr>
      <w:r>
        <w:t xml:space="preserve"> </w:t>
      </w:r>
      <w:r w:rsidRPr="00EB78F3">
        <w:t>AI-related capabilities</w:t>
      </w:r>
    </w:p>
    <w:p w14:paraId="362ACEE9" w14:textId="7CF57D74" w:rsidR="00D3242E" w:rsidRDefault="000B4A13" w:rsidP="000B4A13">
      <w:pPr>
        <w:rPr>
          <w:sz w:val="20"/>
          <w:szCs w:val="20"/>
        </w:rPr>
      </w:pPr>
      <w:r w:rsidRPr="000B4A13">
        <w:rPr>
          <w:sz w:val="20"/>
          <w:szCs w:val="20"/>
        </w:rPr>
        <w:t xml:space="preserve">AI/ML </w:t>
      </w:r>
      <w:r w:rsidR="00B50B34">
        <w:rPr>
          <w:sz w:val="20"/>
          <w:szCs w:val="20"/>
        </w:rPr>
        <w:t xml:space="preserve">is </w:t>
      </w:r>
      <w:r>
        <w:rPr>
          <w:sz w:val="20"/>
          <w:szCs w:val="20"/>
        </w:rPr>
        <w:t>an important aspect of 5G</w:t>
      </w:r>
      <w:r w:rsidR="00D3242E">
        <w:rPr>
          <w:sz w:val="20"/>
          <w:szCs w:val="20"/>
        </w:rPr>
        <w:t>/IMT-2030</w:t>
      </w:r>
      <w:r>
        <w:rPr>
          <w:sz w:val="20"/>
          <w:szCs w:val="20"/>
        </w:rPr>
        <w:t xml:space="preserve">. Notwithstanding that, it is not </w:t>
      </w:r>
      <w:r w:rsidR="00D3242E">
        <w:rPr>
          <w:sz w:val="20"/>
          <w:szCs w:val="20"/>
        </w:rPr>
        <w:t>quite clear how to define a numerical TPR</w:t>
      </w:r>
      <w:r w:rsidR="00B50B34">
        <w:rPr>
          <w:sz w:val="20"/>
          <w:szCs w:val="20"/>
        </w:rPr>
        <w:t>s</w:t>
      </w:r>
      <w:r w:rsidR="00D3242E">
        <w:rPr>
          <w:sz w:val="20"/>
          <w:szCs w:val="20"/>
        </w:rPr>
        <w:t xml:space="preserve"> for these since:</w:t>
      </w:r>
    </w:p>
    <w:p w14:paraId="2C6BD416" w14:textId="3BAD49F5" w:rsidR="000B4A13" w:rsidRDefault="00D3242E" w:rsidP="00D3242E">
      <w:pPr>
        <w:pStyle w:val="ListParagraph"/>
        <w:numPr>
          <w:ilvl w:val="0"/>
          <w:numId w:val="30"/>
        </w:numPr>
        <w:ind w:leftChars="0"/>
        <w:rPr>
          <w:szCs w:val="20"/>
        </w:rPr>
      </w:pPr>
      <w:r>
        <w:rPr>
          <w:szCs w:val="20"/>
        </w:rPr>
        <w:t xml:space="preserve">There are numerous potential AI/ML capabilities and even if we manage to list them all (which seems unlikely), it would be very much unclear how to select the ones to evaluate. </w:t>
      </w:r>
    </w:p>
    <w:p w14:paraId="19ACC3B2" w14:textId="6F530655" w:rsidR="00D3242E" w:rsidRDefault="00D3242E" w:rsidP="00D3242E">
      <w:pPr>
        <w:pStyle w:val="ListParagraph"/>
        <w:numPr>
          <w:ilvl w:val="0"/>
          <w:numId w:val="30"/>
        </w:numPr>
        <w:ind w:leftChars="0"/>
        <w:rPr>
          <w:szCs w:val="20"/>
        </w:rPr>
      </w:pPr>
      <w:r>
        <w:rPr>
          <w:szCs w:val="20"/>
        </w:rPr>
        <w:t xml:space="preserve">Even more importantly, AI/ML is perhaps the most forward-looking 6G feature and as such we must design 6G to be open to a wide range of AI/ML capabilities, not limited to the few we can think of </w:t>
      </w:r>
      <w:proofErr w:type="gramStart"/>
      <w:r>
        <w:rPr>
          <w:szCs w:val="20"/>
        </w:rPr>
        <w:t>at the moment</w:t>
      </w:r>
      <w:proofErr w:type="gramEnd"/>
      <w:r>
        <w:rPr>
          <w:szCs w:val="20"/>
        </w:rPr>
        <w:t xml:space="preserve">. </w:t>
      </w:r>
    </w:p>
    <w:p w14:paraId="71212CE0" w14:textId="062A62A9" w:rsidR="00D3242E" w:rsidRDefault="00D3242E" w:rsidP="00D3242E">
      <w:pPr>
        <w:pStyle w:val="ListParagraph"/>
        <w:numPr>
          <w:ilvl w:val="0"/>
          <w:numId w:val="30"/>
        </w:numPr>
        <w:ind w:leftChars="0"/>
        <w:rPr>
          <w:szCs w:val="20"/>
        </w:rPr>
      </w:pPr>
      <w:r>
        <w:rPr>
          <w:szCs w:val="20"/>
        </w:rPr>
        <w:t xml:space="preserve">Finally, even if we do manage to select a few AI/ML capabilities, it does not appear to be technically feasible to devise a numerical TPR for those, as such capabilities would greatly depend on implementation and compute (not communications) capabilities – present and future. </w:t>
      </w:r>
    </w:p>
    <w:p w14:paraId="2969F6B2" w14:textId="77777777" w:rsidR="00D3242E" w:rsidRDefault="00D3242E" w:rsidP="00D3242E">
      <w:pPr>
        <w:rPr>
          <w:sz w:val="20"/>
          <w:szCs w:val="20"/>
        </w:rPr>
      </w:pPr>
    </w:p>
    <w:p w14:paraId="71130E30" w14:textId="367EB924" w:rsidR="00D3242E" w:rsidRDefault="00D3242E" w:rsidP="00D3242E">
      <w:pPr>
        <w:rPr>
          <w:sz w:val="20"/>
          <w:szCs w:val="20"/>
        </w:rPr>
      </w:pPr>
      <w:r>
        <w:rPr>
          <w:sz w:val="20"/>
          <w:szCs w:val="20"/>
        </w:rPr>
        <w:t xml:space="preserve">Therefore, our proposal is that AI/ML capabilities should be a qualitative TPR evaluated by inspection. </w:t>
      </w:r>
    </w:p>
    <w:p w14:paraId="7ED320B2" w14:textId="77777777" w:rsidR="00D3242E" w:rsidRDefault="00D3242E" w:rsidP="00D3242E">
      <w:pPr>
        <w:rPr>
          <w:sz w:val="20"/>
          <w:szCs w:val="20"/>
        </w:rPr>
      </w:pPr>
    </w:p>
    <w:p w14:paraId="2E38F5C2" w14:textId="2C194A1D" w:rsidR="00D3242E" w:rsidRPr="00D3242E" w:rsidRDefault="00D3242E" w:rsidP="00D3242E">
      <w:pPr>
        <w:rPr>
          <w:b/>
          <w:bCs/>
          <w:sz w:val="20"/>
          <w:szCs w:val="20"/>
        </w:rPr>
      </w:pPr>
      <w:r w:rsidRPr="00D3242E">
        <w:rPr>
          <w:b/>
          <w:bCs/>
          <w:sz w:val="20"/>
          <w:szCs w:val="20"/>
        </w:rPr>
        <w:t>Proposal 3: AI/ML capabilities should be a qualitative TPR evaluated by inspection.</w:t>
      </w:r>
    </w:p>
    <w:p w14:paraId="5C97985D" w14:textId="5BEF80E4" w:rsidR="00EB78F3" w:rsidRDefault="00EB78F3" w:rsidP="00EB78F3">
      <w:pPr>
        <w:pStyle w:val="Heading3"/>
      </w:pPr>
      <w:r>
        <w:t xml:space="preserve"> </w:t>
      </w:r>
      <w:r w:rsidRPr="00EB78F3">
        <w:t>Positioning</w:t>
      </w:r>
    </w:p>
    <w:p w14:paraId="464F0188" w14:textId="7405A7AC" w:rsidR="00EB78F3" w:rsidRDefault="00EB78F3" w:rsidP="00EB78F3">
      <w:pPr>
        <w:rPr>
          <w:sz w:val="20"/>
          <w:szCs w:val="20"/>
        </w:rPr>
      </w:pPr>
      <w:r>
        <w:rPr>
          <w:sz w:val="20"/>
          <w:szCs w:val="20"/>
        </w:rPr>
        <w:t>Positioning</w:t>
      </w:r>
      <w:r w:rsidR="00D3242E">
        <w:rPr>
          <w:sz w:val="20"/>
          <w:szCs w:val="20"/>
        </w:rPr>
        <w:t xml:space="preserve"> is a new TPR as far as ITU-R evaluation is concerned, but it’s </w:t>
      </w:r>
      <w:proofErr w:type="gramStart"/>
      <w:r w:rsidR="00D3242E">
        <w:rPr>
          <w:sz w:val="20"/>
          <w:szCs w:val="20"/>
        </w:rPr>
        <w:t>definitely not</w:t>
      </w:r>
      <w:proofErr w:type="gramEnd"/>
      <w:r w:rsidR="00D3242E">
        <w:rPr>
          <w:sz w:val="20"/>
          <w:szCs w:val="20"/>
        </w:rPr>
        <w:t xml:space="preserve"> new to 3GPP technologies</w:t>
      </w:r>
      <w:r>
        <w:rPr>
          <w:sz w:val="20"/>
          <w:szCs w:val="20"/>
        </w:rPr>
        <w:t>.</w:t>
      </w:r>
      <w:r w:rsidR="00D3242E">
        <w:rPr>
          <w:sz w:val="20"/>
          <w:szCs w:val="20"/>
        </w:rPr>
        <w:t xml:space="preserve"> This makes the discussion easier, as we can refer to the positioning capabilities of 5</w:t>
      </w:r>
      <w:proofErr w:type="gramStart"/>
      <w:r w:rsidR="00D3242E">
        <w:rPr>
          <w:sz w:val="20"/>
          <w:szCs w:val="20"/>
        </w:rPr>
        <w:t>G</w:t>
      </w:r>
      <w:r w:rsidR="00EA33B8">
        <w:rPr>
          <w:sz w:val="20"/>
          <w:szCs w:val="20"/>
        </w:rPr>
        <w:t>,.</w:t>
      </w:r>
      <w:proofErr w:type="gramEnd"/>
      <w:r w:rsidR="00BC10C3">
        <w:rPr>
          <w:sz w:val="20"/>
          <w:szCs w:val="20"/>
        </w:rPr>
        <w:t xml:space="preserve"> Going beyond </w:t>
      </w:r>
      <w:r w:rsidR="008E13F2">
        <w:rPr>
          <w:sz w:val="20"/>
          <w:szCs w:val="20"/>
        </w:rPr>
        <w:t xml:space="preserve">the 5G capabilities </w:t>
      </w:r>
      <w:r w:rsidR="009C6BB3">
        <w:rPr>
          <w:sz w:val="20"/>
          <w:szCs w:val="20"/>
        </w:rPr>
        <w:t>for positioning should be justified with clear market use cases and requirements</w:t>
      </w:r>
      <w:r w:rsidR="00BC10C3">
        <w:rPr>
          <w:sz w:val="20"/>
          <w:szCs w:val="20"/>
        </w:rPr>
        <w:t xml:space="preserve">. </w:t>
      </w:r>
    </w:p>
    <w:p w14:paraId="7FEA1284" w14:textId="77777777" w:rsidR="009C6BB3" w:rsidRDefault="009C6BB3" w:rsidP="00EB78F3">
      <w:pPr>
        <w:rPr>
          <w:sz w:val="20"/>
          <w:szCs w:val="20"/>
        </w:rPr>
      </w:pPr>
    </w:p>
    <w:p w14:paraId="43B43815" w14:textId="5DEF5A26" w:rsidR="009C6BB3" w:rsidRPr="00C04B4C" w:rsidRDefault="009C6BB3" w:rsidP="00EB78F3">
      <w:pPr>
        <w:rPr>
          <w:b/>
          <w:bCs/>
          <w:sz w:val="20"/>
          <w:szCs w:val="20"/>
        </w:rPr>
      </w:pPr>
      <w:r w:rsidRPr="00C04B4C">
        <w:rPr>
          <w:b/>
          <w:bCs/>
          <w:sz w:val="20"/>
          <w:szCs w:val="20"/>
        </w:rPr>
        <w:t>Observation 4: IMT-2030 positioning accuracy requirements can be based on 5G positioning requirements; going beyond those should be justified with clear market use cases and requirements.</w:t>
      </w:r>
    </w:p>
    <w:p w14:paraId="354B524A" w14:textId="77777777" w:rsidR="00EA33B8" w:rsidRDefault="00EA33B8" w:rsidP="00EB78F3">
      <w:pPr>
        <w:rPr>
          <w:sz w:val="20"/>
          <w:szCs w:val="20"/>
        </w:rPr>
      </w:pPr>
    </w:p>
    <w:p w14:paraId="17023373" w14:textId="78B5BF9E" w:rsidR="00073CCA" w:rsidRDefault="00073CCA" w:rsidP="00EB78F3">
      <w:pPr>
        <w:rPr>
          <w:sz w:val="20"/>
          <w:szCs w:val="20"/>
        </w:rPr>
      </w:pPr>
      <w:r>
        <w:rPr>
          <w:sz w:val="20"/>
          <w:szCs w:val="20"/>
        </w:rPr>
        <w:t xml:space="preserve">The bulk of the work on positioning was carried out in 3GPP Release-16 and Release-17. According to the Release-17 TR </w:t>
      </w:r>
      <w:r w:rsidR="003B34FF">
        <w:rPr>
          <w:sz w:val="20"/>
          <w:szCs w:val="20"/>
        </w:rPr>
        <w:t>38.857 [5]</w:t>
      </w:r>
      <w:r w:rsidR="002376B9">
        <w:rPr>
          <w:sz w:val="20"/>
          <w:szCs w:val="20"/>
        </w:rPr>
        <w:t>, the target positioning accuracy requirements were:</w:t>
      </w:r>
    </w:p>
    <w:p w14:paraId="6FAF1E9C" w14:textId="3A21FC0D" w:rsidR="002376B9" w:rsidRDefault="002376B9" w:rsidP="002376B9">
      <w:pPr>
        <w:pStyle w:val="ListParagraph"/>
        <w:numPr>
          <w:ilvl w:val="0"/>
          <w:numId w:val="35"/>
        </w:numPr>
        <w:ind w:leftChars="0"/>
        <w:rPr>
          <w:szCs w:val="20"/>
        </w:rPr>
      </w:pPr>
      <w:r>
        <w:rPr>
          <w:szCs w:val="20"/>
        </w:rPr>
        <w:t>For commercial use cases</w:t>
      </w:r>
    </w:p>
    <w:p w14:paraId="1FB49D57" w14:textId="5C4832C0" w:rsidR="00803B37" w:rsidRPr="00803B37" w:rsidRDefault="00803B37" w:rsidP="00803B37">
      <w:pPr>
        <w:pStyle w:val="ListParagraph"/>
        <w:numPr>
          <w:ilvl w:val="1"/>
          <w:numId w:val="35"/>
        </w:numPr>
        <w:ind w:left="1320"/>
        <w:rPr>
          <w:szCs w:val="20"/>
          <w:lang w:val="en-IL"/>
        </w:rPr>
      </w:pPr>
      <w:r w:rsidRPr="00803B37">
        <w:rPr>
          <w:szCs w:val="20"/>
          <w:lang w:val="en-IL"/>
        </w:rPr>
        <w:t>Horizontal position accuracy (&lt; 1 m) for 90% of UEs</w:t>
      </w:r>
    </w:p>
    <w:p w14:paraId="5FEFD680" w14:textId="46E60EAC" w:rsidR="002376B9" w:rsidRDefault="00803B37" w:rsidP="00803B37">
      <w:pPr>
        <w:pStyle w:val="ListParagraph"/>
        <w:numPr>
          <w:ilvl w:val="1"/>
          <w:numId w:val="35"/>
        </w:numPr>
        <w:ind w:left="1320"/>
        <w:rPr>
          <w:szCs w:val="20"/>
          <w:lang w:val="en-IL"/>
        </w:rPr>
      </w:pPr>
      <w:r w:rsidRPr="00803B37">
        <w:rPr>
          <w:szCs w:val="20"/>
          <w:lang w:val="en-IL"/>
        </w:rPr>
        <w:t>Vertical position accuracy (&lt; 3 m) for 90% of Ues</w:t>
      </w:r>
    </w:p>
    <w:p w14:paraId="7B6AC7BC" w14:textId="6BB3D6D1" w:rsidR="00803B37" w:rsidRDefault="00803B37" w:rsidP="00803B37">
      <w:pPr>
        <w:pStyle w:val="ListParagraph"/>
        <w:numPr>
          <w:ilvl w:val="0"/>
          <w:numId w:val="35"/>
        </w:numPr>
        <w:ind w:leftChars="0"/>
        <w:rPr>
          <w:szCs w:val="20"/>
          <w:lang w:val="en-IL"/>
        </w:rPr>
      </w:pPr>
      <w:r>
        <w:rPr>
          <w:szCs w:val="20"/>
          <w:lang w:val="en-IL"/>
        </w:rPr>
        <w:t>For Industrial-IoT use cases</w:t>
      </w:r>
    </w:p>
    <w:p w14:paraId="05A7F1F4" w14:textId="0F7ACBBB" w:rsidR="00C40418" w:rsidRPr="00C40418" w:rsidRDefault="00C40418" w:rsidP="00C40418">
      <w:pPr>
        <w:pStyle w:val="ListParagraph"/>
        <w:numPr>
          <w:ilvl w:val="0"/>
          <w:numId w:val="35"/>
        </w:numPr>
        <w:ind w:left="1320"/>
        <w:rPr>
          <w:szCs w:val="20"/>
          <w:lang w:val="en-IL"/>
        </w:rPr>
      </w:pPr>
      <w:r w:rsidRPr="00C40418">
        <w:rPr>
          <w:szCs w:val="20"/>
          <w:lang w:val="en-IL"/>
        </w:rPr>
        <w:t>Horizontal position accuracy (&lt; 0.2 m) for 90% of UEs</w:t>
      </w:r>
    </w:p>
    <w:p w14:paraId="16F9CB0D" w14:textId="641D14F9" w:rsidR="00C40418" w:rsidRPr="00C40418" w:rsidRDefault="00C40418" w:rsidP="00C40418">
      <w:pPr>
        <w:pStyle w:val="ListParagraph"/>
        <w:numPr>
          <w:ilvl w:val="0"/>
          <w:numId w:val="35"/>
        </w:numPr>
        <w:ind w:left="1320"/>
        <w:rPr>
          <w:szCs w:val="20"/>
          <w:lang w:val="en-IL"/>
        </w:rPr>
      </w:pPr>
      <w:r w:rsidRPr="00C40418">
        <w:rPr>
          <w:szCs w:val="20"/>
          <w:lang w:val="en-IL"/>
        </w:rPr>
        <w:t>Vertical position accuracy (&lt; 1 m) for 90% of UEs</w:t>
      </w:r>
    </w:p>
    <w:p w14:paraId="193DB0C2" w14:textId="77777777" w:rsidR="002376B9" w:rsidRDefault="002376B9" w:rsidP="00EB78F3">
      <w:pPr>
        <w:rPr>
          <w:sz w:val="20"/>
          <w:szCs w:val="20"/>
        </w:rPr>
      </w:pPr>
    </w:p>
    <w:p w14:paraId="001FDCA4" w14:textId="30348F6E" w:rsidR="00C40418" w:rsidRDefault="00AB125A" w:rsidP="006C58FE">
      <w:pPr>
        <w:rPr>
          <w:sz w:val="20"/>
          <w:szCs w:val="20"/>
        </w:rPr>
      </w:pPr>
      <w:r>
        <w:rPr>
          <w:sz w:val="20"/>
          <w:szCs w:val="20"/>
        </w:rPr>
        <w:t xml:space="preserve">In Release-18, according to TR 38.859 [6], </w:t>
      </w:r>
      <w:proofErr w:type="gramStart"/>
      <w:r>
        <w:rPr>
          <w:sz w:val="20"/>
          <w:szCs w:val="20"/>
        </w:rPr>
        <w:t>a number of</w:t>
      </w:r>
      <w:proofErr w:type="gramEnd"/>
      <w:r>
        <w:rPr>
          <w:sz w:val="20"/>
          <w:szCs w:val="20"/>
        </w:rPr>
        <w:t xml:space="preserve"> positioning methods (such as </w:t>
      </w:r>
      <w:r w:rsidR="006C58FE" w:rsidRPr="006C58FE">
        <w:rPr>
          <w:sz w:val="20"/>
          <w:szCs w:val="20"/>
        </w:rPr>
        <w:t>NR carrier phase positioning</w:t>
      </w:r>
      <w:r w:rsidR="006C58FE">
        <w:rPr>
          <w:sz w:val="20"/>
          <w:szCs w:val="20"/>
        </w:rPr>
        <w:t xml:space="preserve">) have been added, which can significantly improve positioning accuracy beyond the Release-17 numbers. It is important to note, though, that such </w:t>
      </w:r>
      <w:r w:rsidR="00A96615">
        <w:rPr>
          <w:sz w:val="20"/>
          <w:szCs w:val="20"/>
        </w:rPr>
        <w:t>high accuracy is not intended for commercial (and neither public safety) use cases.</w:t>
      </w:r>
    </w:p>
    <w:p w14:paraId="5C24B7A8" w14:textId="77777777" w:rsidR="00D90D94" w:rsidRDefault="00D90D94" w:rsidP="006C58FE">
      <w:pPr>
        <w:rPr>
          <w:sz w:val="20"/>
          <w:szCs w:val="20"/>
        </w:rPr>
      </w:pPr>
    </w:p>
    <w:p w14:paraId="5A60EEBE" w14:textId="43EE52B5" w:rsidR="00D448BD" w:rsidRDefault="00D448BD" w:rsidP="00682B83">
      <w:pPr>
        <w:rPr>
          <w:sz w:val="20"/>
          <w:szCs w:val="20"/>
        </w:rPr>
      </w:pPr>
      <w:r>
        <w:rPr>
          <w:sz w:val="20"/>
          <w:szCs w:val="20"/>
        </w:rPr>
        <w:lastRenderedPageBreak/>
        <w:t xml:space="preserve">The </w:t>
      </w:r>
      <w:r w:rsidR="000B669B">
        <w:rPr>
          <w:sz w:val="20"/>
          <w:szCs w:val="20"/>
        </w:rPr>
        <w:t>Release-18 positioning accuracy requirements can be found in TS 22.104 [7]</w:t>
      </w:r>
      <w:r w:rsidR="007F7E0C">
        <w:rPr>
          <w:sz w:val="20"/>
          <w:szCs w:val="20"/>
        </w:rPr>
        <w:t xml:space="preserve">. The most extreme requirements are for </w:t>
      </w:r>
      <w:r w:rsidR="00682B83">
        <w:rPr>
          <w:sz w:val="20"/>
          <w:szCs w:val="20"/>
        </w:rPr>
        <w:t>the “</w:t>
      </w:r>
      <w:r w:rsidR="00682B83" w:rsidRPr="00682B83">
        <w:rPr>
          <w:sz w:val="20"/>
          <w:szCs w:val="20"/>
        </w:rPr>
        <w:t>Inbound logistics for</w:t>
      </w:r>
      <w:r w:rsidR="00682B83">
        <w:rPr>
          <w:sz w:val="20"/>
          <w:szCs w:val="20"/>
        </w:rPr>
        <w:t xml:space="preserve"> </w:t>
      </w:r>
      <w:r w:rsidR="00682B83" w:rsidRPr="00682B83">
        <w:rPr>
          <w:sz w:val="20"/>
          <w:szCs w:val="20"/>
        </w:rPr>
        <w:t>manufacturing (for</w:t>
      </w:r>
      <w:r w:rsidR="00682B83">
        <w:rPr>
          <w:sz w:val="20"/>
          <w:szCs w:val="20"/>
        </w:rPr>
        <w:t xml:space="preserve"> </w:t>
      </w:r>
      <w:r w:rsidR="00682B83" w:rsidRPr="00682B83">
        <w:rPr>
          <w:sz w:val="20"/>
          <w:szCs w:val="20"/>
        </w:rPr>
        <w:t>storage of goods)</w:t>
      </w:r>
      <w:r w:rsidR="00682B83">
        <w:rPr>
          <w:sz w:val="20"/>
          <w:szCs w:val="20"/>
        </w:rPr>
        <w:t>:</w:t>
      </w:r>
    </w:p>
    <w:p w14:paraId="4A57C36C" w14:textId="1DECC92F" w:rsidR="00682B83" w:rsidRDefault="00FF4FC2" w:rsidP="00FF4FC2">
      <w:pPr>
        <w:pStyle w:val="ListParagraph"/>
        <w:numPr>
          <w:ilvl w:val="0"/>
          <w:numId w:val="36"/>
        </w:numPr>
        <w:ind w:leftChars="0"/>
        <w:rPr>
          <w:szCs w:val="20"/>
        </w:rPr>
      </w:pPr>
      <w:r w:rsidRPr="00C04B4C">
        <w:rPr>
          <w:szCs w:val="20"/>
        </w:rPr>
        <w:t>Horizontal accuracy: &lt; 20cm</w:t>
      </w:r>
    </w:p>
    <w:p w14:paraId="1BF6B209" w14:textId="249FAFAC" w:rsidR="00FF4FC2" w:rsidRPr="00C04B4C" w:rsidRDefault="00FF4FC2" w:rsidP="00C04B4C">
      <w:pPr>
        <w:pStyle w:val="ListParagraph"/>
        <w:numPr>
          <w:ilvl w:val="0"/>
          <w:numId w:val="36"/>
        </w:numPr>
        <w:ind w:leftChars="0"/>
        <w:rPr>
          <w:szCs w:val="20"/>
        </w:rPr>
      </w:pPr>
      <w:r>
        <w:rPr>
          <w:szCs w:val="20"/>
        </w:rPr>
        <w:t>Vertical accuracy: &lt; 20cm</w:t>
      </w:r>
    </w:p>
    <w:p w14:paraId="0D527F8D" w14:textId="77777777" w:rsidR="007F7E0C" w:rsidRDefault="007F7E0C" w:rsidP="006C58FE">
      <w:pPr>
        <w:rPr>
          <w:sz w:val="20"/>
          <w:szCs w:val="20"/>
        </w:rPr>
      </w:pPr>
    </w:p>
    <w:p w14:paraId="33396CD3" w14:textId="753DEA01" w:rsidR="00D90D94" w:rsidRDefault="00D90D94" w:rsidP="006C58FE">
      <w:pPr>
        <w:rPr>
          <w:sz w:val="20"/>
          <w:szCs w:val="20"/>
        </w:rPr>
      </w:pPr>
      <w:r>
        <w:rPr>
          <w:sz w:val="20"/>
          <w:szCs w:val="20"/>
        </w:rPr>
        <w:t xml:space="preserve">Therefore, in our view, the recommended positioning accuracy numbers depend on the </w:t>
      </w:r>
      <w:r w:rsidR="00C25191">
        <w:rPr>
          <w:sz w:val="20"/>
          <w:szCs w:val="20"/>
        </w:rPr>
        <w:t xml:space="preserve">Usage Scenario. If they are to be evaluated in a Test Environment </w:t>
      </w:r>
      <w:r w:rsidR="00920159">
        <w:rPr>
          <w:sz w:val="20"/>
          <w:szCs w:val="20"/>
        </w:rPr>
        <w:t xml:space="preserve">(TE) </w:t>
      </w:r>
      <w:r w:rsidR="00C25191">
        <w:rPr>
          <w:sz w:val="20"/>
          <w:szCs w:val="20"/>
        </w:rPr>
        <w:t xml:space="preserve">for </w:t>
      </w:r>
      <w:r w:rsidR="00551E36">
        <w:rPr>
          <w:sz w:val="20"/>
          <w:szCs w:val="20"/>
        </w:rPr>
        <w:t xml:space="preserve">a </w:t>
      </w:r>
      <w:r w:rsidR="00551E36" w:rsidRPr="00551E36">
        <w:rPr>
          <w:sz w:val="20"/>
          <w:szCs w:val="20"/>
        </w:rPr>
        <w:t>HRLLC</w:t>
      </w:r>
      <w:r w:rsidR="00551E36">
        <w:rPr>
          <w:sz w:val="20"/>
          <w:szCs w:val="20"/>
        </w:rPr>
        <w:t xml:space="preserve">, it is reasonable to target </w:t>
      </w:r>
      <w:r w:rsidR="00920159">
        <w:rPr>
          <w:sz w:val="20"/>
          <w:szCs w:val="20"/>
        </w:rPr>
        <w:t xml:space="preserve">the numbers achievable with Release-18 functionality. On the other hand, if IMT-2030 positioning is to be evaluated in a TE environment targeting commercial use cases (such as IC), it would be </w:t>
      </w:r>
      <w:r w:rsidR="00923285">
        <w:rPr>
          <w:sz w:val="20"/>
          <w:szCs w:val="20"/>
        </w:rPr>
        <w:t xml:space="preserve">reasonable to target Release-17 commercial use cases numbers (with potentially a modest improvement). </w:t>
      </w:r>
    </w:p>
    <w:p w14:paraId="7CE33F94" w14:textId="77777777" w:rsidR="00CA64AF" w:rsidRDefault="00CA64AF" w:rsidP="006C58FE">
      <w:pPr>
        <w:rPr>
          <w:sz w:val="20"/>
          <w:szCs w:val="20"/>
        </w:rPr>
      </w:pPr>
    </w:p>
    <w:p w14:paraId="45328CEC" w14:textId="56BA00DF" w:rsidR="00CA64AF" w:rsidRPr="00C04B4C" w:rsidRDefault="00CA64AF" w:rsidP="006C58FE">
      <w:pPr>
        <w:rPr>
          <w:b/>
          <w:bCs/>
          <w:sz w:val="20"/>
          <w:szCs w:val="20"/>
        </w:rPr>
      </w:pPr>
      <w:r w:rsidRPr="00C04B4C">
        <w:rPr>
          <w:b/>
          <w:bCs/>
          <w:sz w:val="20"/>
          <w:szCs w:val="20"/>
        </w:rPr>
        <w:t>Observation 5: positioning accuracy numbers depend on whether they are to be evaluated in a commercial (e.g. IC) or industrial (e.g. HRRLC) TE.</w:t>
      </w:r>
    </w:p>
    <w:p w14:paraId="098547B7" w14:textId="77777777" w:rsidR="00EA33B8" w:rsidRDefault="00EA33B8" w:rsidP="00EB78F3">
      <w:pPr>
        <w:rPr>
          <w:sz w:val="20"/>
          <w:szCs w:val="20"/>
        </w:rPr>
      </w:pPr>
    </w:p>
    <w:p w14:paraId="1F849B46" w14:textId="040C6D39" w:rsidR="00EA33B8" w:rsidRPr="00BC10C3" w:rsidRDefault="00EA33B8" w:rsidP="00EB78F3">
      <w:pPr>
        <w:rPr>
          <w:b/>
          <w:bCs/>
          <w:sz w:val="20"/>
          <w:szCs w:val="20"/>
        </w:rPr>
      </w:pPr>
      <w:r w:rsidRPr="00BC10C3">
        <w:rPr>
          <w:b/>
          <w:bCs/>
          <w:sz w:val="20"/>
          <w:szCs w:val="20"/>
        </w:rPr>
        <w:t xml:space="preserve">Proposal 4:  </w:t>
      </w:r>
      <w:r w:rsidR="00BC10C3" w:rsidRPr="00BC10C3">
        <w:rPr>
          <w:b/>
          <w:bCs/>
          <w:sz w:val="20"/>
          <w:szCs w:val="20"/>
        </w:rPr>
        <w:t>positioning accuracy requirement</w:t>
      </w:r>
      <w:r w:rsidR="00C04B4C">
        <w:rPr>
          <w:b/>
          <w:bCs/>
          <w:sz w:val="20"/>
          <w:szCs w:val="20"/>
        </w:rPr>
        <w:t xml:space="preserve">s are </w:t>
      </w:r>
      <w:r w:rsidR="004B0741">
        <w:rPr>
          <w:b/>
          <w:bCs/>
          <w:sz w:val="20"/>
          <w:szCs w:val="20"/>
        </w:rPr>
        <w:t xml:space="preserve">based on Release-17 numbers (when evaluated in </w:t>
      </w:r>
      <w:r w:rsidR="00D41C90">
        <w:rPr>
          <w:b/>
          <w:bCs/>
          <w:sz w:val="20"/>
          <w:szCs w:val="20"/>
        </w:rPr>
        <w:t xml:space="preserve">an IC TE) and on Release-18 numbers when evaluated in a </w:t>
      </w:r>
      <w:r w:rsidR="00AC43B0">
        <w:rPr>
          <w:b/>
          <w:bCs/>
          <w:sz w:val="20"/>
          <w:szCs w:val="20"/>
        </w:rPr>
        <w:t xml:space="preserve">MC or </w:t>
      </w:r>
      <w:r w:rsidR="00D41C90">
        <w:rPr>
          <w:b/>
          <w:bCs/>
          <w:sz w:val="20"/>
          <w:szCs w:val="20"/>
        </w:rPr>
        <w:t>HRLLC TE</w:t>
      </w:r>
      <w:r w:rsidR="00BC10C3" w:rsidRPr="00BC10C3">
        <w:rPr>
          <w:b/>
          <w:bCs/>
          <w:sz w:val="20"/>
          <w:szCs w:val="20"/>
        </w:rPr>
        <w:t>.</w:t>
      </w:r>
    </w:p>
    <w:p w14:paraId="75407ED7" w14:textId="77777777" w:rsidR="00EB78F3" w:rsidRPr="00EB78F3" w:rsidRDefault="00EB78F3" w:rsidP="00EB78F3"/>
    <w:p w14:paraId="3EBD1A47" w14:textId="0FE2CDDB" w:rsidR="00EB78F3" w:rsidRDefault="00EB78F3" w:rsidP="00EB78F3">
      <w:pPr>
        <w:pStyle w:val="Heading3"/>
      </w:pPr>
      <w:r>
        <w:t xml:space="preserve"> </w:t>
      </w:r>
      <w:r w:rsidRPr="00EB78F3">
        <w:t>Sensing-related capabilities</w:t>
      </w:r>
    </w:p>
    <w:p w14:paraId="033433B4" w14:textId="11ABF1FF" w:rsidR="00BC10C3" w:rsidRDefault="00BC10C3" w:rsidP="00BC10C3">
      <w:pPr>
        <w:rPr>
          <w:sz w:val="20"/>
          <w:szCs w:val="20"/>
        </w:rPr>
      </w:pPr>
      <w:r>
        <w:rPr>
          <w:sz w:val="20"/>
          <w:szCs w:val="20"/>
        </w:rPr>
        <w:t xml:space="preserve">A number of sensing-related capabilities are under discussion in </w:t>
      </w:r>
      <w:proofErr w:type="gramStart"/>
      <w:r>
        <w:rPr>
          <w:sz w:val="20"/>
          <w:szCs w:val="20"/>
        </w:rPr>
        <w:t>WP5D</w:t>
      </w:r>
      <w:proofErr w:type="gramEnd"/>
      <w:r>
        <w:rPr>
          <w:sz w:val="20"/>
          <w:szCs w:val="20"/>
        </w:rPr>
        <w:t xml:space="preserve"> and the group is yet to down-select them. Therefore, we think it would be beneficial if 3GPP could:</w:t>
      </w:r>
    </w:p>
    <w:p w14:paraId="2C98156E" w14:textId="45ADEC20" w:rsidR="00BC10C3" w:rsidRDefault="00BC10C3" w:rsidP="00BC10C3">
      <w:pPr>
        <w:pStyle w:val="ListParagraph"/>
        <w:numPr>
          <w:ilvl w:val="0"/>
          <w:numId w:val="31"/>
        </w:numPr>
        <w:ind w:leftChars="0"/>
        <w:rPr>
          <w:szCs w:val="20"/>
        </w:rPr>
      </w:pPr>
      <w:r>
        <w:rPr>
          <w:szCs w:val="20"/>
        </w:rPr>
        <w:t xml:space="preserve">Provide a recommendation of which capabilities to define, and </w:t>
      </w:r>
    </w:p>
    <w:p w14:paraId="3E6B98EF" w14:textId="5F3F5095" w:rsidR="00BC10C3" w:rsidRPr="00BC10C3" w:rsidRDefault="00BC10C3" w:rsidP="00BC10C3">
      <w:pPr>
        <w:pStyle w:val="ListParagraph"/>
        <w:numPr>
          <w:ilvl w:val="0"/>
          <w:numId w:val="31"/>
        </w:numPr>
        <w:ind w:leftChars="0"/>
        <w:rPr>
          <w:szCs w:val="20"/>
        </w:rPr>
      </w:pPr>
      <w:r>
        <w:rPr>
          <w:szCs w:val="20"/>
        </w:rPr>
        <w:t>Provide a recommendation on the TPR values for those</w:t>
      </w:r>
    </w:p>
    <w:p w14:paraId="1BE68A23" w14:textId="77777777" w:rsidR="00BC10C3" w:rsidRDefault="00BC10C3" w:rsidP="00BC10C3">
      <w:pPr>
        <w:rPr>
          <w:sz w:val="20"/>
          <w:szCs w:val="20"/>
        </w:rPr>
      </w:pPr>
    </w:p>
    <w:p w14:paraId="39F23CA5" w14:textId="77777777" w:rsidR="009128D9" w:rsidRDefault="00BC10C3" w:rsidP="00BC10C3">
      <w:pPr>
        <w:rPr>
          <w:sz w:val="20"/>
          <w:szCs w:val="20"/>
        </w:rPr>
      </w:pPr>
      <w:r>
        <w:rPr>
          <w:sz w:val="20"/>
          <w:szCs w:val="20"/>
        </w:rPr>
        <w:t xml:space="preserve">While sensing is a new area for IMT (and 3GPP) with potentially wide-ranging capabilities, it is important to select a few representative ones for the purpose of evaluation (which in no way should limit future sensing usages and applications). </w:t>
      </w:r>
    </w:p>
    <w:p w14:paraId="28F69B4D" w14:textId="77777777" w:rsidR="001C5177" w:rsidRDefault="001C5177" w:rsidP="00BC10C3">
      <w:pPr>
        <w:rPr>
          <w:sz w:val="20"/>
          <w:szCs w:val="20"/>
        </w:rPr>
      </w:pPr>
    </w:p>
    <w:p w14:paraId="2BCB5496" w14:textId="72A46D00" w:rsidR="00BC10C3" w:rsidRDefault="00BC10C3" w:rsidP="00BC10C3">
      <w:pPr>
        <w:rPr>
          <w:sz w:val="20"/>
          <w:szCs w:val="20"/>
        </w:rPr>
      </w:pPr>
      <w:proofErr w:type="gramStart"/>
      <w:r>
        <w:rPr>
          <w:sz w:val="20"/>
          <w:szCs w:val="20"/>
        </w:rPr>
        <w:t>With this in mind, out</w:t>
      </w:r>
      <w:proofErr w:type="gramEnd"/>
      <w:r>
        <w:rPr>
          <w:sz w:val="20"/>
          <w:szCs w:val="20"/>
        </w:rPr>
        <w:t xml:space="preserve"> of the multitude of different TPRs which are in the current WP5D draft report [4], we propose to recommend the following:</w:t>
      </w:r>
    </w:p>
    <w:p w14:paraId="69169006" w14:textId="78B8BA0C" w:rsidR="0013589E" w:rsidRDefault="0013589E" w:rsidP="00BC10C3">
      <w:pPr>
        <w:pStyle w:val="ListParagraph"/>
        <w:numPr>
          <w:ilvl w:val="0"/>
          <w:numId w:val="32"/>
        </w:numPr>
        <w:ind w:leftChars="0"/>
        <w:rPr>
          <w:szCs w:val="20"/>
        </w:rPr>
      </w:pPr>
      <w:r>
        <w:rPr>
          <w:szCs w:val="20"/>
        </w:rPr>
        <w:t>Localization accuracy</w:t>
      </w:r>
      <w:r w:rsidR="00913FF4">
        <w:rPr>
          <w:szCs w:val="20"/>
        </w:rPr>
        <w:t xml:space="preserve"> </w:t>
      </w:r>
    </w:p>
    <w:p w14:paraId="64B7D0F2" w14:textId="61C65857" w:rsidR="0013589E" w:rsidRPr="00BC10C3" w:rsidRDefault="0013589E" w:rsidP="00BC10C3">
      <w:pPr>
        <w:pStyle w:val="ListParagraph"/>
        <w:numPr>
          <w:ilvl w:val="0"/>
          <w:numId w:val="32"/>
        </w:numPr>
        <w:ind w:leftChars="0"/>
        <w:rPr>
          <w:szCs w:val="20"/>
        </w:rPr>
      </w:pPr>
      <w:r>
        <w:rPr>
          <w:szCs w:val="20"/>
        </w:rPr>
        <w:t>Resolution</w:t>
      </w:r>
      <w:r w:rsidR="005E39DD">
        <w:rPr>
          <w:szCs w:val="20"/>
        </w:rPr>
        <w:t xml:space="preserve"> </w:t>
      </w:r>
    </w:p>
    <w:p w14:paraId="2E8D3A75" w14:textId="77777777" w:rsidR="001C5177" w:rsidRDefault="001C5177" w:rsidP="001C5177">
      <w:pPr>
        <w:rPr>
          <w:sz w:val="20"/>
          <w:szCs w:val="20"/>
        </w:rPr>
      </w:pPr>
    </w:p>
    <w:p w14:paraId="7B085A90" w14:textId="0C1E6F50" w:rsidR="001C5177" w:rsidRDefault="001C5177" w:rsidP="001C5177">
      <w:pPr>
        <w:rPr>
          <w:sz w:val="20"/>
          <w:szCs w:val="20"/>
        </w:rPr>
      </w:pPr>
      <w:r>
        <w:rPr>
          <w:sz w:val="20"/>
          <w:szCs w:val="20"/>
        </w:rPr>
        <w:t xml:space="preserve">In 3GPP, we can refer to TS 22.137 [8], which includes ISAC </w:t>
      </w:r>
      <w:r w:rsidR="00A81DA7">
        <w:rPr>
          <w:sz w:val="20"/>
          <w:szCs w:val="20"/>
        </w:rPr>
        <w:t>performance requirements</w:t>
      </w:r>
      <w:r w:rsidR="008464DF">
        <w:rPr>
          <w:sz w:val="20"/>
          <w:szCs w:val="20"/>
        </w:rPr>
        <w:t xml:space="preserve">. </w:t>
      </w:r>
      <w:r w:rsidR="00D64CB6">
        <w:rPr>
          <w:sz w:val="20"/>
          <w:szCs w:val="20"/>
        </w:rPr>
        <w:t>The TS [8] provides a range of numbers for different Sensing Service Categories. In our view, category 3 is the most applicable</w:t>
      </w:r>
      <w:r w:rsidR="00D033BC">
        <w:rPr>
          <w:sz w:val="20"/>
          <w:szCs w:val="20"/>
        </w:rPr>
        <w:t xml:space="preserve"> for IMT evaluation, as IMT</w:t>
      </w:r>
      <w:r w:rsidR="00523492">
        <w:rPr>
          <w:sz w:val="20"/>
          <w:szCs w:val="20"/>
        </w:rPr>
        <w:t xml:space="preserve"> requirements are minimum requirements and 3GPP </w:t>
      </w:r>
      <w:r w:rsidR="00B65704">
        <w:rPr>
          <w:sz w:val="20"/>
          <w:szCs w:val="20"/>
        </w:rPr>
        <w:t>technologies often exceed the minimum IMT requirements. Therefore, we propose the following numbers for ISAC TPRs:</w:t>
      </w:r>
    </w:p>
    <w:p w14:paraId="663E7736" w14:textId="592820A8" w:rsidR="00B65704" w:rsidRDefault="00AE3A9B" w:rsidP="00AE3A9B">
      <w:pPr>
        <w:pStyle w:val="ListParagraph"/>
        <w:numPr>
          <w:ilvl w:val="0"/>
          <w:numId w:val="37"/>
        </w:numPr>
        <w:ind w:leftChars="0"/>
        <w:rPr>
          <w:szCs w:val="20"/>
        </w:rPr>
      </w:pPr>
      <w:r>
        <w:rPr>
          <w:szCs w:val="20"/>
        </w:rPr>
        <w:t>Localization Accuracy</w:t>
      </w:r>
    </w:p>
    <w:p w14:paraId="3437CEE9" w14:textId="7C730F7A" w:rsidR="00AE3A9B" w:rsidRDefault="00AE3A9B" w:rsidP="00AE3A9B">
      <w:pPr>
        <w:pStyle w:val="ListParagraph"/>
        <w:numPr>
          <w:ilvl w:val="1"/>
          <w:numId w:val="37"/>
        </w:numPr>
        <w:ind w:leftChars="0"/>
        <w:rPr>
          <w:szCs w:val="20"/>
        </w:rPr>
      </w:pPr>
      <w:r>
        <w:rPr>
          <w:szCs w:val="20"/>
        </w:rPr>
        <w:t xml:space="preserve">Horizontal: </w:t>
      </w:r>
      <w:r w:rsidR="002E066A">
        <w:rPr>
          <w:szCs w:val="20"/>
        </w:rPr>
        <w:t>1m</w:t>
      </w:r>
    </w:p>
    <w:p w14:paraId="7F24B529" w14:textId="1F79EDC8" w:rsidR="00AE3A9B" w:rsidRDefault="00AE3A9B" w:rsidP="00AE3A9B">
      <w:pPr>
        <w:pStyle w:val="ListParagraph"/>
        <w:numPr>
          <w:ilvl w:val="1"/>
          <w:numId w:val="37"/>
        </w:numPr>
        <w:ind w:leftChars="0"/>
        <w:rPr>
          <w:szCs w:val="20"/>
        </w:rPr>
      </w:pPr>
      <w:r>
        <w:rPr>
          <w:szCs w:val="20"/>
        </w:rPr>
        <w:t>Vertical</w:t>
      </w:r>
      <w:r w:rsidR="002E066A">
        <w:rPr>
          <w:szCs w:val="20"/>
        </w:rPr>
        <w:t>: 1m</w:t>
      </w:r>
    </w:p>
    <w:p w14:paraId="09FA0A0A" w14:textId="31D44D07" w:rsidR="00AE3A9B" w:rsidRDefault="000F7C5B" w:rsidP="00AE3A9B">
      <w:pPr>
        <w:pStyle w:val="ListParagraph"/>
        <w:numPr>
          <w:ilvl w:val="0"/>
          <w:numId w:val="37"/>
        </w:numPr>
        <w:ind w:leftChars="0"/>
        <w:rPr>
          <w:szCs w:val="20"/>
        </w:rPr>
      </w:pPr>
      <w:r>
        <w:rPr>
          <w:szCs w:val="20"/>
        </w:rPr>
        <w:t>Range r</w:t>
      </w:r>
      <w:r w:rsidR="00AE3A9B">
        <w:rPr>
          <w:szCs w:val="20"/>
        </w:rPr>
        <w:t>esolution</w:t>
      </w:r>
      <w:r>
        <w:rPr>
          <w:szCs w:val="20"/>
        </w:rPr>
        <w:t>: 1m</w:t>
      </w:r>
    </w:p>
    <w:p w14:paraId="3783D278" w14:textId="77777777" w:rsidR="001C5177" w:rsidRDefault="001C5177" w:rsidP="00BC10C3">
      <w:pPr>
        <w:rPr>
          <w:sz w:val="20"/>
          <w:szCs w:val="20"/>
        </w:rPr>
      </w:pPr>
    </w:p>
    <w:p w14:paraId="58E0D2DA" w14:textId="77777777" w:rsidR="0013589E" w:rsidRDefault="0013589E" w:rsidP="00BC10C3">
      <w:pPr>
        <w:rPr>
          <w:sz w:val="20"/>
          <w:szCs w:val="20"/>
        </w:rPr>
      </w:pPr>
      <w:r>
        <w:rPr>
          <w:sz w:val="20"/>
          <w:szCs w:val="20"/>
        </w:rPr>
        <w:t>Notes:</w:t>
      </w:r>
    </w:p>
    <w:p w14:paraId="1A845F54" w14:textId="6E189C6D" w:rsidR="0013589E" w:rsidRDefault="0013589E" w:rsidP="0013589E">
      <w:pPr>
        <w:pStyle w:val="ListParagraph"/>
        <w:numPr>
          <w:ilvl w:val="0"/>
          <w:numId w:val="33"/>
        </w:numPr>
        <w:ind w:leftChars="0"/>
        <w:rPr>
          <w:szCs w:val="20"/>
        </w:rPr>
      </w:pPr>
      <w:r>
        <w:rPr>
          <w:szCs w:val="20"/>
        </w:rPr>
        <w:t xml:space="preserve">Velocity accuracy can also be </w:t>
      </w:r>
      <w:r w:rsidR="00913FF4">
        <w:rPr>
          <w:szCs w:val="20"/>
        </w:rPr>
        <w:t>considered;</w:t>
      </w:r>
      <w:r>
        <w:rPr>
          <w:szCs w:val="20"/>
        </w:rPr>
        <w:t xml:space="preserve"> </w:t>
      </w:r>
      <w:proofErr w:type="gramStart"/>
      <w:r>
        <w:rPr>
          <w:szCs w:val="20"/>
        </w:rPr>
        <w:t>however</w:t>
      </w:r>
      <w:proofErr w:type="gramEnd"/>
      <w:r>
        <w:rPr>
          <w:szCs w:val="20"/>
        </w:rPr>
        <w:t xml:space="preserve"> it would be good to keep the number of TPRs limited</w:t>
      </w:r>
      <w:r w:rsidR="00DB7E34">
        <w:rPr>
          <w:szCs w:val="20"/>
        </w:rPr>
        <w:t xml:space="preserve">; if velocity accuracy is included, similarly to localization accuracy, </w:t>
      </w:r>
      <w:r w:rsidR="002A4D50">
        <w:rPr>
          <w:szCs w:val="20"/>
        </w:rPr>
        <w:t xml:space="preserve">service category 3 from TS 22.137 should be used. </w:t>
      </w:r>
    </w:p>
    <w:p w14:paraId="7C25125F" w14:textId="78ACF94F" w:rsidR="00BC10C3" w:rsidRDefault="00913FF4" w:rsidP="0013589E">
      <w:pPr>
        <w:pStyle w:val="ListParagraph"/>
        <w:numPr>
          <w:ilvl w:val="0"/>
          <w:numId w:val="33"/>
        </w:numPr>
        <w:ind w:leftChars="0"/>
        <w:rPr>
          <w:szCs w:val="20"/>
        </w:rPr>
      </w:pPr>
      <w:r>
        <w:rPr>
          <w:szCs w:val="20"/>
        </w:rPr>
        <w:t>Maximum S</w:t>
      </w:r>
      <w:r w:rsidR="00BC10C3" w:rsidRPr="0013589E">
        <w:rPr>
          <w:szCs w:val="20"/>
        </w:rPr>
        <w:t>ensing Range (which is also being discussed in WP5D) should be part of a TE definition, not a TPR.</w:t>
      </w:r>
    </w:p>
    <w:p w14:paraId="27E8A1F0" w14:textId="2C57F44A" w:rsidR="0013589E" w:rsidRDefault="0013589E" w:rsidP="0013589E">
      <w:pPr>
        <w:pStyle w:val="ListParagraph"/>
        <w:numPr>
          <w:ilvl w:val="0"/>
          <w:numId w:val="33"/>
        </w:numPr>
        <w:ind w:leftChars="0"/>
        <w:rPr>
          <w:szCs w:val="20"/>
        </w:rPr>
      </w:pPr>
      <w:r>
        <w:rPr>
          <w:szCs w:val="20"/>
        </w:rPr>
        <w:t>Localization is to be evaluated by simulations, resolution – by analysis</w:t>
      </w:r>
      <w:r w:rsidR="002A4D50">
        <w:rPr>
          <w:szCs w:val="20"/>
        </w:rPr>
        <w:t>.</w:t>
      </w:r>
    </w:p>
    <w:p w14:paraId="7B1D400E" w14:textId="119A3176" w:rsidR="002A4D50" w:rsidRDefault="002A4D50" w:rsidP="0013589E">
      <w:pPr>
        <w:pStyle w:val="ListParagraph"/>
        <w:numPr>
          <w:ilvl w:val="0"/>
          <w:numId w:val="33"/>
        </w:numPr>
        <w:ind w:leftChars="0"/>
        <w:rPr>
          <w:szCs w:val="20"/>
        </w:rPr>
      </w:pPr>
      <w:r>
        <w:rPr>
          <w:szCs w:val="20"/>
        </w:rPr>
        <w:t>The numbers might depend on TE</w:t>
      </w:r>
      <w:r w:rsidR="00E63E75">
        <w:rPr>
          <w:szCs w:val="20"/>
        </w:rPr>
        <w:t xml:space="preserve">s, which are not yet defined. Therefore, we should be open to revising the numbers (if needed), when TE definitions are available. </w:t>
      </w:r>
    </w:p>
    <w:p w14:paraId="640B0207" w14:textId="3A012C01" w:rsidR="004C3FE9" w:rsidRDefault="004C3FE9" w:rsidP="0013589E">
      <w:pPr>
        <w:rPr>
          <w:szCs w:val="20"/>
        </w:rPr>
      </w:pPr>
    </w:p>
    <w:p w14:paraId="0F3172E4" w14:textId="30322B21" w:rsidR="0099414E" w:rsidRPr="00DA3F88" w:rsidRDefault="004C3FE9" w:rsidP="00DA3F88">
      <w:pPr>
        <w:rPr>
          <w:b/>
          <w:bCs/>
          <w:sz w:val="20"/>
          <w:szCs w:val="20"/>
        </w:rPr>
      </w:pPr>
      <w:r w:rsidRPr="00C04B4C">
        <w:rPr>
          <w:b/>
          <w:bCs/>
          <w:sz w:val="20"/>
          <w:szCs w:val="20"/>
        </w:rPr>
        <w:t xml:space="preserve">Proposal 5: </w:t>
      </w:r>
      <w:r w:rsidR="0099414E" w:rsidRPr="00C04B4C">
        <w:rPr>
          <w:b/>
          <w:bCs/>
          <w:sz w:val="20"/>
          <w:szCs w:val="20"/>
        </w:rPr>
        <w:t xml:space="preserve">For ISAC, the requirements are: localization accuracy of 1m and range resolution of 1m. </w:t>
      </w:r>
    </w:p>
    <w:p w14:paraId="6948989A" w14:textId="77777777" w:rsidR="0013589E" w:rsidRDefault="0013589E" w:rsidP="0013589E">
      <w:pPr>
        <w:rPr>
          <w:sz w:val="20"/>
          <w:szCs w:val="20"/>
        </w:rPr>
      </w:pPr>
    </w:p>
    <w:p w14:paraId="7A0A1A3E" w14:textId="229CE864" w:rsidR="0013589E" w:rsidRDefault="0013589E" w:rsidP="0013589E">
      <w:pPr>
        <w:rPr>
          <w:sz w:val="20"/>
          <w:szCs w:val="20"/>
        </w:rPr>
      </w:pPr>
      <w:r>
        <w:rPr>
          <w:sz w:val="20"/>
          <w:szCs w:val="20"/>
        </w:rPr>
        <w:t xml:space="preserve">Furthermore, </w:t>
      </w:r>
      <w:r w:rsidR="00913FF4">
        <w:rPr>
          <w:sz w:val="20"/>
          <w:szCs w:val="20"/>
        </w:rPr>
        <w:t xml:space="preserve">sensing functionality (and the </w:t>
      </w:r>
      <w:r w:rsidR="00284C32">
        <w:rPr>
          <w:sz w:val="20"/>
          <w:szCs w:val="20"/>
        </w:rPr>
        <w:t>evaluation</w:t>
      </w:r>
      <w:r w:rsidR="00913FF4">
        <w:rPr>
          <w:sz w:val="20"/>
          <w:szCs w:val="20"/>
        </w:rPr>
        <w:t>) would differ depending on:</w:t>
      </w:r>
    </w:p>
    <w:p w14:paraId="756423FD" w14:textId="29A3BD8D" w:rsidR="00913FF4" w:rsidRDefault="00913FF4" w:rsidP="00913FF4">
      <w:pPr>
        <w:pStyle w:val="ListParagraph"/>
        <w:numPr>
          <w:ilvl w:val="0"/>
          <w:numId w:val="34"/>
        </w:numPr>
        <w:ind w:leftChars="0"/>
        <w:rPr>
          <w:szCs w:val="20"/>
        </w:rPr>
      </w:pPr>
      <w:r>
        <w:rPr>
          <w:szCs w:val="20"/>
        </w:rPr>
        <w:t xml:space="preserve">Mono-static vs. bi-static vs. multi-static mode of operation, and </w:t>
      </w:r>
    </w:p>
    <w:p w14:paraId="13FF0252" w14:textId="6152410D" w:rsidR="00913FF4" w:rsidRDefault="00913FF4" w:rsidP="00913FF4">
      <w:pPr>
        <w:pStyle w:val="ListParagraph"/>
        <w:numPr>
          <w:ilvl w:val="0"/>
          <w:numId w:val="34"/>
        </w:numPr>
        <w:ind w:leftChars="0"/>
        <w:rPr>
          <w:szCs w:val="20"/>
        </w:rPr>
      </w:pPr>
      <w:r>
        <w:rPr>
          <w:szCs w:val="20"/>
        </w:rPr>
        <w:lastRenderedPageBreak/>
        <w:t>UE-based vs. network-based sensing</w:t>
      </w:r>
    </w:p>
    <w:p w14:paraId="48253F67" w14:textId="77777777" w:rsidR="00913FF4" w:rsidRDefault="00913FF4" w:rsidP="00913FF4">
      <w:pPr>
        <w:rPr>
          <w:szCs w:val="20"/>
        </w:rPr>
      </w:pPr>
    </w:p>
    <w:p w14:paraId="7A9A4297" w14:textId="7D13B525" w:rsidR="00913FF4" w:rsidRDefault="00913FF4" w:rsidP="00913FF4">
      <w:pPr>
        <w:rPr>
          <w:sz w:val="20"/>
          <w:szCs w:val="20"/>
        </w:rPr>
      </w:pPr>
      <w:r>
        <w:rPr>
          <w:sz w:val="20"/>
          <w:szCs w:val="20"/>
        </w:rPr>
        <w:t xml:space="preserve">On the former, we suggest </w:t>
      </w:r>
      <w:proofErr w:type="gramStart"/>
      <w:r>
        <w:rPr>
          <w:sz w:val="20"/>
          <w:szCs w:val="20"/>
        </w:rPr>
        <w:t>to focus</w:t>
      </w:r>
      <w:proofErr w:type="gramEnd"/>
      <w:r>
        <w:rPr>
          <w:sz w:val="20"/>
          <w:szCs w:val="20"/>
        </w:rPr>
        <w:t xml:space="preserve"> (for the purpose of evaluation) on mono-static, as the other variants are more dependent on implementation details and harder to evaluate. On the latter, it is important to cover both UE-based and network-based sensing in the evaluation. </w:t>
      </w:r>
    </w:p>
    <w:p w14:paraId="1338148F" w14:textId="77777777" w:rsidR="00913FF4" w:rsidRDefault="00913FF4" w:rsidP="00913FF4">
      <w:pPr>
        <w:rPr>
          <w:sz w:val="20"/>
          <w:szCs w:val="20"/>
        </w:rPr>
      </w:pPr>
    </w:p>
    <w:p w14:paraId="72C1866B" w14:textId="0726DDAE" w:rsidR="00913FF4" w:rsidRDefault="00913FF4" w:rsidP="00913FF4">
      <w:pPr>
        <w:rPr>
          <w:b/>
          <w:bCs/>
          <w:sz w:val="20"/>
          <w:szCs w:val="20"/>
        </w:rPr>
      </w:pPr>
      <w:r w:rsidRPr="00913FF4">
        <w:rPr>
          <w:b/>
          <w:bCs/>
          <w:sz w:val="20"/>
          <w:szCs w:val="20"/>
        </w:rPr>
        <w:t xml:space="preserve">Proposal </w:t>
      </w:r>
      <w:r w:rsidR="00DA3F88">
        <w:rPr>
          <w:b/>
          <w:bCs/>
          <w:sz w:val="20"/>
          <w:szCs w:val="20"/>
        </w:rPr>
        <w:t>6</w:t>
      </w:r>
      <w:r w:rsidRPr="00913FF4">
        <w:rPr>
          <w:b/>
          <w:bCs/>
          <w:sz w:val="20"/>
          <w:szCs w:val="20"/>
        </w:rPr>
        <w:t>: ISAC evaluation should focus on mono-static sensing and should cover both UE-based and network-based sensing</w:t>
      </w:r>
      <w:r w:rsidR="00284C32">
        <w:rPr>
          <w:b/>
          <w:bCs/>
          <w:sz w:val="20"/>
          <w:szCs w:val="20"/>
        </w:rPr>
        <w:t xml:space="preserve"> (e.g. UE-based can be evaluated in an Indoor TE while network-based evaluated in an Outdoor TE)</w:t>
      </w:r>
      <w:r w:rsidRPr="00913FF4">
        <w:rPr>
          <w:b/>
          <w:bCs/>
          <w:sz w:val="20"/>
          <w:szCs w:val="20"/>
        </w:rPr>
        <w:t xml:space="preserve">. </w:t>
      </w:r>
    </w:p>
    <w:p w14:paraId="52035763" w14:textId="77777777" w:rsidR="00913FF4" w:rsidRPr="00913FF4" w:rsidRDefault="00913FF4" w:rsidP="00913FF4">
      <w:pPr>
        <w:rPr>
          <w:sz w:val="20"/>
          <w:szCs w:val="20"/>
        </w:rPr>
      </w:pPr>
    </w:p>
    <w:p w14:paraId="3EE7F764" w14:textId="77777777" w:rsidR="00515A8A" w:rsidRDefault="00EB78F3" w:rsidP="00EB78F3">
      <w:pPr>
        <w:pStyle w:val="Heading3"/>
      </w:pPr>
      <w:r>
        <w:t xml:space="preserve"> </w:t>
      </w:r>
      <w:r w:rsidR="00515A8A">
        <w:t xml:space="preserve">Others </w:t>
      </w:r>
    </w:p>
    <w:p w14:paraId="06046638" w14:textId="1BDEFC56" w:rsidR="00515A8A" w:rsidRDefault="00515A8A" w:rsidP="00515A8A">
      <w:pPr>
        <w:rPr>
          <w:sz w:val="20"/>
          <w:szCs w:val="20"/>
        </w:rPr>
      </w:pPr>
      <w:r>
        <w:rPr>
          <w:sz w:val="20"/>
          <w:szCs w:val="20"/>
        </w:rPr>
        <w:t>With regards to the</w:t>
      </w:r>
      <w:r w:rsidRPr="00515A8A">
        <w:rPr>
          <w:sz w:val="20"/>
          <w:szCs w:val="20"/>
        </w:rPr>
        <w:t xml:space="preserve"> remaining TPRs, specifically: </w:t>
      </w:r>
    </w:p>
    <w:p w14:paraId="27D38555" w14:textId="77777777" w:rsidR="00515A8A" w:rsidRPr="00EB78F3" w:rsidRDefault="00515A8A" w:rsidP="00515A8A">
      <w:pPr>
        <w:pStyle w:val="ListParagraph"/>
        <w:numPr>
          <w:ilvl w:val="0"/>
          <w:numId w:val="29"/>
        </w:numPr>
        <w:ind w:leftChars="0"/>
        <w:rPr>
          <w:szCs w:val="20"/>
        </w:rPr>
      </w:pPr>
      <w:r w:rsidRPr="00EB78F3">
        <w:rPr>
          <w:szCs w:val="20"/>
        </w:rPr>
        <w:t>[Joint requirement on data rate, latency, reliability and capacity]</w:t>
      </w:r>
    </w:p>
    <w:p w14:paraId="78AECF96" w14:textId="77777777" w:rsidR="00515A8A" w:rsidRPr="00EB78F3" w:rsidRDefault="00515A8A" w:rsidP="00515A8A">
      <w:pPr>
        <w:pStyle w:val="ListParagraph"/>
        <w:numPr>
          <w:ilvl w:val="0"/>
          <w:numId w:val="29"/>
        </w:numPr>
        <w:ind w:leftChars="0"/>
        <w:rPr>
          <w:szCs w:val="20"/>
        </w:rPr>
      </w:pPr>
      <w:r w:rsidRPr="00EB78F3">
        <w:rPr>
          <w:szCs w:val="20"/>
        </w:rPr>
        <w:t>[Coverage]</w:t>
      </w:r>
    </w:p>
    <w:p w14:paraId="655EB928" w14:textId="77777777" w:rsidR="00515A8A" w:rsidRPr="00EB78F3" w:rsidRDefault="00515A8A" w:rsidP="00515A8A">
      <w:pPr>
        <w:pStyle w:val="ListParagraph"/>
        <w:numPr>
          <w:ilvl w:val="0"/>
          <w:numId w:val="29"/>
        </w:numPr>
        <w:ind w:leftChars="0"/>
        <w:rPr>
          <w:szCs w:val="20"/>
        </w:rPr>
      </w:pPr>
      <w:r w:rsidRPr="00EB78F3">
        <w:rPr>
          <w:szCs w:val="20"/>
        </w:rPr>
        <w:t>[Security]</w:t>
      </w:r>
    </w:p>
    <w:p w14:paraId="7DF2238C" w14:textId="77777777" w:rsidR="00515A8A" w:rsidRPr="00EB78F3" w:rsidRDefault="00515A8A" w:rsidP="00515A8A">
      <w:pPr>
        <w:pStyle w:val="ListParagraph"/>
        <w:numPr>
          <w:ilvl w:val="0"/>
          <w:numId w:val="29"/>
        </w:numPr>
        <w:ind w:leftChars="0"/>
        <w:rPr>
          <w:szCs w:val="20"/>
        </w:rPr>
      </w:pPr>
      <w:r w:rsidRPr="00EB78F3">
        <w:rPr>
          <w:szCs w:val="20"/>
        </w:rPr>
        <w:t>[Resilience]</w:t>
      </w:r>
    </w:p>
    <w:p w14:paraId="4D4AA0E7" w14:textId="77777777" w:rsidR="00515A8A" w:rsidRPr="00EB78F3" w:rsidRDefault="00515A8A" w:rsidP="00515A8A">
      <w:pPr>
        <w:pStyle w:val="ListParagraph"/>
        <w:numPr>
          <w:ilvl w:val="0"/>
          <w:numId w:val="29"/>
        </w:numPr>
        <w:ind w:leftChars="0"/>
        <w:rPr>
          <w:szCs w:val="20"/>
        </w:rPr>
      </w:pPr>
      <w:r w:rsidRPr="00EB78F3">
        <w:rPr>
          <w:szCs w:val="20"/>
        </w:rPr>
        <w:t>[Sustainability]</w:t>
      </w:r>
    </w:p>
    <w:p w14:paraId="430B9F1A" w14:textId="77777777" w:rsidR="00515A8A" w:rsidRPr="00EB78F3" w:rsidRDefault="00515A8A" w:rsidP="00515A8A">
      <w:pPr>
        <w:pStyle w:val="ListParagraph"/>
        <w:numPr>
          <w:ilvl w:val="0"/>
          <w:numId w:val="29"/>
        </w:numPr>
        <w:ind w:leftChars="0"/>
        <w:rPr>
          <w:szCs w:val="20"/>
        </w:rPr>
      </w:pPr>
      <w:r w:rsidRPr="00EB78F3">
        <w:rPr>
          <w:szCs w:val="20"/>
        </w:rPr>
        <w:t>[Interoperability]</w:t>
      </w:r>
    </w:p>
    <w:p w14:paraId="0E066EC0" w14:textId="72297363" w:rsidR="00515A8A" w:rsidRDefault="00515A8A" w:rsidP="00515A8A">
      <w:pPr>
        <w:rPr>
          <w:sz w:val="20"/>
          <w:szCs w:val="20"/>
        </w:rPr>
      </w:pPr>
      <w:r>
        <w:rPr>
          <w:sz w:val="20"/>
          <w:szCs w:val="20"/>
        </w:rPr>
        <w:t xml:space="preserve">Considering the lack of clarity about their definitions in WP5D, we suggest </w:t>
      </w:r>
      <w:proofErr w:type="gramStart"/>
      <w:r>
        <w:rPr>
          <w:sz w:val="20"/>
          <w:szCs w:val="20"/>
        </w:rPr>
        <w:t>to discuss</w:t>
      </w:r>
      <w:proofErr w:type="gramEnd"/>
      <w:r>
        <w:rPr>
          <w:sz w:val="20"/>
          <w:szCs w:val="20"/>
        </w:rPr>
        <w:t xml:space="preserve"> in the next meeting. </w:t>
      </w:r>
    </w:p>
    <w:p w14:paraId="5BE210F8" w14:textId="1A2A2C6A" w:rsidR="00515A8A" w:rsidRPr="00515A8A" w:rsidRDefault="00515A8A" w:rsidP="00515A8A">
      <w:pPr>
        <w:rPr>
          <w:sz w:val="20"/>
          <w:szCs w:val="20"/>
        </w:rPr>
      </w:pPr>
    </w:p>
    <w:p w14:paraId="27C72553" w14:textId="0D62FB23" w:rsidR="00C57853" w:rsidRDefault="00C57853" w:rsidP="00C57853">
      <w:pPr>
        <w:pStyle w:val="Heading1"/>
      </w:pPr>
      <w:r>
        <w:t>Conclusion and Proposals</w:t>
      </w:r>
    </w:p>
    <w:p w14:paraId="5480AF12" w14:textId="77777777" w:rsidR="00F66383" w:rsidRPr="00F66383" w:rsidRDefault="00F66383" w:rsidP="00F66383"/>
    <w:p w14:paraId="668DCE40" w14:textId="526228D2" w:rsidR="00F66383" w:rsidRDefault="00693B8E"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C04B4C">
        <w:rPr>
          <w:rFonts w:ascii="Times New Roman" w:eastAsia="Times New Roman" w:hAnsi="Times New Roman" w:cs="Batang"/>
          <w:b/>
          <w:bCs/>
          <w:color w:val="auto"/>
          <w:sz w:val="20"/>
          <w:szCs w:val="20"/>
          <w:highlight w:val="yellow"/>
          <w:lang w:val="en-GB"/>
        </w:rPr>
        <w:t>TBD</w:t>
      </w:r>
    </w:p>
    <w:p w14:paraId="1E79C3A8" w14:textId="68F37B7C" w:rsidR="00D23A2C" w:rsidRDefault="00D23A2C" w:rsidP="00D23A2C">
      <w:pPr>
        <w:pStyle w:val="Heading1"/>
      </w:pPr>
      <w:r>
        <w:t>References</w:t>
      </w:r>
    </w:p>
    <w:p w14:paraId="0FE72EE5" w14:textId="3E0D8A4B" w:rsidR="00C17B67" w:rsidRDefault="00D23A2C" w:rsidP="00531349">
      <w:pPr>
        <w:rPr>
          <w:sz w:val="20"/>
          <w:szCs w:val="20"/>
        </w:rPr>
      </w:pPr>
      <w:r w:rsidRPr="00997BFC">
        <w:rPr>
          <w:sz w:val="20"/>
          <w:szCs w:val="20"/>
        </w:rPr>
        <w:t>[1]</w:t>
      </w:r>
      <w:r w:rsidRPr="00997BFC">
        <w:rPr>
          <w:sz w:val="20"/>
          <w:szCs w:val="20"/>
        </w:rPr>
        <w:tab/>
      </w:r>
      <w:r w:rsidR="00531349" w:rsidRPr="00531349">
        <w:rPr>
          <w:sz w:val="20"/>
          <w:szCs w:val="20"/>
        </w:rPr>
        <w:t>RP-243327</w:t>
      </w:r>
      <w:r w:rsidR="00531349">
        <w:rPr>
          <w:sz w:val="20"/>
          <w:szCs w:val="20"/>
        </w:rPr>
        <w:tab/>
      </w:r>
      <w:r w:rsidR="00531349" w:rsidRPr="00531349">
        <w:rPr>
          <w:sz w:val="20"/>
          <w:szCs w:val="20"/>
        </w:rPr>
        <w:t>New SID: Study on 6G Scenarios and requirements</w:t>
      </w:r>
    </w:p>
    <w:p w14:paraId="253A0F5F" w14:textId="21746D01" w:rsidR="00531349" w:rsidRDefault="00531349" w:rsidP="00EB78F3">
      <w:pPr>
        <w:ind w:left="720" w:hanging="720"/>
        <w:rPr>
          <w:sz w:val="20"/>
          <w:szCs w:val="20"/>
        </w:rPr>
      </w:pPr>
      <w:r>
        <w:rPr>
          <w:sz w:val="20"/>
          <w:szCs w:val="20"/>
        </w:rPr>
        <w:t>[2]</w:t>
      </w:r>
      <w:r>
        <w:rPr>
          <w:sz w:val="20"/>
          <w:szCs w:val="20"/>
        </w:rPr>
        <w:tab/>
      </w:r>
      <w:r w:rsidRPr="00531349">
        <w:rPr>
          <w:sz w:val="20"/>
          <w:szCs w:val="20"/>
        </w:rPr>
        <w:t>RP-243325</w:t>
      </w:r>
      <w:r>
        <w:rPr>
          <w:sz w:val="20"/>
          <w:szCs w:val="20"/>
        </w:rPr>
        <w:tab/>
      </w:r>
      <w:r w:rsidRPr="00531349">
        <w:rPr>
          <w:sz w:val="20"/>
          <w:szCs w:val="20"/>
        </w:rPr>
        <w:t>Response to LS on Minimum requirements related to technical performance for IMT-2030 radio interface(s)</w:t>
      </w:r>
    </w:p>
    <w:p w14:paraId="0F7BDDF9" w14:textId="159E0B38" w:rsidR="006B2109" w:rsidRPr="00997BFC" w:rsidRDefault="006B2109" w:rsidP="00EB78F3">
      <w:pPr>
        <w:ind w:left="720" w:hanging="720"/>
        <w:rPr>
          <w:sz w:val="20"/>
          <w:szCs w:val="20"/>
        </w:rPr>
      </w:pPr>
      <w:r>
        <w:rPr>
          <w:sz w:val="20"/>
          <w:szCs w:val="20"/>
        </w:rPr>
        <w:t>[3]</w:t>
      </w:r>
      <w:r>
        <w:rPr>
          <w:sz w:val="20"/>
          <w:szCs w:val="20"/>
        </w:rPr>
        <w:tab/>
      </w:r>
      <w:r w:rsidRPr="006B2109">
        <w:rPr>
          <w:sz w:val="20"/>
          <w:szCs w:val="20"/>
        </w:rPr>
        <w:t>5D/563</w:t>
      </w:r>
      <w:r>
        <w:rPr>
          <w:sz w:val="20"/>
          <w:szCs w:val="20"/>
        </w:rPr>
        <w:tab/>
      </w:r>
      <w:r w:rsidRPr="006B2109">
        <w:rPr>
          <w:sz w:val="20"/>
          <w:szCs w:val="20"/>
        </w:rPr>
        <w:t>Annex 5.8 to Working Party 5D Chair’s Report</w:t>
      </w:r>
      <w:r>
        <w:rPr>
          <w:sz w:val="20"/>
          <w:szCs w:val="20"/>
        </w:rPr>
        <w:t xml:space="preserve">, </w:t>
      </w:r>
      <w:r w:rsidRPr="006B2109">
        <w:rPr>
          <w:sz w:val="20"/>
          <w:szCs w:val="20"/>
          <w:lang w:val="en-GB"/>
        </w:rPr>
        <w:t>MEETING REPORT OF SWG RADIO ASPECTS</w:t>
      </w:r>
    </w:p>
    <w:p w14:paraId="079BCB6D" w14:textId="3F5F1D18" w:rsidR="00E1410C" w:rsidRDefault="00EB78F3" w:rsidP="00EB78F3">
      <w:pPr>
        <w:pStyle w:val="0Maintext"/>
        <w:spacing w:after="120" w:afterAutospacing="0" w:line="240" w:lineRule="auto"/>
        <w:ind w:left="720" w:hanging="720"/>
        <w:rPr>
          <w:lang w:val="en-US"/>
        </w:rPr>
      </w:pPr>
      <w:r>
        <w:rPr>
          <w:lang w:val="en-US"/>
        </w:rPr>
        <w:t>[4]</w:t>
      </w:r>
      <w:r>
        <w:rPr>
          <w:lang w:val="en-US"/>
        </w:rPr>
        <w:tab/>
      </w:r>
      <w:r w:rsidRPr="006B2109">
        <w:t>5D/563</w:t>
      </w:r>
      <w:r>
        <w:tab/>
      </w:r>
      <w:r w:rsidRPr="006B2109">
        <w:t>Annex 5.</w:t>
      </w:r>
      <w:r>
        <w:t xml:space="preserve">9 </w:t>
      </w:r>
      <w:r w:rsidRPr="006B2109">
        <w:t>to Working Party 5D Chair’s Report</w:t>
      </w:r>
      <w:r>
        <w:t xml:space="preserve">, </w:t>
      </w:r>
      <w:r w:rsidRPr="00EB78F3">
        <w:rPr>
          <w:lang w:val="en-US"/>
        </w:rPr>
        <w:t xml:space="preserve">WORKING DOCUMENT TOWARDS A PRELIMINARY DRAFT NEW REPORT ITU-R </w:t>
      </w:r>
      <w:proofErr w:type="gramStart"/>
      <w:r w:rsidRPr="00EB78F3">
        <w:rPr>
          <w:lang w:val="en-US"/>
        </w:rPr>
        <w:t>M.[</w:t>
      </w:r>
      <w:proofErr w:type="gramEnd"/>
      <w:r w:rsidRPr="00EB78F3">
        <w:rPr>
          <w:lang w:val="en-US"/>
        </w:rPr>
        <w:t>IMT-2030.TECH PERF REQ]</w:t>
      </w:r>
    </w:p>
    <w:p w14:paraId="039EEDD2" w14:textId="2F1F601F" w:rsidR="00036CF2" w:rsidRDefault="00036CF2" w:rsidP="00C04B4C">
      <w:pPr>
        <w:pStyle w:val="0Maintext"/>
        <w:spacing w:after="120"/>
        <w:ind w:left="720" w:hanging="720"/>
        <w:rPr>
          <w:lang w:val="en-US"/>
        </w:rPr>
      </w:pPr>
      <w:r>
        <w:rPr>
          <w:lang w:val="en-US"/>
        </w:rPr>
        <w:t>[5]</w:t>
      </w:r>
      <w:r>
        <w:rPr>
          <w:lang w:val="en-US"/>
        </w:rPr>
        <w:tab/>
        <w:t>T</w:t>
      </w:r>
      <w:r w:rsidR="00001FA8">
        <w:rPr>
          <w:lang w:val="en-US"/>
        </w:rPr>
        <w:t>R</w:t>
      </w:r>
      <w:r>
        <w:rPr>
          <w:lang w:val="en-US"/>
        </w:rPr>
        <w:t xml:space="preserve"> 38.857</w:t>
      </w:r>
      <w:r>
        <w:rPr>
          <w:lang w:val="en-US"/>
        </w:rPr>
        <w:tab/>
      </w:r>
      <w:r w:rsidR="00001FA8" w:rsidRPr="00001FA8">
        <w:rPr>
          <w:lang w:val="en-US"/>
        </w:rPr>
        <w:t>Study on NR Positioning Enhancements;</w:t>
      </w:r>
      <w:r w:rsidR="00001FA8">
        <w:rPr>
          <w:lang w:val="en-US"/>
        </w:rPr>
        <w:t xml:space="preserve"> (</w:t>
      </w:r>
      <w:r w:rsidR="00001FA8" w:rsidRPr="00001FA8">
        <w:rPr>
          <w:lang w:val="en-US"/>
        </w:rPr>
        <w:t>Release 17)</w:t>
      </w:r>
    </w:p>
    <w:p w14:paraId="78C01C43" w14:textId="41D9A1C5" w:rsidR="00844F84" w:rsidRDefault="00844F84" w:rsidP="00036CF2">
      <w:pPr>
        <w:pStyle w:val="0Maintext"/>
        <w:spacing w:after="120"/>
        <w:ind w:left="720" w:hanging="720"/>
        <w:rPr>
          <w:lang w:val="en-US"/>
        </w:rPr>
      </w:pPr>
      <w:r>
        <w:rPr>
          <w:lang w:val="en-US"/>
        </w:rPr>
        <w:t>[</w:t>
      </w:r>
      <w:r w:rsidR="00036CF2">
        <w:rPr>
          <w:lang w:val="en-US"/>
        </w:rPr>
        <w:t>6</w:t>
      </w:r>
      <w:r>
        <w:rPr>
          <w:lang w:val="en-US"/>
        </w:rPr>
        <w:t>]</w:t>
      </w:r>
      <w:r>
        <w:rPr>
          <w:lang w:val="en-US"/>
        </w:rPr>
        <w:tab/>
      </w:r>
      <w:r w:rsidR="00036CF2">
        <w:rPr>
          <w:lang w:val="en-US"/>
        </w:rPr>
        <w:t>T</w:t>
      </w:r>
      <w:r w:rsidR="00001FA8">
        <w:rPr>
          <w:lang w:val="en-US"/>
        </w:rPr>
        <w:t>R</w:t>
      </w:r>
      <w:r w:rsidR="00036CF2">
        <w:rPr>
          <w:lang w:val="en-US"/>
        </w:rPr>
        <w:t xml:space="preserve"> 38.859</w:t>
      </w:r>
      <w:r w:rsidR="00036CF2">
        <w:rPr>
          <w:lang w:val="en-US"/>
        </w:rPr>
        <w:tab/>
      </w:r>
      <w:r w:rsidR="00036CF2" w:rsidRPr="00036CF2">
        <w:rPr>
          <w:lang w:val="en-US"/>
        </w:rPr>
        <w:t>Study on expanded and improved NR positioning;</w:t>
      </w:r>
      <w:r w:rsidR="00036CF2">
        <w:rPr>
          <w:lang w:val="en-US"/>
        </w:rPr>
        <w:t xml:space="preserve"> </w:t>
      </w:r>
      <w:r w:rsidR="00036CF2" w:rsidRPr="00036CF2">
        <w:rPr>
          <w:lang w:val="en-US"/>
        </w:rPr>
        <w:t>(Release 18)</w:t>
      </w:r>
    </w:p>
    <w:p w14:paraId="79C40645" w14:textId="3BEEC769" w:rsidR="00222F83" w:rsidRDefault="00222F83" w:rsidP="00D448BD">
      <w:pPr>
        <w:pStyle w:val="0Maintext"/>
        <w:spacing w:after="120"/>
        <w:ind w:left="720" w:hanging="720"/>
        <w:rPr>
          <w:lang w:val="en-US"/>
        </w:rPr>
      </w:pPr>
      <w:r>
        <w:rPr>
          <w:lang w:val="en-US"/>
        </w:rPr>
        <w:t>[7]</w:t>
      </w:r>
      <w:r>
        <w:rPr>
          <w:lang w:val="en-US"/>
        </w:rPr>
        <w:tab/>
      </w:r>
      <w:r w:rsidR="00D448BD">
        <w:rPr>
          <w:lang w:val="en-US"/>
        </w:rPr>
        <w:t>TS 22.104</w:t>
      </w:r>
      <w:r w:rsidR="00D448BD">
        <w:rPr>
          <w:lang w:val="en-US"/>
        </w:rPr>
        <w:tab/>
      </w:r>
      <w:r w:rsidR="00D448BD" w:rsidRPr="00D448BD">
        <w:rPr>
          <w:lang w:val="en-US"/>
        </w:rPr>
        <w:t>Service requirements for cyber-physical control applications in</w:t>
      </w:r>
      <w:r w:rsidR="00D448BD">
        <w:rPr>
          <w:lang w:val="en-US"/>
        </w:rPr>
        <w:t xml:space="preserve"> </w:t>
      </w:r>
      <w:r w:rsidR="00D448BD" w:rsidRPr="00D448BD">
        <w:rPr>
          <w:lang w:val="en-US"/>
        </w:rPr>
        <w:t>vertical domains</w:t>
      </w:r>
    </w:p>
    <w:p w14:paraId="5873C016" w14:textId="5CE8A6F1" w:rsidR="008A10A9" w:rsidRDefault="008A10A9" w:rsidP="00C04B4C">
      <w:pPr>
        <w:pStyle w:val="0Maintext"/>
        <w:spacing w:after="120"/>
        <w:ind w:left="720" w:hanging="720"/>
        <w:rPr>
          <w:lang w:val="en-US"/>
        </w:rPr>
      </w:pPr>
      <w:r>
        <w:rPr>
          <w:lang w:val="en-US"/>
        </w:rPr>
        <w:t>[8]</w:t>
      </w:r>
      <w:r>
        <w:rPr>
          <w:lang w:val="en-US"/>
        </w:rPr>
        <w:tab/>
        <w:t>TS 22.137</w:t>
      </w:r>
      <w:r>
        <w:rPr>
          <w:lang w:val="en-US"/>
        </w:rPr>
        <w:tab/>
      </w:r>
      <w:r w:rsidR="005D0ACB" w:rsidRPr="005D0ACB">
        <w:rPr>
          <w:lang w:val="en-US"/>
        </w:rPr>
        <w:t>Service requirements for Integrated Sensing and</w:t>
      </w:r>
      <w:r w:rsidR="005D0ACB">
        <w:rPr>
          <w:lang w:val="en-US"/>
        </w:rPr>
        <w:t xml:space="preserve"> </w:t>
      </w:r>
      <w:r w:rsidR="005D0ACB" w:rsidRPr="005D0ACB">
        <w:rPr>
          <w:lang w:val="en-US"/>
        </w:rPr>
        <w:t>Communication</w:t>
      </w:r>
    </w:p>
    <w:sectPr w:rsidR="008A10A9">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8900D" w14:textId="77777777" w:rsidR="001F2B67" w:rsidRDefault="001F2B67" w:rsidP="00BE5007">
      <w:r>
        <w:separator/>
      </w:r>
    </w:p>
  </w:endnote>
  <w:endnote w:type="continuationSeparator" w:id="0">
    <w:p w14:paraId="796D6043" w14:textId="77777777" w:rsidR="001F2B67" w:rsidRDefault="001F2B67" w:rsidP="00B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F124A" w14:textId="77777777" w:rsidR="001F2B67" w:rsidRDefault="001F2B67" w:rsidP="00BE5007">
      <w:r>
        <w:separator/>
      </w:r>
    </w:p>
  </w:footnote>
  <w:footnote w:type="continuationSeparator" w:id="0">
    <w:p w14:paraId="14B25723" w14:textId="77777777" w:rsidR="001F2B67" w:rsidRDefault="001F2B67" w:rsidP="00BE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8DD38F0"/>
    <w:multiLevelType w:val="hybridMultilevel"/>
    <w:tmpl w:val="1BDE9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F2E25"/>
    <w:multiLevelType w:val="hybridMultilevel"/>
    <w:tmpl w:val="E37A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A2FC2"/>
    <w:multiLevelType w:val="hybridMultilevel"/>
    <w:tmpl w:val="543E302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E3E68E9"/>
    <w:multiLevelType w:val="hybridMultilevel"/>
    <w:tmpl w:val="EF14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8669C"/>
    <w:multiLevelType w:val="hybridMultilevel"/>
    <w:tmpl w:val="9948E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51E55"/>
    <w:multiLevelType w:val="hybridMultilevel"/>
    <w:tmpl w:val="9402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E75DE"/>
    <w:multiLevelType w:val="hybridMultilevel"/>
    <w:tmpl w:val="4E26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666A5"/>
    <w:multiLevelType w:val="hybridMultilevel"/>
    <w:tmpl w:val="4F4E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A2F62"/>
    <w:multiLevelType w:val="hybridMultilevel"/>
    <w:tmpl w:val="02DE6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74567"/>
    <w:multiLevelType w:val="hybridMultilevel"/>
    <w:tmpl w:val="7BC0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FA5683A"/>
    <w:multiLevelType w:val="hybridMultilevel"/>
    <w:tmpl w:val="7888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4008F4"/>
    <w:multiLevelType w:val="hybridMultilevel"/>
    <w:tmpl w:val="5E30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F0B1A"/>
    <w:multiLevelType w:val="hybridMultilevel"/>
    <w:tmpl w:val="14962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93DC8"/>
    <w:multiLevelType w:val="hybridMultilevel"/>
    <w:tmpl w:val="D4F4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56E9B"/>
    <w:multiLevelType w:val="hybridMultilevel"/>
    <w:tmpl w:val="E3F4C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80526"/>
    <w:multiLevelType w:val="hybridMultilevel"/>
    <w:tmpl w:val="6FC2D480"/>
    <w:lvl w:ilvl="0" w:tplc="C89C89A8">
      <w:start w:val="1"/>
      <w:numFmt w:val="bullet"/>
      <w:lvlText w:val="•"/>
      <w:lvlJc w:val="left"/>
      <w:pPr>
        <w:tabs>
          <w:tab w:val="num" w:pos="360"/>
        </w:tabs>
        <w:ind w:left="360" w:hanging="360"/>
      </w:pPr>
      <w:rPr>
        <w:rFonts w:ascii="Arial" w:hAnsi="Arial" w:hint="default"/>
      </w:rPr>
    </w:lvl>
    <w:lvl w:ilvl="1" w:tplc="95348B06">
      <w:start w:val="1"/>
      <w:numFmt w:val="bullet"/>
      <w:lvlText w:val="•"/>
      <w:lvlJc w:val="left"/>
      <w:pPr>
        <w:tabs>
          <w:tab w:val="num" w:pos="1080"/>
        </w:tabs>
        <w:ind w:left="1080" w:hanging="360"/>
      </w:pPr>
      <w:rPr>
        <w:rFonts w:ascii="Arial" w:hAnsi="Arial" w:hint="default"/>
      </w:rPr>
    </w:lvl>
    <w:lvl w:ilvl="2" w:tplc="CB9218EC">
      <w:numFmt w:val="bullet"/>
      <w:lvlText w:val="•"/>
      <w:lvlJc w:val="left"/>
      <w:pPr>
        <w:tabs>
          <w:tab w:val="num" w:pos="1800"/>
        </w:tabs>
        <w:ind w:left="1800" w:hanging="360"/>
      </w:pPr>
      <w:rPr>
        <w:rFonts w:ascii="Arial" w:hAnsi="Arial" w:hint="default"/>
      </w:rPr>
    </w:lvl>
    <w:lvl w:ilvl="3" w:tplc="70ECAB0E" w:tentative="1">
      <w:start w:val="1"/>
      <w:numFmt w:val="bullet"/>
      <w:lvlText w:val="•"/>
      <w:lvlJc w:val="left"/>
      <w:pPr>
        <w:tabs>
          <w:tab w:val="num" w:pos="2520"/>
        </w:tabs>
        <w:ind w:left="2520" w:hanging="360"/>
      </w:pPr>
      <w:rPr>
        <w:rFonts w:ascii="Arial" w:hAnsi="Arial" w:hint="default"/>
      </w:rPr>
    </w:lvl>
    <w:lvl w:ilvl="4" w:tplc="E092DBFC" w:tentative="1">
      <w:start w:val="1"/>
      <w:numFmt w:val="bullet"/>
      <w:lvlText w:val="•"/>
      <w:lvlJc w:val="left"/>
      <w:pPr>
        <w:tabs>
          <w:tab w:val="num" w:pos="3240"/>
        </w:tabs>
        <w:ind w:left="3240" w:hanging="360"/>
      </w:pPr>
      <w:rPr>
        <w:rFonts w:ascii="Arial" w:hAnsi="Arial" w:hint="default"/>
      </w:rPr>
    </w:lvl>
    <w:lvl w:ilvl="5" w:tplc="EC225F04" w:tentative="1">
      <w:start w:val="1"/>
      <w:numFmt w:val="bullet"/>
      <w:lvlText w:val="•"/>
      <w:lvlJc w:val="left"/>
      <w:pPr>
        <w:tabs>
          <w:tab w:val="num" w:pos="3960"/>
        </w:tabs>
        <w:ind w:left="3960" w:hanging="360"/>
      </w:pPr>
      <w:rPr>
        <w:rFonts w:ascii="Arial" w:hAnsi="Arial" w:hint="default"/>
      </w:rPr>
    </w:lvl>
    <w:lvl w:ilvl="6" w:tplc="968E67DC" w:tentative="1">
      <w:start w:val="1"/>
      <w:numFmt w:val="bullet"/>
      <w:lvlText w:val="•"/>
      <w:lvlJc w:val="left"/>
      <w:pPr>
        <w:tabs>
          <w:tab w:val="num" w:pos="4680"/>
        </w:tabs>
        <w:ind w:left="4680" w:hanging="360"/>
      </w:pPr>
      <w:rPr>
        <w:rFonts w:ascii="Arial" w:hAnsi="Arial" w:hint="default"/>
      </w:rPr>
    </w:lvl>
    <w:lvl w:ilvl="7" w:tplc="EEA6E6F6" w:tentative="1">
      <w:start w:val="1"/>
      <w:numFmt w:val="bullet"/>
      <w:lvlText w:val="•"/>
      <w:lvlJc w:val="left"/>
      <w:pPr>
        <w:tabs>
          <w:tab w:val="num" w:pos="5400"/>
        </w:tabs>
        <w:ind w:left="5400" w:hanging="360"/>
      </w:pPr>
      <w:rPr>
        <w:rFonts w:ascii="Arial" w:hAnsi="Arial" w:hint="default"/>
      </w:rPr>
    </w:lvl>
    <w:lvl w:ilvl="8" w:tplc="0E2E598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1500A78"/>
    <w:multiLevelType w:val="hybridMultilevel"/>
    <w:tmpl w:val="B2AAB1D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9"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2" w15:restartNumberingAfterBreak="0">
    <w:nsid w:val="6B40439A"/>
    <w:multiLevelType w:val="hybridMultilevel"/>
    <w:tmpl w:val="E306DC66"/>
    <w:lvl w:ilvl="0" w:tplc="40090017">
      <w:start w:val="1"/>
      <w:numFmt w:val="lowerLetter"/>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E63F96"/>
    <w:multiLevelType w:val="hybridMultilevel"/>
    <w:tmpl w:val="43962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1"/>
  </w:num>
  <w:num w:numId="4" w16cid:durableId="1500922045">
    <w:abstractNumId w:val="30"/>
  </w:num>
  <w:num w:numId="5" w16cid:durableId="402070213">
    <w:abstractNumId w:val="34"/>
  </w:num>
  <w:num w:numId="6" w16cid:durableId="1249382853">
    <w:abstractNumId w:val="31"/>
  </w:num>
  <w:num w:numId="7" w16cid:durableId="1937329399">
    <w:abstractNumId w:val="33"/>
  </w:num>
  <w:num w:numId="8" w16cid:durableId="97070147">
    <w:abstractNumId w:val="15"/>
  </w:num>
  <w:num w:numId="9" w16cid:durableId="1697460755">
    <w:abstractNumId w:val="29"/>
  </w:num>
  <w:num w:numId="10" w16cid:durableId="833110543">
    <w:abstractNumId w:val="16"/>
  </w:num>
  <w:num w:numId="11" w16cid:durableId="957372470">
    <w:abstractNumId w:val="25"/>
  </w:num>
  <w:num w:numId="12" w16cid:durableId="1441099388">
    <w:abstractNumId w:val="18"/>
  </w:num>
  <w:num w:numId="13" w16cid:durableId="112094939">
    <w:abstractNumId w:val="9"/>
  </w:num>
  <w:num w:numId="14" w16cid:durableId="959603700">
    <w:abstractNumId w:val="22"/>
  </w:num>
  <w:num w:numId="15" w16cid:durableId="455218578">
    <w:abstractNumId w:val="4"/>
  </w:num>
  <w:num w:numId="16" w16cid:durableId="1322587628">
    <w:abstractNumId w:val="27"/>
  </w:num>
  <w:num w:numId="17" w16cid:durableId="1027559369">
    <w:abstractNumId w:val="10"/>
  </w:num>
  <w:num w:numId="18" w16cid:durableId="365713008">
    <w:abstractNumId w:val="20"/>
  </w:num>
  <w:num w:numId="19" w16cid:durableId="1717311850">
    <w:abstractNumId w:val="5"/>
  </w:num>
  <w:num w:numId="20" w16cid:durableId="496461356">
    <w:abstractNumId w:val="19"/>
  </w:num>
  <w:num w:numId="21" w16cid:durableId="329213269">
    <w:abstractNumId w:val="12"/>
  </w:num>
  <w:num w:numId="22" w16cid:durableId="42759152">
    <w:abstractNumId w:val="2"/>
  </w:num>
  <w:num w:numId="23" w16cid:durableId="469860248">
    <w:abstractNumId w:val="35"/>
  </w:num>
  <w:num w:numId="24" w16cid:durableId="1190142424">
    <w:abstractNumId w:val="13"/>
  </w:num>
  <w:num w:numId="25" w16cid:durableId="152723333">
    <w:abstractNumId w:val="23"/>
  </w:num>
  <w:num w:numId="26" w16cid:durableId="1959213388">
    <w:abstractNumId w:val="32"/>
  </w:num>
  <w:num w:numId="27" w16cid:durableId="823811900">
    <w:abstractNumId w:val="14"/>
  </w:num>
  <w:num w:numId="28" w16cid:durableId="565187333">
    <w:abstractNumId w:val="24"/>
  </w:num>
  <w:num w:numId="29" w16cid:durableId="594899283">
    <w:abstractNumId w:val="26"/>
  </w:num>
  <w:num w:numId="30" w16cid:durableId="1984699402">
    <w:abstractNumId w:val="28"/>
  </w:num>
  <w:num w:numId="31" w16cid:durableId="1867862648">
    <w:abstractNumId w:val="36"/>
  </w:num>
  <w:num w:numId="32" w16cid:durableId="176887727">
    <w:abstractNumId w:val="17"/>
  </w:num>
  <w:num w:numId="33" w16cid:durableId="115107594">
    <w:abstractNumId w:val="11"/>
  </w:num>
  <w:num w:numId="34" w16cid:durableId="48306204">
    <w:abstractNumId w:val="3"/>
  </w:num>
  <w:num w:numId="35" w16cid:durableId="1678312712">
    <w:abstractNumId w:val="6"/>
  </w:num>
  <w:num w:numId="36" w16cid:durableId="261106587">
    <w:abstractNumId w:val="8"/>
  </w:num>
  <w:num w:numId="37" w16cid:durableId="640958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1FA8"/>
    <w:rsid w:val="00003990"/>
    <w:rsid w:val="000166E3"/>
    <w:rsid w:val="00017B94"/>
    <w:rsid w:val="00017E93"/>
    <w:rsid w:val="000209A2"/>
    <w:rsid w:val="000210CB"/>
    <w:rsid w:val="000212EC"/>
    <w:rsid w:val="00027F4A"/>
    <w:rsid w:val="00031D27"/>
    <w:rsid w:val="00031E68"/>
    <w:rsid w:val="000321B8"/>
    <w:rsid w:val="000354D1"/>
    <w:rsid w:val="00035D3E"/>
    <w:rsid w:val="00036CF2"/>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05CD"/>
    <w:rsid w:val="00073CCA"/>
    <w:rsid w:val="000758A0"/>
    <w:rsid w:val="0007732F"/>
    <w:rsid w:val="00077851"/>
    <w:rsid w:val="00084F13"/>
    <w:rsid w:val="00085223"/>
    <w:rsid w:val="00095C68"/>
    <w:rsid w:val="000A1890"/>
    <w:rsid w:val="000B0018"/>
    <w:rsid w:val="000B4160"/>
    <w:rsid w:val="000B4A13"/>
    <w:rsid w:val="000B669B"/>
    <w:rsid w:val="000C14D5"/>
    <w:rsid w:val="000D0B8C"/>
    <w:rsid w:val="000D0F78"/>
    <w:rsid w:val="000D2660"/>
    <w:rsid w:val="000D36CE"/>
    <w:rsid w:val="000D4FE5"/>
    <w:rsid w:val="000D57FF"/>
    <w:rsid w:val="000D6BB4"/>
    <w:rsid w:val="000E10FE"/>
    <w:rsid w:val="000E5CF2"/>
    <w:rsid w:val="000E6FF8"/>
    <w:rsid w:val="000E71B3"/>
    <w:rsid w:val="000F2C70"/>
    <w:rsid w:val="000F7C5B"/>
    <w:rsid w:val="00100BE4"/>
    <w:rsid w:val="001013A0"/>
    <w:rsid w:val="0010269A"/>
    <w:rsid w:val="001032CE"/>
    <w:rsid w:val="0010526F"/>
    <w:rsid w:val="00105285"/>
    <w:rsid w:val="0012163E"/>
    <w:rsid w:val="00127219"/>
    <w:rsid w:val="00130892"/>
    <w:rsid w:val="0013108B"/>
    <w:rsid w:val="0013589E"/>
    <w:rsid w:val="001360F7"/>
    <w:rsid w:val="001363B0"/>
    <w:rsid w:val="00140849"/>
    <w:rsid w:val="00142822"/>
    <w:rsid w:val="0014691C"/>
    <w:rsid w:val="001511AC"/>
    <w:rsid w:val="00153773"/>
    <w:rsid w:val="00155354"/>
    <w:rsid w:val="001554E2"/>
    <w:rsid w:val="00160149"/>
    <w:rsid w:val="00161E92"/>
    <w:rsid w:val="00162C20"/>
    <w:rsid w:val="001812F0"/>
    <w:rsid w:val="00181B8D"/>
    <w:rsid w:val="0018214E"/>
    <w:rsid w:val="0018607A"/>
    <w:rsid w:val="00193222"/>
    <w:rsid w:val="00194BBD"/>
    <w:rsid w:val="00196340"/>
    <w:rsid w:val="001A5A42"/>
    <w:rsid w:val="001A5F2D"/>
    <w:rsid w:val="001A61C8"/>
    <w:rsid w:val="001B377D"/>
    <w:rsid w:val="001C299A"/>
    <w:rsid w:val="001C5177"/>
    <w:rsid w:val="001D1AEC"/>
    <w:rsid w:val="001D27A7"/>
    <w:rsid w:val="001D4551"/>
    <w:rsid w:val="001D5EA6"/>
    <w:rsid w:val="001D6EE4"/>
    <w:rsid w:val="001E62A2"/>
    <w:rsid w:val="001F1442"/>
    <w:rsid w:val="001F144E"/>
    <w:rsid w:val="001F239F"/>
    <w:rsid w:val="001F2B67"/>
    <w:rsid w:val="002006BC"/>
    <w:rsid w:val="00203A0D"/>
    <w:rsid w:val="00203B50"/>
    <w:rsid w:val="00210840"/>
    <w:rsid w:val="002134C9"/>
    <w:rsid w:val="00222F83"/>
    <w:rsid w:val="0022367D"/>
    <w:rsid w:val="00232779"/>
    <w:rsid w:val="00232EDC"/>
    <w:rsid w:val="002376B9"/>
    <w:rsid w:val="00242013"/>
    <w:rsid w:val="002454C7"/>
    <w:rsid w:val="00245D27"/>
    <w:rsid w:val="00252B41"/>
    <w:rsid w:val="002637E7"/>
    <w:rsid w:val="00265C62"/>
    <w:rsid w:val="002661EE"/>
    <w:rsid w:val="00266E0F"/>
    <w:rsid w:val="0027174D"/>
    <w:rsid w:val="0027181A"/>
    <w:rsid w:val="00274F27"/>
    <w:rsid w:val="00282CB8"/>
    <w:rsid w:val="00283CD3"/>
    <w:rsid w:val="00284AB0"/>
    <w:rsid w:val="00284C32"/>
    <w:rsid w:val="00285B13"/>
    <w:rsid w:val="002948FF"/>
    <w:rsid w:val="0029769A"/>
    <w:rsid w:val="002A0285"/>
    <w:rsid w:val="002A274D"/>
    <w:rsid w:val="002A4D50"/>
    <w:rsid w:val="002A50CD"/>
    <w:rsid w:val="002A5B21"/>
    <w:rsid w:val="002A6731"/>
    <w:rsid w:val="002B0171"/>
    <w:rsid w:val="002B45EE"/>
    <w:rsid w:val="002B483A"/>
    <w:rsid w:val="002B72F3"/>
    <w:rsid w:val="002C4EFD"/>
    <w:rsid w:val="002C6FB5"/>
    <w:rsid w:val="002C7B33"/>
    <w:rsid w:val="002D625C"/>
    <w:rsid w:val="002D636D"/>
    <w:rsid w:val="002D67D6"/>
    <w:rsid w:val="002D7E5D"/>
    <w:rsid w:val="002E066A"/>
    <w:rsid w:val="002E6F65"/>
    <w:rsid w:val="002E7A89"/>
    <w:rsid w:val="002F31B1"/>
    <w:rsid w:val="002F363E"/>
    <w:rsid w:val="002F6BCC"/>
    <w:rsid w:val="0030554A"/>
    <w:rsid w:val="003105DC"/>
    <w:rsid w:val="003123C8"/>
    <w:rsid w:val="00315F36"/>
    <w:rsid w:val="00320127"/>
    <w:rsid w:val="00322B27"/>
    <w:rsid w:val="00324EF2"/>
    <w:rsid w:val="003262D0"/>
    <w:rsid w:val="00326AED"/>
    <w:rsid w:val="003358BE"/>
    <w:rsid w:val="0034417B"/>
    <w:rsid w:val="00344AE3"/>
    <w:rsid w:val="003466C0"/>
    <w:rsid w:val="00347021"/>
    <w:rsid w:val="00351207"/>
    <w:rsid w:val="00360322"/>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1631"/>
    <w:rsid w:val="003A76C0"/>
    <w:rsid w:val="003A7CA0"/>
    <w:rsid w:val="003B34FF"/>
    <w:rsid w:val="003B4CC2"/>
    <w:rsid w:val="003B5D44"/>
    <w:rsid w:val="003B620C"/>
    <w:rsid w:val="003C47B0"/>
    <w:rsid w:val="003C49B0"/>
    <w:rsid w:val="003D0C14"/>
    <w:rsid w:val="003D2F32"/>
    <w:rsid w:val="003D51F2"/>
    <w:rsid w:val="003E66DF"/>
    <w:rsid w:val="003E75B6"/>
    <w:rsid w:val="00401910"/>
    <w:rsid w:val="00406032"/>
    <w:rsid w:val="004139ED"/>
    <w:rsid w:val="00414547"/>
    <w:rsid w:val="00417FC9"/>
    <w:rsid w:val="004202C6"/>
    <w:rsid w:val="00421DA4"/>
    <w:rsid w:val="0042327A"/>
    <w:rsid w:val="00431A7C"/>
    <w:rsid w:val="00432C4C"/>
    <w:rsid w:val="00432D29"/>
    <w:rsid w:val="00433858"/>
    <w:rsid w:val="004340D3"/>
    <w:rsid w:val="00446F00"/>
    <w:rsid w:val="004527EA"/>
    <w:rsid w:val="00454CE0"/>
    <w:rsid w:val="00461B15"/>
    <w:rsid w:val="0046215C"/>
    <w:rsid w:val="00475A4C"/>
    <w:rsid w:val="00493FB2"/>
    <w:rsid w:val="004A2991"/>
    <w:rsid w:val="004A37A8"/>
    <w:rsid w:val="004A41EF"/>
    <w:rsid w:val="004B0577"/>
    <w:rsid w:val="004B0741"/>
    <w:rsid w:val="004B3124"/>
    <w:rsid w:val="004B368D"/>
    <w:rsid w:val="004B4D8D"/>
    <w:rsid w:val="004B58DE"/>
    <w:rsid w:val="004B6FDB"/>
    <w:rsid w:val="004B744E"/>
    <w:rsid w:val="004B74CC"/>
    <w:rsid w:val="004B7539"/>
    <w:rsid w:val="004B7C51"/>
    <w:rsid w:val="004C31B1"/>
    <w:rsid w:val="004C3FE9"/>
    <w:rsid w:val="004C4A14"/>
    <w:rsid w:val="004D79CD"/>
    <w:rsid w:val="004E35B0"/>
    <w:rsid w:val="004E3DEF"/>
    <w:rsid w:val="004F1382"/>
    <w:rsid w:val="004F68AE"/>
    <w:rsid w:val="00505AE1"/>
    <w:rsid w:val="005062CA"/>
    <w:rsid w:val="00507402"/>
    <w:rsid w:val="00515A8A"/>
    <w:rsid w:val="00516AED"/>
    <w:rsid w:val="00517ADD"/>
    <w:rsid w:val="00523492"/>
    <w:rsid w:val="00523D91"/>
    <w:rsid w:val="00531349"/>
    <w:rsid w:val="005327E9"/>
    <w:rsid w:val="00534760"/>
    <w:rsid w:val="0053782C"/>
    <w:rsid w:val="005436ED"/>
    <w:rsid w:val="00551E36"/>
    <w:rsid w:val="005554AA"/>
    <w:rsid w:val="00556671"/>
    <w:rsid w:val="00557D98"/>
    <w:rsid w:val="00565431"/>
    <w:rsid w:val="005668B0"/>
    <w:rsid w:val="00566FAC"/>
    <w:rsid w:val="0057794A"/>
    <w:rsid w:val="00583230"/>
    <w:rsid w:val="005900C9"/>
    <w:rsid w:val="0059417B"/>
    <w:rsid w:val="00594BEE"/>
    <w:rsid w:val="005955BC"/>
    <w:rsid w:val="00596063"/>
    <w:rsid w:val="005B0F7A"/>
    <w:rsid w:val="005B1AD1"/>
    <w:rsid w:val="005B6997"/>
    <w:rsid w:val="005C0F56"/>
    <w:rsid w:val="005C6666"/>
    <w:rsid w:val="005C6679"/>
    <w:rsid w:val="005C6A60"/>
    <w:rsid w:val="005D0ACB"/>
    <w:rsid w:val="005D45F7"/>
    <w:rsid w:val="005D5233"/>
    <w:rsid w:val="005E275C"/>
    <w:rsid w:val="005E39DD"/>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46946"/>
    <w:rsid w:val="006531B1"/>
    <w:rsid w:val="006637C0"/>
    <w:rsid w:val="00664A1E"/>
    <w:rsid w:val="00666868"/>
    <w:rsid w:val="00682B83"/>
    <w:rsid w:val="00682F29"/>
    <w:rsid w:val="006842D0"/>
    <w:rsid w:val="00685C73"/>
    <w:rsid w:val="00693A1D"/>
    <w:rsid w:val="00693B8E"/>
    <w:rsid w:val="00694016"/>
    <w:rsid w:val="006A45D6"/>
    <w:rsid w:val="006A501A"/>
    <w:rsid w:val="006A57C0"/>
    <w:rsid w:val="006A655B"/>
    <w:rsid w:val="006A7301"/>
    <w:rsid w:val="006B2109"/>
    <w:rsid w:val="006C2D08"/>
    <w:rsid w:val="006C4E0D"/>
    <w:rsid w:val="006C58FE"/>
    <w:rsid w:val="006D54CF"/>
    <w:rsid w:val="006D6B1A"/>
    <w:rsid w:val="006E6598"/>
    <w:rsid w:val="006E74D1"/>
    <w:rsid w:val="006F07E3"/>
    <w:rsid w:val="006F0EC9"/>
    <w:rsid w:val="006F10B4"/>
    <w:rsid w:val="006F6192"/>
    <w:rsid w:val="00703B63"/>
    <w:rsid w:val="00704414"/>
    <w:rsid w:val="00707829"/>
    <w:rsid w:val="0071257B"/>
    <w:rsid w:val="007128A2"/>
    <w:rsid w:val="00720EBF"/>
    <w:rsid w:val="00723A6C"/>
    <w:rsid w:val="00727B93"/>
    <w:rsid w:val="00732388"/>
    <w:rsid w:val="0073426D"/>
    <w:rsid w:val="0075077C"/>
    <w:rsid w:val="00751E2A"/>
    <w:rsid w:val="00754B81"/>
    <w:rsid w:val="0075517A"/>
    <w:rsid w:val="007570AB"/>
    <w:rsid w:val="007635DD"/>
    <w:rsid w:val="00770366"/>
    <w:rsid w:val="0077092E"/>
    <w:rsid w:val="0077201A"/>
    <w:rsid w:val="007727CB"/>
    <w:rsid w:val="00774E32"/>
    <w:rsid w:val="00776FDC"/>
    <w:rsid w:val="0078114E"/>
    <w:rsid w:val="0078326A"/>
    <w:rsid w:val="0079632E"/>
    <w:rsid w:val="00796733"/>
    <w:rsid w:val="007A1F9E"/>
    <w:rsid w:val="007B1BAD"/>
    <w:rsid w:val="007C4FBA"/>
    <w:rsid w:val="007D09B6"/>
    <w:rsid w:val="007D1FCA"/>
    <w:rsid w:val="007D6DCE"/>
    <w:rsid w:val="007E3054"/>
    <w:rsid w:val="007E554B"/>
    <w:rsid w:val="007E629D"/>
    <w:rsid w:val="007E6ADC"/>
    <w:rsid w:val="007E6FF6"/>
    <w:rsid w:val="007F128C"/>
    <w:rsid w:val="007F3960"/>
    <w:rsid w:val="007F4737"/>
    <w:rsid w:val="007F5342"/>
    <w:rsid w:val="007F7E0C"/>
    <w:rsid w:val="00803B37"/>
    <w:rsid w:val="008071BD"/>
    <w:rsid w:val="00810631"/>
    <w:rsid w:val="00813078"/>
    <w:rsid w:val="00813E10"/>
    <w:rsid w:val="008149CF"/>
    <w:rsid w:val="00815B8D"/>
    <w:rsid w:val="008200DD"/>
    <w:rsid w:val="00820D52"/>
    <w:rsid w:val="00822058"/>
    <w:rsid w:val="00827E5C"/>
    <w:rsid w:val="0083672B"/>
    <w:rsid w:val="00837D8A"/>
    <w:rsid w:val="00844F84"/>
    <w:rsid w:val="008464DF"/>
    <w:rsid w:val="00851E8D"/>
    <w:rsid w:val="00860F75"/>
    <w:rsid w:val="0086391A"/>
    <w:rsid w:val="008670BC"/>
    <w:rsid w:val="00870F0E"/>
    <w:rsid w:val="008736B9"/>
    <w:rsid w:val="00880EB0"/>
    <w:rsid w:val="00882A4D"/>
    <w:rsid w:val="00887C4A"/>
    <w:rsid w:val="00887FA6"/>
    <w:rsid w:val="00890CE5"/>
    <w:rsid w:val="0089138A"/>
    <w:rsid w:val="00894787"/>
    <w:rsid w:val="00894B5F"/>
    <w:rsid w:val="0089524F"/>
    <w:rsid w:val="008A0861"/>
    <w:rsid w:val="008A10A9"/>
    <w:rsid w:val="008A25E9"/>
    <w:rsid w:val="008A5F33"/>
    <w:rsid w:val="008A65A1"/>
    <w:rsid w:val="008B17B7"/>
    <w:rsid w:val="008B24BF"/>
    <w:rsid w:val="008B49BE"/>
    <w:rsid w:val="008B73CE"/>
    <w:rsid w:val="008C2187"/>
    <w:rsid w:val="008C7B3A"/>
    <w:rsid w:val="008D0789"/>
    <w:rsid w:val="008D5723"/>
    <w:rsid w:val="008D6AE1"/>
    <w:rsid w:val="008E13F2"/>
    <w:rsid w:val="008E2649"/>
    <w:rsid w:val="008E5333"/>
    <w:rsid w:val="008F11CC"/>
    <w:rsid w:val="008F46AE"/>
    <w:rsid w:val="008F4B6D"/>
    <w:rsid w:val="008F535A"/>
    <w:rsid w:val="008F54FC"/>
    <w:rsid w:val="008F6C88"/>
    <w:rsid w:val="008F7250"/>
    <w:rsid w:val="00901D2D"/>
    <w:rsid w:val="00901E25"/>
    <w:rsid w:val="00906E5E"/>
    <w:rsid w:val="00911E05"/>
    <w:rsid w:val="00911EFA"/>
    <w:rsid w:val="009128D9"/>
    <w:rsid w:val="00913FF4"/>
    <w:rsid w:val="009169C4"/>
    <w:rsid w:val="00916E49"/>
    <w:rsid w:val="00916FBA"/>
    <w:rsid w:val="00917ABB"/>
    <w:rsid w:val="00920159"/>
    <w:rsid w:val="00920227"/>
    <w:rsid w:val="009203BC"/>
    <w:rsid w:val="00922BBD"/>
    <w:rsid w:val="00923285"/>
    <w:rsid w:val="00923A3D"/>
    <w:rsid w:val="009242FD"/>
    <w:rsid w:val="00925F54"/>
    <w:rsid w:val="00926ACF"/>
    <w:rsid w:val="00927D99"/>
    <w:rsid w:val="00933C63"/>
    <w:rsid w:val="009351FA"/>
    <w:rsid w:val="00935AC3"/>
    <w:rsid w:val="00937025"/>
    <w:rsid w:val="00951436"/>
    <w:rsid w:val="00956383"/>
    <w:rsid w:val="0095741E"/>
    <w:rsid w:val="009622B6"/>
    <w:rsid w:val="00964417"/>
    <w:rsid w:val="00965BA8"/>
    <w:rsid w:val="00970368"/>
    <w:rsid w:val="00977119"/>
    <w:rsid w:val="009816E7"/>
    <w:rsid w:val="00983F09"/>
    <w:rsid w:val="00985108"/>
    <w:rsid w:val="00985F99"/>
    <w:rsid w:val="00992D77"/>
    <w:rsid w:val="00993596"/>
    <w:rsid w:val="00993DAC"/>
    <w:rsid w:val="0099414E"/>
    <w:rsid w:val="0099425A"/>
    <w:rsid w:val="00997267"/>
    <w:rsid w:val="00997BFC"/>
    <w:rsid w:val="009B22D3"/>
    <w:rsid w:val="009B3458"/>
    <w:rsid w:val="009B7B3B"/>
    <w:rsid w:val="009C3FB2"/>
    <w:rsid w:val="009C6BB3"/>
    <w:rsid w:val="009D117D"/>
    <w:rsid w:val="009D18CF"/>
    <w:rsid w:val="009D1C4F"/>
    <w:rsid w:val="009D5A1E"/>
    <w:rsid w:val="009D7D7D"/>
    <w:rsid w:val="009E0E57"/>
    <w:rsid w:val="009E16AA"/>
    <w:rsid w:val="009E4EEA"/>
    <w:rsid w:val="009E703E"/>
    <w:rsid w:val="009F490B"/>
    <w:rsid w:val="009F58CE"/>
    <w:rsid w:val="009F61FA"/>
    <w:rsid w:val="009F7D20"/>
    <w:rsid w:val="00A10787"/>
    <w:rsid w:val="00A111CE"/>
    <w:rsid w:val="00A13568"/>
    <w:rsid w:val="00A31F8F"/>
    <w:rsid w:val="00A352F0"/>
    <w:rsid w:val="00A41EE3"/>
    <w:rsid w:val="00A6087C"/>
    <w:rsid w:val="00A70540"/>
    <w:rsid w:val="00A805B9"/>
    <w:rsid w:val="00A80DF8"/>
    <w:rsid w:val="00A81DA7"/>
    <w:rsid w:val="00A86777"/>
    <w:rsid w:val="00A87595"/>
    <w:rsid w:val="00A9043B"/>
    <w:rsid w:val="00A93734"/>
    <w:rsid w:val="00A93DEE"/>
    <w:rsid w:val="00A95A78"/>
    <w:rsid w:val="00A96615"/>
    <w:rsid w:val="00A96977"/>
    <w:rsid w:val="00AA4EE3"/>
    <w:rsid w:val="00AB0956"/>
    <w:rsid w:val="00AB125A"/>
    <w:rsid w:val="00AB26E1"/>
    <w:rsid w:val="00AC2430"/>
    <w:rsid w:val="00AC43B0"/>
    <w:rsid w:val="00AD1997"/>
    <w:rsid w:val="00AE3A9B"/>
    <w:rsid w:val="00AF13FC"/>
    <w:rsid w:val="00AF515E"/>
    <w:rsid w:val="00AF7DC9"/>
    <w:rsid w:val="00B00560"/>
    <w:rsid w:val="00B00E98"/>
    <w:rsid w:val="00B02855"/>
    <w:rsid w:val="00B0669A"/>
    <w:rsid w:val="00B12FE5"/>
    <w:rsid w:val="00B21F63"/>
    <w:rsid w:val="00B229DD"/>
    <w:rsid w:val="00B23EB7"/>
    <w:rsid w:val="00B32DCD"/>
    <w:rsid w:val="00B4058C"/>
    <w:rsid w:val="00B44DB0"/>
    <w:rsid w:val="00B50B34"/>
    <w:rsid w:val="00B628E5"/>
    <w:rsid w:val="00B65704"/>
    <w:rsid w:val="00B658E6"/>
    <w:rsid w:val="00B7196B"/>
    <w:rsid w:val="00B72388"/>
    <w:rsid w:val="00B76F27"/>
    <w:rsid w:val="00B81924"/>
    <w:rsid w:val="00B86B50"/>
    <w:rsid w:val="00B875E8"/>
    <w:rsid w:val="00BA0528"/>
    <w:rsid w:val="00BA2E33"/>
    <w:rsid w:val="00BB4F97"/>
    <w:rsid w:val="00BB551D"/>
    <w:rsid w:val="00BB64B1"/>
    <w:rsid w:val="00BB7080"/>
    <w:rsid w:val="00BC10C3"/>
    <w:rsid w:val="00BC6390"/>
    <w:rsid w:val="00BD1C70"/>
    <w:rsid w:val="00BD5870"/>
    <w:rsid w:val="00BE2769"/>
    <w:rsid w:val="00BE2B6D"/>
    <w:rsid w:val="00BE5007"/>
    <w:rsid w:val="00BF3CC8"/>
    <w:rsid w:val="00BF487F"/>
    <w:rsid w:val="00BF6DEF"/>
    <w:rsid w:val="00C03647"/>
    <w:rsid w:val="00C04B4C"/>
    <w:rsid w:val="00C118D0"/>
    <w:rsid w:val="00C13A95"/>
    <w:rsid w:val="00C17B67"/>
    <w:rsid w:val="00C20B5B"/>
    <w:rsid w:val="00C2111A"/>
    <w:rsid w:val="00C25191"/>
    <w:rsid w:val="00C25A82"/>
    <w:rsid w:val="00C310AB"/>
    <w:rsid w:val="00C36E32"/>
    <w:rsid w:val="00C40418"/>
    <w:rsid w:val="00C44C2F"/>
    <w:rsid w:val="00C46B5C"/>
    <w:rsid w:val="00C57853"/>
    <w:rsid w:val="00C63891"/>
    <w:rsid w:val="00C66A4A"/>
    <w:rsid w:val="00C70860"/>
    <w:rsid w:val="00C7607E"/>
    <w:rsid w:val="00C8088E"/>
    <w:rsid w:val="00C84FE2"/>
    <w:rsid w:val="00C87EA1"/>
    <w:rsid w:val="00C94C28"/>
    <w:rsid w:val="00CA64AF"/>
    <w:rsid w:val="00CB1134"/>
    <w:rsid w:val="00CB3368"/>
    <w:rsid w:val="00CB39B6"/>
    <w:rsid w:val="00CB5D21"/>
    <w:rsid w:val="00CC7DB0"/>
    <w:rsid w:val="00CD1D69"/>
    <w:rsid w:val="00CD27DB"/>
    <w:rsid w:val="00CD7F6C"/>
    <w:rsid w:val="00CE171E"/>
    <w:rsid w:val="00CE2EA5"/>
    <w:rsid w:val="00CE50FC"/>
    <w:rsid w:val="00CE5D9B"/>
    <w:rsid w:val="00CE7503"/>
    <w:rsid w:val="00CF4C5A"/>
    <w:rsid w:val="00D00CD0"/>
    <w:rsid w:val="00D01ACB"/>
    <w:rsid w:val="00D033BC"/>
    <w:rsid w:val="00D07261"/>
    <w:rsid w:val="00D1218B"/>
    <w:rsid w:val="00D177E7"/>
    <w:rsid w:val="00D22343"/>
    <w:rsid w:val="00D23A2C"/>
    <w:rsid w:val="00D263F1"/>
    <w:rsid w:val="00D313A3"/>
    <w:rsid w:val="00D3242E"/>
    <w:rsid w:val="00D402CA"/>
    <w:rsid w:val="00D41C66"/>
    <w:rsid w:val="00D41C90"/>
    <w:rsid w:val="00D448BD"/>
    <w:rsid w:val="00D44CB2"/>
    <w:rsid w:val="00D45E02"/>
    <w:rsid w:val="00D471A6"/>
    <w:rsid w:val="00D50268"/>
    <w:rsid w:val="00D516C8"/>
    <w:rsid w:val="00D53C1D"/>
    <w:rsid w:val="00D6213F"/>
    <w:rsid w:val="00D623A6"/>
    <w:rsid w:val="00D64CB6"/>
    <w:rsid w:val="00D66967"/>
    <w:rsid w:val="00D72144"/>
    <w:rsid w:val="00D74596"/>
    <w:rsid w:val="00D82BE1"/>
    <w:rsid w:val="00D86C99"/>
    <w:rsid w:val="00D9083F"/>
    <w:rsid w:val="00D90D94"/>
    <w:rsid w:val="00D92B71"/>
    <w:rsid w:val="00DA1C78"/>
    <w:rsid w:val="00DA26BD"/>
    <w:rsid w:val="00DA3F88"/>
    <w:rsid w:val="00DB1A36"/>
    <w:rsid w:val="00DB481F"/>
    <w:rsid w:val="00DB7E34"/>
    <w:rsid w:val="00DC2136"/>
    <w:rsid w:val="00DC2D3B"/>
    <w:rsid w:val="00DE2383"/>
    <w:rsid w:val="00DE6C20"/>
    <w:rsid w:val="00DF0066"/>
    <w:rsid w:val="00DF7804"/>
    <w:rsid w:val="00E00694"/>
    <w:rsid w:val="00E064CA"/>
    <w:rsid w:val="00E06A06"/>
    <w:rsid w:val="00E10633"/>
    <w:rsid w:val="00E11B95"/>
    <w:rsid w:val="00E1410C"/>
    <w:rsid w:val="00E157F7"/>
    <w:rsid w:val="00E21B49"/>
    <w:rsid w:val="00E31EEB"/>
    <w:rsid w:val="00E327AE"/>
    <w:rsid w:val="00E52B37"/>
    <w:rsid w:val="00E54B4F"/>
    <w:rsid w:val="00E55EB5"/>
    <w:rsid w:val="00E560A5"/>
    <w:rsid w:val="00E56A0E"/>
    <w:rsid w:val="00E57B56"/>
    <w:rsid w:val="00E60394"/>
    <w:rsid w:val="00E60BDA"/>
    <w:rsid w:val="00E63E75"/>
    <w:rsid w:val="00E70688"/>
    <w:rsid w:val="00E7103D"/>
    <w:rsid w:val="00E75888"/>
    <w:rsid w:val="00E80518"/>
    <w:rsid w:val="00E852C2"/>
    <w:rsid w:val="00E944DC"/>
    <w:rsid w:val="00EA33B8"/>
    <w:rsid w:val="00EA4006"/>
    <w:rsid w:val="00EA73C1"/>
    <w:rsid w:val="00EA7B3B"/>
    <w:rsid w:val="00EB463F"/>
    <w:rsid w:val="00EB4CAE"/>
    <w:rsid w:val="00EB77A4"/>
    <w:rsid w:val="00EB78F3"/>
    <w:rsid w:val="00EC0F55"/>
    <w:rsid w:val="00EC167C"/>
    <w:rsid w:val="00EC2A35"/>
    <w:rsid w:val="00EC5440"/>
    <w:rsid w:val="00EC54C2"/>
    <w:rsid w:val="00ED0C58"/>
    <w:rsid w:val="00ED0E59"/>
    <w:rsid w:val="00EE18CC"/>
    <w:rsid w:val="00EF7114"/>
    <w:rsid w:val="00F01BD8"/>
    <w:rsid w:val="00F03573"/>
    <w:rsid w:val="00F03B62"/>
    <w:rsid w:val="00F05BCC"/>
    <w:rsid w:val="00F1461C"/>
    <w:rsid w:val="00F17D02"/>
    <w:rsid w:val="00F24869"/>
    <w:rsid w:val="00F36F33"/>
    <w:rsid w:val="00F37734"/>
    <w:rsid w:val="00F403F7"/>
    <w:rsid w:val="00F419A6"/>
    <w:rsid w:val="00F43CD1"/>
    <w:rsid w:val="00F4509E"/>
    <w:rsid w:val="00F64136"/>
    <w:rsid w:val="00F66383"/>
    <w:rsid w:val="00F66CB2"/>
    <w:rsid w:val="00F730A3"/>
    <w:rsid w:val="00F763E7"/>
    <w:rsid w:val="00F77E38"/>
    <w:rsid w:val="00F86C35"/>
    <w:rsid w:val="00F874FE"/>
    <w:rsid w:val="00F87CB0"/>
    <w:rsid w:val="00F93C70"/>
    <w:rsid w:val="00FA0560"/>
    <w:rsid w:val="00FA48C3"/>
    <w:rsid w:val="00FA5250"/>
    <w:rsid w:val="00FA538C"/>
    <w:rsid w:val="00FB6A72"/>
    <w:rsid w:val="00FC1E83"/>
    <w:rsid w:val="00FC5003"/>
    <w:rsid w:val="00FC6350"/>
    <w:rsid w:val="00FD335D"/>
    <w:rsid w:val="00FE04B1"/>
    <w:rsid w:val="00FE0ECE"/>
    <w:rsid w:val="00FE2969"/>
    <w:rsid w:val="00FE455C"/>
    <w:rsid w:val="00FE5522"/>
    <w:rsid w:val="00FE7353"/>
    <w:rsid w:val="00FF2A5C"/>
    <w:rsid w:val="00FF4FC2"/>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D0"/>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 w:type="paragraph" w:customStyle="1" w:styleId="Tabletext">
    <w:name w:val="Table_text"/>
    <w:basedOn w:val="Normal"/>
    <w:link w:val="TabletextChar"/>
    <w:qFormat/>
    <w:rsid w:val="006B21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Note">
    <w:name w:val="Note"/>
    <w:basedOn w:val="Normal"/>
    <w:next w:val="Normal"/>
    <w:rsid w:val="006B2109"/>
    <w:pPr>
      <w:tabs>
        <w:tab w:val="left" w:pos="284"/>
        <w:tab w:val="left" w:pos="1134"/>
        <w:tab w:val="left" w:pos="1871"/>
        <w:tab w:val="left" w:pos="2268"/>
      </w:tabs>
      <w:overflowPunct w:val="0"/>
      <w:autoSpaceDE w:val="0"/>
      <w:autoSpaceDN w:val="0"/>
      <w:adjustRightInd w:val="0"/>
      <w:spacing w:before="80"/>
      <w:textAlignment w:val="baseline"/>
    </w:pPr>
    <w:rPr>
      <w:sz w:val="22"/>
      <w:szCs w:val="20"/>
      <w:lang w:val="en-GB" w:eastAsia="en-US"/>
    </w:rPr>
  </w:style>
  <w:style w:type="paragraph" w:customStyle="1" w:styleId="Tablehead">
    <w:name w:val="Table_head"/>
    <w:basedOn w:val="Normal"/>
    <w:rsid w:val="006B210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title">
    <w:name w:val="Table_title"/>
    <w:basedOn w:val="Normal"/>
    <w:next w:val="Tabletext"/>
    <w:rsid w:val="006B21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paragraph" w:customStyle="1" w:styleId="Tablefin">
    <w:name w:val="Table_fin"/>
    <w:basedOn w:val="Normal"/>
    <w:rsid w:val="006B2109"/>
    <w:pPr>
      <w:overflowPunct w:val="0"/>
      <w:autoSpaceDE w:val="0"/>
      <w:autoSpaceDN w:val="0"/>
      <w:adjustRightInd w:val="0"/>
      <w:textAlignment w:val="baseline"/>
    </w:pPr>
    <w:rPr>
      <w:sz w:val="20"/>
      <w:szCs w:val="20"/>
      <w:lang w:val="en-GB"/>
    </w:rPr>
  </w:style>
  <w:style w:type="character" w:customStyle="1" w:styleId="TabletextChar">
    <w:name w:val="Table_text Char"/>
    <w:basedOn w:val="DefaultParagraphFont"/>
    <w:link w:val="Tabletext"/>
    <w:locked/>
    <w:rsid w:val="006B2109"/>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600937">
      <w:bodyDiv w:val="1"/>
      <w:marLeft w:val="0"/>
      <w:marRight w:val="0"/>
      <w:marTop w:val="0"/>
      <w:marBottom w:val="0"/>
      <w:divBdr>
        <w:top w:val="none" w:sz="0" w:space="0" w:color="auto"/>
        <w:left w:val="none" w:sz="0" w:space="0" w:color="auto"/>
        <w:bottom w:val="none" w:sz="0" w:space="0" w:color="auto"/>
        <w:right w:val="none" w:sz="0" w:space="0" w:color="auto"/>
      </w:divBdr>
    </w:div>
    <w:div w:id="223761467">
      <w:bodyDiv w:val="1"/>
      <w:marLeft w:val="0"/>
      <w:marRight w:val="0"/>
      <w:marTop w:val="0"/>
      <w:marBottom w:val="0"/>
      <w:divBdr>
        <w:top w:val="none" w:sz="0" w:space="0" w:color="auto"/>
        <w:left w:val="none" w:sz="0" w:space="0" w:color="auto"/>
        <w:bottom w:val="none" w:sz="0" w:space="0" w:color="auto"/>
        <w:right w:val="none" w:sz="0" w:space="0" w:color="auto"/>
      </w:divBdr>
    </w:div>
    <w:div w:id="266618845">
      <w:bodyDiv w:val="1"/>
      <w:marLeft w:val="0"/>
      <w:marRight w:val="0"/>
      <w:marTop w:val="0"/>
      <w:marBottom w:val="0"/>
      <w:divBdr>
        <w:top w:val="none" w:sz="0" w:space="0" w:color="auto"/>
        <w:left w:val="none" w:sz="0" w:space="0" w:color="auto"/>
        <w:bottom w:val="none" w:sz="0" w:space="0" w:color="auto"/>
        <w:right w:val="none" w:sz="0" w:space="0" w:color="auto"/>
      </w:divBdr>
    </w:div>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477764054">
      <w:bodyDiv w:val="1"/>
      <w:marLeft w:val="0"/>
      <w:marRight w:val="0"/>
      <w:marTop w:val="0"/>
      <w:marBottom w:val="0"/>
      <w:divBdr>
        <w:top w:val="none" w:sz="0" w:space="0" w:color="auto"/>
        <w:left w:val="none" w:sz="0" w:space="0" w:color="auto"/>
        <w:bottom w:val="none" w:sz="0" w:space="0" w:color="auto"/>
        <w:right w:val="none" w:sz="0" w:space="0" w:color="auto"/>
      </w:divBdr>
    </w:div>
    <w:div w:id="547685379">
      <w:bodyDiv w:val="1"/>
      <w:marLeft w:val="0"/>
      <w:marRight w:val="0"/>
      <w:marTop w:val="0"/>
      <w:marBottom w:val="0"/>
      <w:divBdr>
        <w:top w:val="none" w:sz="0" w:space="0" w:color="auto"/>
        <w:left w:val="none" w:sz="0" w:space="0" w:color="auto"/>
        <w:bottom w:val="none" w:sz="0" w:space="0" w:color="auto"/>
        <w:right w:val="none" w:sz="0" w:space="0" w:color="auto"/>
      </w:divBdr>
    </w:div>
    <w:div w:id="742993709">
      <w:bodyDiv w:val="1"/>
      <w:marLeft w:val="0"/>
      <w:marRight w:val="0"/>
      <w:marTop w:val="0"/>
      <w:marBottom w:val="0"/>
      <w:divBdr>
        <w:top w:val="none" w:sz="0" w:space="0" w:color="auto"/>
        <w:left w:val="none" w:sz="0" w:space="0" w:color="auto"/>
        <w:bottom w:val="none" w:sz="0" w:space="0" w:color="auto"/>
        <w:right w:val="none" w:sz="0" w:space="0" w:color="auto"/>
      </w:divBdr>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769934969">
      <w:bodyDiv w:val="1"/>
      <w:marLeft w:val="0"/>
      <w:marRight w:val="0"/>
      <w:marTop w:val="0"/>
      <w:marBottom w:val="0"/>
      <w:divBdr>
        <w:top w:val="none" w:sz="0" w:space="0" w:color="auto"/>
        <w:left w:val="none" w:sz="0" w:space="0" w:color="auto"/>
        <w:bottom w:val="none" w:sz="0" w:space="0" w:color="auto"/>
        <w:right w:val="none" w:sz="0" w:space="0" w:color="auto"/>
      </w:divBdr>
      <w:divsChild>
        <w:div w:id="964388130">
          <w:marLeft w:val="1555"/>
          <w:marRight w:val="0"/>
          <w:marTop w:val="96"/>
          <w:marBottom w:val="0"/>
          <w:divBdr>
            <w:top w:val="none" w:sz="0" w:space="0" w:color="auto"/>
            <w:left w:val="none" w:sz="0" w:space="0" w:color="auto"/>
            <w:bottom w:val="none" w:sz="0" w:space="0" w:color="auto"/>
            <w:right w:val="none" w:sz="0" w:space="0" w:color="auto"/>
          </w:divBdr>
        </w:div>
        <w:div w:id="1752266397">
          <w:marLeft w:val="2405"/>
          <w:marRight w:val="0"/>
          <w:marTop w:val="90"/>
          <w:marBottom w:val="0"/>
          <w:divBdr>
            <w:top w:val="none" w:sz="0" w:space="0" w:color="auto"/>
            <w:left w:val="none" w:sz="0" w:space="0" w:color="auto"/>
            <w:bottom w:val="none" w:sz="0" w:space="0" w:color="auto"/>
            <w:right w:val="none" w:sz="0" w:space="0" w:color="auto"/>
          </w:divBdr>
        </w:div>
        <w:div w:id="1405834924">
          <w:marLeft w:val="2405"/>
          <w:marRight w:val="0"/>
          <w:marTop w:val="90"/>
          <w:marBottom w:val="0"/>
          <w:divBdr>
            <w:top w:val="none" w:sz="0" w:space="0" w:color="auto"/>
            <w:left w:val="none" w:sz="0" w:space="0" w:color="auto"/>
            <w:bottom w:val="none" w:sz="0" w:space="0" w:color="auto"/>
            <w:right w:val="none" w:sz="0" w:space="0" w:color="auto"/>
          </w:divBdr>
        </w:div>
        <w:div w:id="787359454">
          <w:marLeft w:val="2405"/>
          <w:marRight w:val="0"/>
          <w:marTop w:val="90"/>
          <w:marBottom w:val="0"/>
          <w:divBdr>
            <w:top w:val="none" w:sz="0" w:space="0" w:color="auto"/>
            <w:left w:val="none" w:sz="0" w:space="0" w:color="auto"/>
            <w:bottom w:val="none" w:sz="0" w:space="0" w:color="auto"/>
            <w:right w:val="none" w:sz="0" w:space="0" w:color="auto"/>
          </w:divBdr>
        </w:div>
      </w:divsChild>
    </w:div>
    <w:div w:id="927229431">
      <w:bodyDiv w:val="1"/>
      <w:marLeft w:val="0"/>
      <w:marRight w:val="0"/>
      <w:marTop w:val="0"/>
      <w:marBottom w:val="0"/>
      <w:divBdr>
        <w:top w:val="none" w:sz="0" w:space="0" w:color="auto"/>
        <w:left w:val="none" w:sz="0" w:space="0" w:color="auto"/>
        <w:bottom w:val="none" w:sz="0" w:space="0" w:color="auto"/>
        <w:right w:val="none" w:sz="0" w:space="0" w:color="auto"/>
      </w:divBdr>
    </w:div>
    <w:div w:id="989139841">
      <w:bodyDiv w:val="1"/>
      <w:marLeft w:val="0"/>
      <w:marRight w:val="0"/>
      <w:marTop w:val="0"/>
      <w:marBottom w:val="0"/>
      <w:divBdr>
        <w:top w:val="none" w:sz="0" w:space="0" w:color="auto"/>
        <w:left w:val="none" w:sz="0" w:space="0" w:color="auto"/>
        <w:bottom w:val="none" w:sz="0" w:space="0" w:color="auto"/>
        <w:right w:val="none" w:sz="0" w:space="0" w:color="auto"/>
      </w:divBdr>
    </w:div>
    <w:div w:id="992484730">
      <w:bodyDiv w:val="1"/>
      <w:marLeft w:val="0"/>
      <w:marRight w:val="0"/>
      <w:marTop w:val="0"/>
      <w:marBottom w:val="0"/>
      <w:divBdr>
        <w:top w:val="none" w:sz="0" w:space="0" w:color="auto"/>
        <w:left w:val="none" w:sz="0" w:space="0" w:color="auto"/>
        <w:bottom w:val="none" w:sz="0" w:space="0" w:color="auto"/>
        <w:right w:val="none" w:sz="0" w:space="0" w:color="auto"/>
      </w:divBdr>
    </w:div>
    <w:div w:id="1301955068">
      <w:bodyDiv w:val="1"/>
      <w:marLeft w:val="0"/>
      <w:marRight w:val="0"/>
      <w:marTop w:val="0"/>
      <w:marBottom w:val="0"/>
      <w:divBdr>
        <w:top w:val="none" w:sz="0" w:space="0" w:color="auto"/>
        <w:left w:val="none" w:sz="0" w:space="0" w:color="auto"/>
        <w:bottom w:val="none" w:sz="0" w:space="0" w:color="auto"/>
        <w:right w:val="none" w:sz="0" w:space="0" w:color="auto"/>
      </w:divBdr>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1641108546">
      <w:bodyDiv w:val="1"/>
      <w:marLeft w:val="0"/>
      <w:marRight w:val="0"/>
      <w:marTop w:val="0"/>
      <w:marBottom w:val="0"/>
      <w:divBdr>
        <w:top w:val="none" w:sz="0" w:space="0" w:color="auto"/>
        <w:left w:val="none" w:sz="0" w:space="0" w:color="auto"/>
        <w:bottom w:val="none" w:sz="0" w:space="0" w:color="auto"/>
        <w:right w:val="none" w:sz="0" w:space="0" w:color="auto"/>
      </w:divBdr>
    </w:div>
    <w:div w:id="1760562385">
      <w:bodyDiv w:val="1"/>
      <w:marLeft w:val="0"/>
      <w:marRight w:val="0"/>
      <w:marTop w:val="0"/>
      <w:marBottom w:val="0"/>
      <w:divBdr>
        <w:top w:val="none" w:sz="0" w:space="0" w:color="auto"/>
        <w:left w:val="none" w:sz="0" w:space="0" w:color="auto"/>
        <w:bottom w:val="none" w:sz="0" w:space="0" w:color="auto"/>
        <w:right w:val="none" w:sz="0" w:space="0" w:color="auto"/>
      </w:divBdr>
    </w:div>
    <w:div w:id="1790320979">
      <w:bodyDiv w:val="1"/>
      <w:marLeft w:val="0"/>
      <w:marRight w:val="0"/>
      <w:marTop w:val="0"/>
      <w:marBottom w:val="0"/>
      <w:divBdr>
        <w:top w:val="none" w:sz="0" w:space="0" w:color="auto"/>
        <w:left w:val="none" w:sz="0" w:space="0" w:color="auto"/>
        <w:bottom w:val="none" w:sz="0" w:space="0" w:color="auto"/>
        <w:right w:val="none" w:sz="0" w:space="0" w:color="auto"/>
      </w:divBdr>
    </w:div>
    <w:div w:id="1987273729">
      <w:bodyDiv w:val="1"/>
      <w:marLeft w:val="0"/>
      <w:marRight w:val="0"/>
      <w:marTop w:val="0"/>
      <w:marBottom w:val="0"/>
      <w:divBdr>
        <w:top w:val="none" w:sz="0" w:space="0" w:color="auto"/>
        <w:left w:val="none" w:sz="0" w:space="0" w:color="auto"/>
        <w:bottom w:val="none" w:sz="0" w:space="0" w:color="auto"/>
        <w:right w:val="none" w:sz="0" w:space="0" w:color="auto"/>
      </w:divBdr>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2252</Words>
  <Characters>12840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Sasha (Apple)</cp:lastModifiedBy>
  <cp:revision>89</cp:revision>
  <dcterms:created xsi:type="dcterms:W3CDTF">2025-02-24T07:59:00Z</dcterms:created>
  <dcterms:modified xsi:type="dcterms:W3CDTF">2025-03-02T15:52:00Z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