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543A" w14:textId="4BB513A5" w:rsidR="00B66827" w:rsidRPr="00A079D3" w:rsidRDefault="00B66827" w:rsidP="00B6682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</w:t>
      </w:r>
      <w:r>
        <w:rPr>
          <w:rFonts w:ascii="Arial" w:hAnsi="Arial" w:cs="Arial"/>
          <w:b/>
          <w:sz w:val="28"/>
          <w:szCs w:val="28"/>
        </w:rPr>
        <w:t>21</w:t>
      </w:r>
    </w:p>
    <w:p w14:paraId="1CD93054" w14:textId="77777777" w:rsidR="00B66827" w:rsidRPr="00A079D3" w:rsidRDefault="00B66827" w:rsidP="00B6682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7DFA8D1" w14:textId="77777777" w:rsidR="00B66827" w:rsidRDefault="00B6682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7425C67" w:rsidR="00463675" w:rsidRPr="00B6682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B66827">
        <w:rPr>
          <w:rFonts w:ascii="Arial" w:hAnsi="Arial" w:cs="Arial"/>
          <w:i/>
          <w:iCs/>
        </w:rPr>
        <w:t>3GPP TSG-WG SA2 Meeting #</w:t>
      </w:r>
      <w:r w:rsidR="006770EC" w:rsidRPr="00B66827">
        <w:rPr>
          <w:rFonts w:ascii="Arial" w:hAnsi="Arial" w:cs="Arial"/>
          <w:i/>
          <w:iCs/>
        </w:rPr>
        <w:t>160-Ad Hoc-e</w:t>
      </w:r>
      <w:r w:rsidR="003007F7" w:rsidRPr="00B66827">
        <w:rPr>
          <w:rFonts w:ascii="Arial" w:hAnsi="Arial" w:cs="Arial"/>
          <w:i/>
          <w:iCs/>
        </w:rPr>
        <w:tab/>
      </w:r>
      <w:r w:rsidR="0019075D" w:rsidRPr="00B66827">
        <w:rPr>
          <w:rFonts w:ascii="Arial" w:hAnsi="Arial" w:cs="Arial"/>
          <w:i/>
          <w:iCs/>
        </w:rPr>
        <w:t>S2-2</w:t>
      </w:r>
      <w:r w:rsidR="006770EC" w:rsidRPr="00B66827">
        <w:rPr>
          <w:rFonts w:ascii="Arial" w:hAnsi="Arial" w:cs="Arial"/>
          <w:i/>
          <w:iCs/>
        </w:rPr>
        <w:t>4</w:t>
      </w:r>
      <w:r w:rsidR="0019075D" w:rsidRPr="00B66827">
        <w:rPr>
          <w:rFonts w:ascii="Arial" w:hAnsi="Arial" w:cs="Arial"/>
          <w:i/>
          <w:iCs/>
        </w:rPr>
        <w:t>0</w:t>
      </w:r>
      <w:r w:rsidR="00572535" w:rsidRPr="00B66827">
        <w:rPr>
          <w:rFonts w:ascii="Arial" w:hAnsi="Arial" w:cs="Arial"/>
          <w:i/>
          <w:iCs/>
        </w:rPr>
        <w:t>1813</w:t>
      </w:r>
    </w:p>
    <w:p w14:paraId="3E6B4129" w14:textId="7A3133B0" w:rsidR="00463675" w:rsidRPr="00B66827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B66827">
        <w:rPr>
          <w:rFonts w:ascii="Arial" w:hAnsi="Arial" w:cs="Arial"/>
          <w:i/>
          <w:iCs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AD47C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72535" w:rsidRDefault="00463675" w:rsidP="00926EDF">
      <w:pPr>
        <w:pStyle w:val="Source"/>
        <w:ind w:left="1710" w:hanging="1699"/>
        <w:rPr>
          <w:lang w:val="en-CA"/>
        </w:rPr>
      </w:pPr>
      <w:r w:rsidRPr="00572535">
        <w:rPr>
          <w:lang w:val="en-CA"/>
        </w:rPr>
        <w:t>To:</w:t>
      </w:r>
      <w:r w:rsidRPr="00572535">
        <w:rPr>
          <w:lang w:val="en-CA"/>
        </w:rPr>
        <w:tab/>
      </w:r>
      <w:r w:rsidR="004D765C" w:rsidRPr="00572535">
        <w:rPr>
          <w:b w:val="0"/>
          <w:bCs/>
          <w:lang w:val="en-CA"/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 xml:space="preserve">SA1, </w:t>
      </w:r>
      <w:r w:rsidR="00A61594" w:rsidRPr="00A61594">
        <w:rPr>
          <w:b w:val="0"/>
          <w:bCs/>
          <w:lang w:val="fr-FR"/>
        </w:rPr>
        <w:t xml:space="preserve">3GPP </w:t>
      </w:r>
      <w:r w:rsidR="00A76063">
        <w:rPr>
          <w:b w:val="0"/>
          <w:bCs/>
          <w:lang w:val="fr-FR"/>
        </w:rPr>
        <w:t xml:space="preserve">SA, </w:t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CBF8617" w:rsidR="00463675" w:rsidRPr="0057253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72535">
        <w:rPr>
          <w:rFonts w:ascii="Arial" w:hAnsi="Arial" w:cs="Arial"/>
          <w:b/>
          <w:lang w:val="fr-FR"/>
        </w:rPr>
        <w:t>Contact Person:</w:t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CD6C86" w14:textId="34921179" w:rsidR="00923E7C" w:rsidRPr="00572535" w:rsidRDefault="00923E7C" w:rsidP="0057253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5C8F9D2" w14:textId="278DC1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6063">
        <w:t>SID for</w:t>
      </w:r>
      <w:r w:rsidR="00A76063" w:rsidRPr="00A76063">
        <w:t xml:space="preserve"> </w:t>
      </w:r>
      <w:r w:rsidR="00A76063">
        <w:t>FS_UAS_Ph3 (</w:t>
      </w:r>
      <w:r w:rsidR="00A76063" w:rsidRPr="00A76063">
        <w:t>SP-231801</w:t>
      </w:r>
      <w:r w:rsidR="00A76063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28F93333" w14:textId="41C9632B" w:rsidR="00A46486" w:rsidRPr="00572535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Pr="001516D0">
        <w:rPr>
          <w:rFonts w:ascii="Arial" w:hAnsi="Arial" w:cs="Arial"/>
        </w:rPr>
        <w:t xml:space="preserve">SA2 </w:t>
      </w:r>
      <w:r w:rsidRPr="00572535">
        <w:rPr>
          <w:rFonts w:ascii="Arial" w:hAnsi="Arial" w:cs="Arial"/>
        </w:rPr>
        <w:t>understanding that</w:t>
      </w:r>
      <w:r w:rsidR="00395022" w:rsidRPr="00572535">
        <w:rPr>
          <w:rFonts w:ascii="Arial" w:hAnsi="Arial" w:cs="Arial"/>
        </w:rPr>
        <w:t xml:space="preserve"> the aerial UE would be forbidden from transmitting in </w:t>
      </w:r>
      <w:r w:rsidR="00A561B0" w:rsidRPr="00572535">
        <w:rPr>
          <w:rFonts w:ascii="Arial" w:hAnsi="Arial" w:cs="Arial"/>
        </w:rPr>
        <w:t xml:space="preserve">protected </w:t>
      </w:r>
      <w:r w:rsidR="00395022" w:rsidRPr="00572535">
        <w:rPr>
          <w:rFonts w:ascii="Arial" w:hAnsi="Arial" w:cs="Arial"/>
        </w:rPr>
        <w:t>frequency band</w:t>
      </w:r>
      <w:r w:rsidR="008D6677" w:rsidRPr="00572535">
        <w:rPr>
          <w:rFonts w:ascii="Arial" w:hAnsi="Arial" w:cs="Arial"/>
        </w:rPr>
        <w:t>(</w:t>
      </w:r>
      <w:r w:rsidR="00395022" w:rsidRPr="00572535">
        <w:rPr>
          <w:rFonts w:ascii="Arial" w:hAnsi="Arial" w:cs="Arial"/>
        </w:rPr>
        <w:t>s</w:t>
      </w:r>
      <w:r w:rsidR="008D6677" w:rsidRPr="00572535">
        <w:rPr>
          <w:rFonts w:ascii="Arial" w:hAnsi="Arial" w:cs="Arial"/>
        </w:rPr>
        <w:t>)</w:t>
      </w:r>
      <w:r w:rsidR="00395022" w:rsidRPr="00572535">
        <w:rPr>
          <w:rFonts w:ascii="Arial" w:hAnsi="Arial" w:cs="Arial"/>
        </w:rPr>
        <w:t xml:space="preserve"> of cells in a NTZ</w:t>
      </w:r>
      <w:r w:rsidR="00833B45" w:rsidRPr="00572535">
        <w:rPr>
          <w:rFonts w:ascii="Arial" w:hAnsi="Arial" w:cs="Arial"/>
        </w:rPr>
        <w:t xml:space="preserve"> while the aerial UE can operate as normal in allowed frequency band(s) of cells within an NTZ</w:t>
      </w:r>
      <w:r w:rsidR="00EF332F" w:rsidRPr="00572535">
        <w:rPr>
          <w:rFonts w:ascii="Arial" w:hAnsi="Arial" w:cs="Arial"/>
        </w:rPr>
        <w:t xml:space="preserve">. </w:t>
      </w:r>
      <w:r w:rsidR="00833B45" w:rsidRPr="00572535">
        <w:rPr>
          <w:rFonts w:ascii="Arial" w:hAnsi="Arial" w:cs="Arial"/>
        </w:rPr>
        <w:t>In case all available frequency bands in a cell are protected</w:t>
      </w:r>
      <w:r w:rsidR="00EF332F" w:rsidRPr="00572535">
        <w:rPr>
          <w:rFonts w:ascii="Arial" w:hAnsi="Arial" w:cs="Arial"/>
        </w:rPr>
        <w:t xml:space="preserve"> </w:t>
      </w:r>
      <w:r w:rsidR="00833B45" w:rsidRPr="00572535">
        <w:rPr>
          <w:rFonts w:ascii="Arial" w:hAnsi="Arial" w:cs="Arial"/>
        </w:rPr>
        <w:t xml:space="preserve">is the aerial UE forbidden to transmit for </w:t>
      </w:r>
      <w:r w:rsidR="00EF332F" w:rsidRPr="00572535">
        <w:rPr>
          <w:rFonts w:ascii="Arial" w:hAnsi="Arial" w:cs="Arial"/>
        </w:rPr>
        <w:t>any services, including emergency services</w:t>
      </w:r>
      <w:r w:rsidR="00A53607" w:rsidRPr="00572535">
        <w:rPr>
          <w:rFonts w:ascii="Arial" w:hAnsi="Arial" w:cs="Arial"/>
        </w:rPr>
        <w:t xml:space="preserve"> and high priority services</w:t>
      </w:r>
      <w:r w:rsidR="00EF332F" w:rsidRPr="00572535">
        <w:rPr>
          <w:rFonts w:ascii="Arial" w:hAnsi="Arial" w:cs="Arial"/>
        </w:rPr>
        <w:t>?</w:t>
      </w:r>
    </w:p>
    <w:p w14:paraId="2CBFCAA9" w14:textId="14227FE5" w:rsidR="008864FF" w:rsidRPr="001516D0" w:rsidRDefault="00D52531" w:rsidP="00EC767B">
      <w:pPr>
        <w:pStyle w:val="pf0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572535">
        <w:rPr>
          <w:rStyle w:val="cf01"/>
          <w:rFonts w:ascii="Arial" w:hAnsi="Arial" w:cs="Arial"/>
          <w:sz w:val="20"/>
          <w:szCs w:val="20"/>
        </w:rPr>
        <w:t>The ECC Decision 22(07) states th</w:t>
      </w:r>
      <w:r w:rsidR="006E33C9" w:rsidRPr="00572535">
        <w:rPr>
          <w:rStyle w:val="cf01"/>
          <w:rFonts w:ascii="Arial" w:hAnsi="Arial" w:cs="Arial"/>
          <w:sz w:val="20"/>
          <w:szCs w:val="20"/>
        </w:rPr>
        <w:t>a</w:t>
      </w:r>
      <w:r w:rsidRPr="00572535">
        <w:rPr>
          <w:rStyle w:val="cf01"/>
          <w:rFonts w:ascii="Arial" w:hAnsi="Arial" w:cs="Arial"/>
          <w:sz w:val="20"/>
          <w:szCs w:val="20"/>
        </w:rPr>
        <w:t>t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“a non-transmit zone in t</w:t>
      </w:r>
      <w:r w:rsidR="006E7523" w:rsidRPr="00572535">
        <w:rPr>
          <w:rStyle w:val="cf01"/>
          <w:rFonts w:ascii="Arial" w:hAnsi="Arial" w:cs="Arial"/>
          <w:sz w:val="20"/>
          <w:szCs w:val="20"/>
        </w:rPr>
        <w:t>he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Decision is defined as a geographical area where aerial UE are not allowed to transmit for spectrum compatibility reasons in a given harmonized MFCN band or part of it”. </w:t>
      </w:r>
      <w:r w:rsidR="001516D0" w:rsidRPr="00572535">
        <w:rPr>
          <w:rStyle w:val="cf01"/>
          <w:rFonts w:ascii="Arial" w:hAnsi="Arial" w:cs="Arial"/>
          <w:sz w:val="20"/>
          <w:szCs w:val="20"/>
        </w:rPr>
        <w:t xml:space="preserve">SA2 would like to clarify whether </w:t>
      </w:r>
      <w:r w:rsidR="008864FF" w:rsidRPr="00572535">
        <w:rPr>
          <w:rFonts w:ascii="Arial" w:hAnsi="Arial" w:cs="Arial"/>
          <w:sz w:val="20"/>
          <w:szCs w:val="20"/>
        </w:rPr>
        <w:t xml:space="preserve">the UE </w:t>
      </w:r>
      <w:r w:rsidR="00A31972" w:rsidRPr="00572535">
        <w:rPr>
          <w:rFonts w:ascii="Arial" w:hAnsi="Arial" w:cs="Arial"/>
          <w:sz w:val="20"/>
          <w:szCs w:val="20"/>
        </w:rPr>
        <w:t xml:space="preserve">is </w:t>
      </w:r>
      <w:r w:rsidR="008864FF" w:rsidRPr="00572535">
        <w:rPr>
          <w:rFonts w:ascii="Arial" w:hAnsi="Arial" w:cs="Arial"/>
          <w:sz w:val="20"/>
          <w:szCs w:val="20"/>
        </w:rPr>
        <w:t>allowed to receive data while in the NTZ</w:t>
      </w:r>
      <w:r w:rsidR="008864FF" w:rsidRPr="001516D0">
        <w:rPr>
          <w:rFonts w:ascii="Arial" w:hAnsi="Arial" w:cs="Arial"/>
          <w:sz w:val="20"/>
          <w:szCs w:val="20"/>
        </w:rPr>
        <w:t xml:space="preserve"> in the protected frequency band(s), or is the NTZ restriction applicable to both downlink and uplink?</w:t>
      </w:r>
    </w:p>
    <w:p w14:paraId="3D7C82DB" w14:textId="3D217205" w:rsidR="00EC27EE" w:rsidRPr="008864FF" w:rsidRDefault="00EC27EE" w:rsidP="008864FF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1516D0">
        <w:rPr>
          <w:rFonts w:ascii="Arial" w:hAnsi="Arial" w:cs="Arial"/>
          <w:lang w:val="en-US"/>
        </w:rPr>
        <w:t>Cellular coverage in areas where an NTZ is located may include large</w:t>
      </w:r>
      <w:r w:rsidRPr="008864FF">
        <w:rPr>
          <w:rFonts w:ascii="Arial" w:hAnsi="Arial" w:cs="Arial"/>
          <w:lang w:val="en-US"/>
        </w:rPr>
        <w:t xml:space="preserve"> cells overlapping with the NTZ. </w:t>
      </w:r>
      <w:r w:rsidR="00B36186" w:rsidRPr="008864FF">
        <w:rPr>
          <w:rFonts w:ascii="Arial" w:hAnsi="Arial" w:cs="Arial"/>
          <w:lang w:val="en-US"/>
        </w:rPr>
        <w:t xml:space="preserve"> What is the expectation from the UEs </w:t>
      </w:r>
      <w:r w:rsidR="00F97E8B">
        <w:rPr>
          <w:rFonts w:ascii="Arial" w:hAnsi="Arial" w:cs="Arial"/>
          <w:lang w:val="en-US"/>
        </w:rPr>
        <w:t xml:space="preserve">behavior </w:t>
      </w:r>
      <w:r w:rsidR="00B36186" w:rsidRPr="008864FF">
        <w:rPr>
          <w:rFonts w:ascii="Arial" w:hAnsi="Arial" w:cs="Arial"/>
          <w:lang w:val="en-US"/>
        </w:rPr>
        <w:t>in relation to the NTZ(s), if any?</w:t>
      </w:r>
    </w:p>
    <w:p w14:paraId="7B2DF3E8" w14:textId="76D61221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sectPr w:rsidR="006770EC" w:rsidSect="0021262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3B82" w14:textId="77777777" w:rsidR="00212622" w:rsidRDefault="00212622">
      <w:r>
        <w:separator/>
      </w:r>
    </w:p>
  </w:endnote>
  <w:endnote w:type="continuationSeparator" w:id="0">
    <w:p w14:paraId="38941DE3" w14:textId="77777777" w:rsidR="00212622" w:rsidRDefault="0021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B987E" w14:textId="77777777" w:rsidR="00212622" w:rsidRDefault="00212622">
      <w:r>
        <w:separator/>
      </w:r>
    </w:p>
  </w:footnote>
  <w:footnote w:type="continuationSeparator" w:id="0">
    <w:p w14:paraId="3C8CD064" w14:textId="77777777" w:rsidR="00212622" w:rsidRDefault="00212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516D0"/>
    <w:rsid w:val="0015666B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2622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E2BF0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2535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33C9"/>
    <w:rsid w:val="006E5E5B"/>
    <w:rsid w:val="006E7523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D64B3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0B31"/>
    <w:rsid w:val="0082444C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9C9"/>
    <w:rsid w:val="008864FF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218B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2F3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0D9E"/>
    <w:rsid w:val="00A222AC"/>
    <w:rsid w:val="00A31558"/>
    <w:rsid w:val="00A31972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66827"/>
    <w:rsid w:val="00B74B4C"/>
    <w:rsid w:val="00B81AA1"/>
    <w:rsid w:val="00BA29CD"/>
    <w:rsid w:val="00BA6773"/>
    <w:rsid w:val="00BA6A05"/>
    <w:rsid w:val="00BB1D5B"/>
    <w:rsid w:val="00BC098A"/>
    <w:rsid w:val="00BC18A5"/>
    <w:rsid w:val="00BC74C9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2531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4A7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528E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D525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D525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2002-04-23T08:10:00Z</cp:lastPrinted>
  <dcterms:created xsi:type="dcterms:W3CDTF">2024-01-30T03:20:00Z</dcterms:created>
  <dcterms:modified xsi:type="dcterms:W3CDTF">2024-02-28T17:53:00Z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