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C53" w:rsidRPr="00661C65" w:rsidRDefault="00825C53" w:rsidP="001C4703">
      <w:pPr>
        <w:tabs>
          <w:tab w:val="left" w:pos="1800"/>
        </w:tabs>
        <w:rPr>
          <w:sz w:val="22"/>
          <w:szCs w:val="22"/>
        </w:rPr>
      </w:pPr>
      <w:r w:rsidRPr="00661C65">
        <w:rPr>
          <w:b/>
          <w:sz w:val="22"/>
          <w:szCs w:val="22"/>
        </w:rPr>
        <w:t>Source:</w:t>
      </w:r>
      <w:r w:rsidRPr="00661C65">
        <w:rPr>
          <w:sz w:val="22"/>
          <w:szCs w:val="22"/>
        </w:rPr>
        <w:t xml:space="preserve"> </w:t>
      </w:r>
      <w:r w:rsidRPr="00661C65">
        <w:rPr>
          <w:sz w:val="22"/>
          <w:szCs w:val="22"/>
        </w:rPr>
        <w:tab/>
      </w:r>
      <w:proofErr w:type="spellStart"/>
      <w:r w:rsidR="000812A5">
        <w:rPr>
          <w:sz w:val="22"/>
          <w:szCs w:val="22"/>
        </w:rPr>
        <w:t>Semtech</w:t>
      </w:r>
      <w:proofErr w:type="spellEnd"/>
      <w:r w:rsidR="00E560CE">
        <w:rPr>
          <w:sz w:val="22"/>
          <w:szCs w:val="22"/>
        </w:rPr>
        <w:t xml:space="preserve"> Neuchatel SA</w:t>
      </w:r>
    </w:p>
    <w:p w:rsidR="00825C53" w:rsidRDefault="00825C53" w:rsidP="001C4703">
      <w:pPr>
        <w:tabs>
          <w:tab w:val="left" w:pos="1800"/>
        </w:tabs>
        <w:ind w:left="658" w:hangingChars="298" w:hanging="658"/>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E560CE">
        <w:rPr>
          <w:sz w:val="22"/>
          <w:szCs w:val="22"/>
        </w:rPr>
        <w:t>Chirp Spread Spectrum based synchronization</w:t>
      </w:r>
      <w:r w:rsidR="00F10071">
        <w:rPr>
          <w:sz w:val="22"/>
          <w:szCs w:val="22"/>
        </w:rPr>
        <w:t xml:space="preserve"> </w:t>
      </w:r>
    </w:p>
    <w:p w:rsidR="0098008C" w:rsidRPr="0098008C" w:rsidRDefault="0098008C" w:rsidP="001C4703">
      <w:pPr>
        <w:tabs>
          <w:tab w:val="left" w:pos="1800"/>
        </w:tabs>
        <w:ind w:left="658" w:hangingChars="298" w:hanging="658"/>
        <w:rPr>
          <w:sz w:val="22"/>
          <w:szCs w:val="22"/>
        </w:rPr>
      </w:pPr>
      <w:r w:rsidRPr="00014384">
        <w:rPr>
          <w:b/>
          <w:sz w:val="22"/>
          <w:szCs w:val="22"/>
        </w:rPr>
        <w:t>Agenda:</w:t>
      </w:r>
      <w:r w:rsidRPr="00014384">
        <w:rPr>
          <w:sz w:val="22"/>
          <w:szCs w:val="22"/>
        </w:rPr>
        <w:tab/>
      </w:r>
      <w:r w:rsidR="000812A5">
        <w:rPr>
          <w:szCs w:val="22"/>
        </w:rPr>
        <w:t>1.4.2.6</w:t>
      </w:r>
    </w:p>
    <w:p w:rsidR="009A2998" w:rsidRPr="0044681B" w:rsidRDefault="00825C53" w:rsidP="0044681B">
      <w:pPr>
        <w:tabs>
          <w:tab w:val="left" w:pos="1800"/>
        </w:tabs>
        <w:rPr>
          <w:sz w:val="22"/>
          <w:szCs w:val="22"/>
        </w:rPr>
      </w:pPr>
      <w:r w:rsidRPr="00661C65">
        <w:t>Document for:</w:t>
      </w:r>
      <w:r w:rsidRPr="00661C65">
        <w:tab/>
      </w:r>
      <w:bookmarkStart w:id="0" w:name="DocumentFor"/>
      <w:bookmarkEnd w:id="0"/>
      <w:r w:rsidR="00F70802">
        <w:t>Discussion</w:t>
      </w:r>
    </w:p>
    <w:p w:rsidR="0044681B" w:rsidRDefault="0005379D" w:rsidP="0005379D">
      <w:pPr>
        <w:pStyle w:val="Heading1"/>
      </w:pPr>
      <w:r>
        <w:t>Introduction</w:t>
      </w:r>
    </w:p>
    <w:p w:rsidR="00E560CE" w:rsidRPr="009E12D1" w:rsidRDefault="00E560CE" w:rsidP="00E560CE">
      <w:pPr>
        <w:spacing w:after="120"/>
      </w:pPr>
      <w:r>
        <w:t xml:space="preserve">At GERAN#62, a new SI </w:t>
      </w:r>
      <w:r>
        <w:fldChar w:fldCharType="begin"/>
      </w:r>
      <w:r>
        <w:instrText xml:space="preserve"> REF _Ref412231521 \r \h  \* MERGEFORMAT </w:instrText>
      </w:r>
      <w:r>
        <w:fldChar w:fldCharType="separate"/>
      </w:r>
      <w:r>
        <w:t>[1]</w:t>
      </w:r>
      <w:r>
        <w:fldChar w:fldCharType="end"/>
      </w:r>
      <w:r>
        <w:t xml:space="preserve"> was approved to study cellular support for ultra-low complexity and low throughput </w:t>
      </w:r>
      <w:proofErr w:type="spellStart"/>
      <w:r>
        <w:t>IoT</w:t>
      </w:r>
      <w:proofErr w:type="spellEnd"/>
      <w:r>
        <w:t xml:space="preserve">. One of the objectives of the study is to achieve 10 year battery life from a 5 </w:t>
      </w:r>
      <w:proofErr w:type="spellStart"/>
      <w:proofErr w:type="gramStart"/>
      <w:r>
        <w:t>Wh</w:t>
      </w:r>
      <w:proofErr w:type="spellEnd"/>
      <w:proofErr w:type="gramEnd"/>
      <w:r>
        <w:t xml:space="preserve"> capacity battery based on the traffic models defined in </w:t>
      </w:r>
      <w:r>
        <w:rPr>
          <w:bCs/>
        </w:rPr>
        <w:fldChar w:fldCharType="begin"/>
      </w:r>
      <w:r>
        <w:rPr>
          <w:bCs/>
        </w:rPr>
        <w:instrText xml:space="preserve"> REF _Ref412297064 \r \h  \* MERGEFORMAT </w:instrText>
      </w:r>
      <w:r>
        <w:rPr>
          <w:bCs/>
        </w:rPr>
      </w:r>
      <w:r>
        <w:rPr>
          <w:bCs/>
        </w:rPr>
        <w:fldChar w:fldCharType="separate"/>
      </w:r>
      <w:r>
        <w:rPr>
          <w:bCs/>
        </w:rPr>
        <w:t>[2]</w:t>
      </w:r>
      <w:r>
        <w:rPr>
          <w:bCs/>
        </w:rPr>
        <w:fldChar w:fldCharType="end"/>
      </w:r>
      <w:r>
        <w:t xml:space="preserve">. In this contribution, we discuss a chirp based beacon, broadcasted by all stations, so as to allow fast frequency synchronization which is </w:t>
      </w:r>
      <w:proofErr w:type="gramStart"/>
      <w:r>
        <w:t>key</w:t>
      </w:r>
      <w:proofErr w:type="gramEnd"/>
      <w:r>
        <w:t xml:space="preserve"> to power savings. </w:t>
      </w:r>
    </w:p>
    <w:p w:rsidR="00E560CE" w:rsidRDefault="00E560CE" w:rsidP="00E560CE">
      <w:pPr>
        <w:pStyle w:val="Heading1"/>
        <w:jc w:val="both"/>
      </w:pPr>
      <w:r>
        <w:t>Chirp spread spectrum based beacon</w:t>
      </w:r>
    </w:p>
    <w:p w:rsidR="00E560CE" w:rsidRDefault="00E560CE" w:rsidP="00E560CE">
      <w:r>
        <w:t>The downlink in the combined CSS and narrow band proposal includes an overlaid spread-spectrum beacon for fast MS frequency and timing acquisition. The beacon’s 3dB bandwidth BW=</w:t>
      </w:r>
      <w:proofErr w:type="gramStart"/>
      <w:r>
        <w:t>125kHz</w:t>
      </w:r>
      <w:proofErr w:type="gramEnd"/>
      <w:r>
        <w:t xml:space="preserve">, centered in the middle of the 200kHz downlink block. The transmit power of this beacon is set to be 7dB under the maximum aggregated downlink power of the overlaid sub-channels using the same spectrum, as can be seen in </w:t>
      </w:r>
      <w:r>
        <w:fldChar w:fldCharType="begin"/>
      </w:r>
      <w:r>
        <w:instrText xml:space="preserve"> REF _Ref416728474 \h </w:instrText>
      </w:r>
      <w:r>
        <w:fldChar w:fldCharType="separate"/>
      </w:r>
      <w:r>
        <w:t xml:space="preserve">Figure </w:t>
      </w:r>
      <w:r>
        <w:rPr>
          <w:noProof/>
        </w:rPr>
        <w:t>1</w:t>
      </w:r>
      <w:r>
        <w:fldChar w:fldCharType="end"/>
      </w:r>
      <w:r>
        <w:t xml:space="preserve"> below. 7dB below the maximum aggregated power also means 3dB stronger than each individual narrow band channel: we define 28 channels, each of which are allocated 34dBm but with only half being used at a given instant. Total downlink power is 34+10*</w:t>
      </w:r>
      <w:proofErr w:type="gramStart"/>
      <w:r>
        <w:t>log10(</w:t>
      </w:r>
      <w:proofErr w:type="gramEnd"/>
      <w:r>
        <w:t xml:space="preserve">28/2)  = 45.5dBm </w:t>
      </w:r>
    </w:p>
    <w:p w:rsidR="00E560CE" w:rsidRDefault="00E560CE" w:rsidP="00E560CE">
      <w:r>
        <w:rPr>
          <w:noProof/>
          <w:lang w:eastAsia="en-US"/>
        </w:rPr>
        <w:drawing>
          <wp:inline distT="0" distB="0" distL="0" distR="0" wp14:anchorId="74B1E982" wp14:editId="685805C1">
            <wp:extent cx="3491920" cy="280519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93685" cy="2806611"/>
                    </a:xfrm>
                    <a:prstGeom prst="rect">
                      <a:avLst/>
                    </a:prstGeom>
                  </pic:spPr>
                </pic:pic>
              </a:graphicData>
            </a:graphic>
          </wp:inline>
        </w:drawing>
      </w:r>
    </w:p>
    <w:p w:rsidR="00E560CE" w:rsidRDefault="00E560CE" w:rsidP="00E560CE">
      <w:pPr>
        <w:pStyle w:val="Caption"/>
      </w:pPr>
      <w:bookmarkStart w:id="1" w:name="_Ref416728474"/>
      <w:r>
        <w:t xml:space="preserve">Figure </w:t>
      </w:r>
      <w:r>
        <w:fldChar w:fldCharType="begin"/>
      </w:r>
      <w:r>
        <w:instrText xml:space="preserve"> SEQ Figure \* ARABIC </w:instrText>
      </w:r>
      <w:r>
        <w:fldChar w:fldCharType="separate"/>
      </w:r>
      <w:r w:rsidR="008514E5">
        <w:rPr>
          <w:noProof/>
        </w:rPr>
        <w:t>1</w:t>
      </w:r>
      <w:r>
        <w:fldChar w:fldCharType="end"/>
      </w:r>
      <w:bookmarkEnd w:id="1"/>
      <w:r>
        <w:t>: overlaid CSS signal</w:t>
      </w:r>
    </w:p>
    <w:p w:rsidR="00E560CE" w:rsidRDefault="00E560CE" w:rsidP="00E560CE"/>
    <w:p w:rsidR="00E560CE" w:rsidRDefault="00E560CE" w:rsidP="00E560CE"/>
    <w:p w:rsidR="00E560CE" w:rsidRDefault="00E560CE" w:rsidP="00E560CE"/>
    <w:p w:rsidR="00E560CE" w:rsidRDefault="00E560CE" w:rsidP="00E560CE">
      <w:r>
        <w:lastRenderedPageBreak/>
        <w:t xml:space="preserve">The beacon consists in a positive slope chirp added to a negative slope chirp. The </w:t>
      </w:r>
      <w:proofErr w:type="spellStart"/>
      <w:r>
        <w:t>sloples</w:t>
      </w:r>
      <w:proofErr w:type="spellEnd"/>
      <w:r>
        <w:t xml:space="preserve"> absolute values are </w:t>
      </w:r>
      <w:proofErr w:type="gramStart"/>
      <w:r>
        <w:t>equal,</w:t>
      </w:r>
      <w:proofErr w:type="gramEnd"/>
      <w:r>
        <w:t xml:space="preserve"> this results in a real valued signal. Noting </w:t>
      </w:r>
      <m:oMath>
        <m:r>
          <w:rPr>
            <w:rFonts w:ascii="Cambria Math" w:eastAsiaTheme="minorEastAsia" w:hAnsi="Cambria Math"/>
          </w:rPr>
          <m:t xml:space="preserve">Ts= </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SF</m:t>
                </m:r>
              </m:sup>
            </m:sSup>
          </m:num>
          <m:den>
            <m:r>
              <w:rPr>
                <w:rFonts w:ascii="Cambria Math" w:eastAsiaTheme="minorEastAsia" w:hAnsi="Cambria Math"/>
              </w:rPr>
              <m:t>BW</m:t>
            </m:r>
          </m:den>
        </m:f>
      </m:oMath>
      <w:r>
        <w:rPr>
          <w:rFonts w:eastAsiaTheme="minorEastAsia"/>
        </w:rPr>
        <w:t xml:space="preserve">   :</w:t>
      </w:r>
    </w:p>
    <w:p w:rsidR="00E560CE" w:rsidRDefault="00E560CE" w:rsidP="00E560CE">
      <w:r>
        <w:t xml:space="preserve">  </w:t>
      </w:r>
      <w:proofErr w:type="gramStart"/>
      <w:r>
        <w:t>s(</w:t>
      </w:r>
      <w:proofErr w:type="gramEnd"/>
      <w:r>
        <w:t xml:space="preserve">t) = </w:t>
      </w:r>
      <m:oMath>
        <m:sSup>
          <m:sSupPr>
            <m:ctrlPr>
              <w:rPr>
                <w:rFonts w:ascii="Cambria Math" w:hAnsi="Cambria Math"/>
                <w:i/>
              </w:rPr>
            </m:ctrlPr>
          </m:sSupPr>
          <m:e>
            <m:r>
              <w:rPr>
                <w:rFonts w:ascii="Cambria Math" w:hAnsi="Cambria Math"/>
              </w:rPr>
              <m:t>e</m:t>
            </m:r>
          </m:e>
          <m:sup>
            <m:r>
              <w:rPr>
                <w:rFonts w:ascii="Cambria Math" w:hAnsi="Cambria Math"/>
              </w:rPr>
              <m:t>-i.π.BW.</m:t>
            </m:r>
            <m:d>
              <m:dPr>
                <m:ctrlPr>
                  <w:rPr>
                    <w:rFonts w:ascii="Cambria Math" w:hAnsi="Cambria Math"/>
                    <w:i/>
                  </w:rPr>
                </m:ctrlPr>
              </m:dPr>
              <m:e>
                <m:r>
                  <w:rPr>
                    <w:rFonts w:ascii="Cambria Math" w:hAnsi="Cambria Math"/>
                  </w:rPr>
                  <m:t>t-</m:t>
                </m:r>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Ts</m:t>
                    </m:r>
                  </m:den>
                </m:f>
              </m:e>
            </m:d>
          </m:sup>
        </m:sSup>
      </m:oMath>
      <w:r>
        <w:rPr>
          <w:rFonts w:eastAsiaTheme="minorEastAsia"/>
        </w:rPr>
        <w:t xml:space="preserve"> + </w:t>
      </w:r>
      <m:oMath>
        <m:sSup>
          <m:sSupPr>
            <m:ctrlPr>
              <w:rPr>
                <w:rFonts w:ascii="Cambria Math" w:hAnsi="Cambria Math"/>
                <w:i/>
              </w:rPr>
            </m:ctrlPr>
          </m:sSupPr>
          <m:e>
            <m:r>
              <w:rPr>
                <w:rFonts w:ascii="Cambria Math" w:hAnsi="Cambria Math"/>
              </w:rPr>
              <m:t>e</m:t>
            </m:r>
          </m:e>
          <m:sup>
            <m:r>
              <w:rPr>
                <w:rFonts w:ascii="Cambria Math" w:hAnsi="Cambria Math"/>
              </w:rPr>
              <m:t>+i.π.BW.</m:t>
            </m:r>
            <m:d>
              <m:dPr>
                <m:ctrlPr>
                  <w:rPr>
                    <w:rFonts w:ascii="Cambria Math" w:hAnsi="Cambria Math"/>
                    <w:i/>
                  </w:rPr>
                </m:ctrlPr>
              </m:dPr>
              <m:e>
                <m:r>
                  <w:rPr>
                    <w:rFonts w:ascii="Cambria Math" w:hAnsi="Cambria Math"/>
                  </w:rPr>
                  <m:t>t-</m:t>
                </m:r>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Ts</m:t>
                    </m:r>
                  </m:den>
                </m:f>
              </m:e>
            </m:d>
          </m:sup>
        </m:sSup>
      </m:oMath>
      <w:r>
        <w:rPr>
          <w:rFonts w:eastAsiaTheme="minorEastAsia"/>
        </w:rPr>
        <w:t>=</w:t>
      </w:r>
      <m:oMath>
        <m:r>
          <m:rPr>
            <m:sty m:val="p"/>
          </m:rPr>
          <w:rPr>
            <w:rFonts w:ascii="Cambria Math" w:eastAsiaTheme="minorEastAsia" w:hAnsi="Cambria Math"/>
          </w:rPr>
          <m:t>cos⁡</m:t>
        </m:r>
        <m:r>
          <w:rPr>
            <w:rFonts w:ascii="Cambria Math" w:eastAsiaTheme="minorEastAsia" w:hAnsi="Cambria Math"/>
          </w:rPr>
          <m:t>(</m:t>
        </m:r>
        <m:r>
          <w:rPr>
            <w:rFonts w:ascii="Cambria Math" w:hAnsi="Cambria Math"/>
          </w:rPr>
          <m:t>i.π.BW.</m:t>
        </m:r>
        <m:d>
          <m:dPr>
            <m:ctrlPr>
              <w:rPr>
                <w:rFonts w:ascii="Cambria Math" w:hAnsi="Cambria Math"/>
                <w:i/>
              </w:rPr>
            </m:ctrlPr>
          </m:dPr>
          <m:e>
            <m:r>
              <w:rPr>
                <w:rFonts w:ascii="Cambria Math" w:hAnsi="Cambria Math"/>
              </w:rPr>
              <m:t>t-</m:t>
            </m:r>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Ts</m:t>
                </m:r>
              </m:den>
            </m:f>
          </m:e>
        </m:d>
        <m:r>
          <w:rPr>
            <w:rFonts w:ascii="Cambria Math" w:hAnsi="Cambria Math"/>
          </w:rPr>
          <m:t>)</m:t>
        </m:r>
      </m:oMath>
    </w:p>
    <w:p w:rsidR="00E560CE" w:rsidRDefault="00E560CE" w:rsidP="00E560CE">
      <w:r>
        <w:t xml:space="preserve"> We set SF to 9, so symbol is 512 samples long or 4ms. </w:t>
      </w:r>
    </w:p>
    <w:p w:rsidR="00E560CE" w:rsidRDefault="00E560CE" w:rsidP="00E560CE">
      <w:r>
        <w:t xml:space="preserve">The beacon carries no information, all base stations broadcast continuously and simultaneously the beacon on the same frequency, at a low power. The presence of this beacon within a </w:t>
      </w:r>
      <w:proofErr w:type="gramStart"/>
      <w:r>
        <w:t>200KHz</w:t>
      </w:r>
      <w:proofErr w:type="gramEnd"/>
      <w:r>
        <w:t xml:space="preserve"> channel indicates a clean slate modulation is present. </w:t>
      </w:r>
    </w:p>
    <w:p w:rsidR="00E560CE" w:rsidRDefault="00E560CE" w:rsidP="00E560CE"/>
    <w:p w:rsidR="00E560CE" w:rsidRDefault="00E560CE" w:rsidP="00E560CE">
      <w:pPr>
        <w:pStyle w:val="Heading1"/>
        <w:jc w:val="both"/>
      </w:pPr>
      <w:r>
        <w:t>Synchronization principle</w:t>
      </w:r>
    </w:p>
    <w:p w:rsidR="00E560CE" w:rsidRDefault="00E560CE" w:rsidP="00E560CE">
      <w:r>
        <w:t xml:space="preserve">The reception principle of the beacon is FFT based. Received signal is </w:t>
      </w:r>
      <w:proofErr w:type="spellStart"/>
      <w:r>
        <w:t>splitted</w:t>
      </w:r>
      <w:proofErr w:type="spellEnd"/>
      <w:r>
        <w:t xml:space="preserve"> in windows of </w:t>
      </w:r>
      <w:proofErr w:type="spellStart"/>
      <w:r>
        <w:t>Ts</w:t>
      </w:r>
      <w:proofErr w:type="spellEnd"/>
      <w:r>
        <w:t xml:space="preserve"> length. Windows don’t need to overlap, but performance is slightly higher with 50% overlapping. On each window, the received signal is multiplied by the complex conjugate of the positive or negative chirp, </w:t>
      </w:r>
      <w:proofErr w:type="gramStart"/>
      <w:r>
        <w:t>then</w:t>
      </w:r>
      <w:proofErr w:type="gramEnd"/>
      <w:r>
        <w:t xml:space="preserve"> FFT is applied. The position of the FFT output peak is proportional to the sum of frequency offset and time offset (phase of window vs transmitted symbol), and in the case of “down chirp” to the difference of them. This way, by computing 2 FFTs, we can derive both a frequency error estimate and a timing error estimate</w:t>
      </w:r>
      <w:r w:rsidR="008514E5">
        <w:t xml:space="preserve">, this is illustrated on </w:t>
      </w:r>
      <w:r w:rsidR="008514E5">
        <w:fldChar w:fldCharType="begin"/>
      </w:r>
      <w:r w:rsidR="008514E5">
        <w:instrText xml:space="preserve"> REF _Ref416818579 \h </w:instrText>
      </w:r>
      <w:r w:rsidR="008514E5">
        <w:fldChar w:fldCharType="separate"/>
      </w:r>
      <w:r w:rsidR="008514E5">
        <w:t xml:space="preserve">Figure </w:t>
      </w:r>
      <w:r w:rsidR="008514E5">
        <w:rPr>
          <w:noProof/>
        </w:rPr>
        <w:t>2</w:t>
      </w:r>
      <w:r w:rsidR="008514E5">
        <w:fldChar w:fldCharType="end"/>
      </w:r>
      <w:proofErr w:type="gramStart"/>
      <w:r w:rsidR="008514E5">
        <w:t>,</w:t>
      </w:r>
      <w:proofErr w:type="gramEnd"/>
      <w:r w:rsidR="008514E5">
        <w:fldChar w:fldCharType="begin"/>
      </w:r>
      <w:r w:rsidR="008514E5">
        <w:instrText xml:space="preserve"> REF _Ref416818584 \h </w:instrText>
      </w:r>
      <w:r w:rsidR="008514E5">
        <w:fldChar w:fldCharType="separate"/>
      </w:r>
      <w:r w:rsidR="008514E5">
        <w:t xml:space="preserve">Figure </w:t>
      </w:r>
      <w:r w:rsidR="008514E5">
        <w:rPr>
          <w:noProof/>
        </w:rPr>
        <w:t>3</w:t>
      </w:r>
      <w:r w:rsidR="008514E5">
        <w:fldChar w:fldCharType="end"/>
      </w:r>
      <w:r w:rsidR="008514E5">
        <w:t xml:space="preserve"> and </w:t>
      </w:r>
      <w:r w:rsidR="008514E5">
        <w:fldChar w:fldCharType="begin"/>
      </w:r>
      <w:r w:rsidR="008514E5">
        <w:instrText xml:space="preserve"> REF _Ref416818586 \h </w:instrText>
      </w:r>
      <w:r w:rsidR="008514E5">
        <w:fldChar w:fldCharType="separate"/>
      </w:r>
      <w:r w:rsidR="008514E5">
        <w:t xml:space="preserve">Figure </w:t>
      </w:r>
      <w:r w:rsidR="008514E5">
        <w:rPr>
          <w:noProof/>
        </w:rPr>
        <w:t>4</w:t>
      </w:r>
      <w:r w:rsidR="008514E5">
        <w:fldChar w:fldCharType="end"/>
      </w:r>
      <w:r w:rsidR="008514E5">
        <w:t xml:space="preserve"> below</w:t>
      </w:r>
      <w:bookmarkStart w:id="2" w:name="_GoBack"/>
      <w:bookmarkEnd w:id="2"/>
      <w:r>
        <w:t xml:space="preserve">. The maximum acceptable frequency error is BW/4, which corresponds to a+/-30PPM range. In the performance evaluation we sum 8 windows together for this. Then, fine frequency synchronization is performed on frequency and time aligned windows, looking at the phase drift of FFT output peak, such peak being then at or close to FFT bin 0. </w:t>
      </w:r>
    </w:p>
    <w:p w:rsidR="008514E5" w:rsidRDefault="008514E5" w:rsidP="00E560CE">
      <w:r>
        <w:rPr>
          <w:noProof/>
          <w:lang w:eastAsia="en-US"/>
        </w:rPr>
        <w:drawing>
          <wp:inline distT="0" distB="0" distL="0" distR="0" wp14:anchorId="369D03D0" wp14:editId="40A814AF">
            <wp:extent cx="2819400" cy="120288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1245" cy="1203668"/>
                    </a:xfrm>
                    <a:prstGeom prst="rect">
                      <a:avLst/>
                    </a:prstGeom>
                    <a:noFill/>
                  </pic:spPr>
                </pic:pic>
              </a:graphicData>
            </a:graphic>
          </wp:inline>
        </w:drawing>
      </w:r>
    </w:p>
    <w:p w:rsidR="008514E5" w:rsidRDefault="008514E5" w:rsidP="008514E5">
      <w:pPr>
        <w:pStyle w:val="Caption"/>
      </w:pPr>
      <w:bookmarkStart w:id="3" w:name="_Ref416818579"/>
      <w:r>
        <w:t xml:space="preserve">Figure </w:t>
      </w:r>
      <w:r>
        <w:fldChar w:fldCharType="begin"/>
      </w:r>
      <w:r>
        <w:instrText xml:space="preserve"> SEQ Figure \* ARABIC </w:instrText>
      </w:r>
      <w:r>
        <w:fldChar w:fldCharType="separate"/>
      </w:r>
      <w:r>
        <w:rPr>
          <w:noProof/>
        </w:rPr>
        <w:t>2</w:t>
      </w:r>
      <w:r>
        <w:fldChar w:fldCharType="end"/>
      </w:r>
      <w:bookmarkEnd w:id="3"/>
      <w:r>
        <w:t>: receiving window aligned in time and frequency</w:t>
      </w:r>
    </w:p>
    <w:p w:rsidR="008514E5" w:rsidRDefault="008514E5" w:rsidP="008514E5"/>
    <w:p w:rsidR="008514E5" w:rsidRDefault="008514E5" w:rsidP="008514E5">
      <w:r>
        <w:rPr>
          <w:noProof/>
          <w:lang w:eastAsia="en-US"/>
        </w:rPr>
        <w:drawing>
          <wp:inline distT="0" distB="0" distL="0" distR="0" wp14:anchorId="0B2E5A6A" wp14:editId="0C4F4A03">
            <wp:extent cx="2799854" cy="1194541"/>
            <wp:effectExtent l="0" t="0" r="63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3570" cy="1196126"/>
                    </a:xfrm>
                    <a:prstGeom prst="rect">
                      <a:avLst/>
                    </a:prstGeom>
                    <a:noFill/>
                  </pic:spPr>
                </pic:pic>
              </a:graphicData>
            </a:graphic>
          </wp:inline>
        </w:drawing>
      </w:r>
    </w:p>
    <w:p w:rsidR="008514E5" w:rsidRDefault="008514E5" w:rsidP="008514E5">
      <w:pPr>
        <w:pStyle w:val="Caption"/>
      </w:pPr>
      <w:bookmarkStart w:id="4" w:name="_Ref416818584"/>
      <w:r>
        <w:t xml:space="preserve">Figure </w:t>
      </w:r>
      <w:r>
        <w:fldChar w:fldCharType="begin"/>
      </w:r>
      <w:r>
        <w:instrText xml:space="preserve"> SEQ Figure \* ARABIC </w:instrText>
      </w:r>
      <w:r>
        <w:fldChar w:fldCharType="separate"/>
      </w:r>
      <w:r>
        <w:rPr>
          <w:noProof/>
        </w:rPr>
        <w:t>3</w:t>
      </w:r>
      <w:r>
        <w:fldChar w:fldCharType="end"/>
      </w:r>
      <w:bookmarkEnd w:id="4"/>
      <w:r>
        <w:t>: receiving window aligned in time, frequency offset has identical impact on up and down chirp reception</w:t>
      </w:r>
    </w:p>
    <w:p w:rsidR="008514E5" w:rsidRDefault="008514E5" w:rsidP="008514E5">
      <w:r>
        <w:rPr>
          <w:noProof/>
          <w:lang w:eastAsia="en-US"/>
        </w:rPr>
        <w:lastRenderedPageBreak/>
        <w:drawing>
          <wp:inline distT="0" distB="0" distL="0" distR="0" wp14:anchorId="58D6FCBA" wp14:editId="4AAA48C8">
            <wp:extent cx="2590741" cy="1105324"/>
            <wp:effectExtent l="0" t="0" r="63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1475" cy="1105637"/>
                    </a:xfrm>
                    <a:prstGeom prst="rect">
                      <a:avLst/>
                    </a:prstGeom>
                    <a:noFill/>
                  </pic:spPr>
                </pic:pic>
              </a:graphicData>
            </a:graphic>
          </wp:inline>
        </w:drawing>
      </w:r>
    </w:p>
    <w:p w:rsidR="008514E5" w:rsidRPr="008514E5" w:rsidRDefault="008514E5" w:rsidP="008514E5">
      <w:pPr>
        <w:pStyle w:val="Caption"/>
      </w:pPr>
      <w:bookmarkStart w:id="5" w:name="_Ref416818586"/>
      <w:r>
        <w:t xml:space="preserve">Figure </w:t>
      </w:r>
      <w:r>
        <w:fldChar w:fldCharType="begin"/>
      </w:r>
      <w:r>
        <w:instrText xml:space="preserve"> SEQ Figure \* ARABIC </w:instrText>
      </w:r>
      <w:r>
        <w:fldChar w:fldCharType="separate"/>
      </w:r>
      <w:r>
        <w:rPr>
          <w:noProof/>
        </w:rPr>
        <w:t>4</w:t>
      </w:r>
      <w:r>
        <w:fldChar w:fldCharType="end"/>
      </w:r>
      <w:bookmarkEnd w:id="5"/>
      <w:r>
        <w:t xml:space="preserve">: receiving window </w:t>
      </w:r>
      <w:proofErr w:type="spellStart"/>
      <w:r>
        <w:t>mis</w:t>
      </w:r>
      <w:proofErr w:type="spellEnd"/>
      <w:r>
        <w:t xml:space="preserve"> aligned in frequency and time. Timing error has opposite effect on up vs down chirp reception.</w:t>
      </w:r>
    </w:p>
    <w:p w:rsidR="00E560CE" w:rsidRDefault="00E560CE" w:rsidP="00E560CE"/>
    <w:p w:rsidR="00E560CE" w:rsidRPr="009E12D1" w:rsidRDefault="00E560CE" w:rsidP="00E560CE">
      <w:pPr>
        <w:pStyle w:val="Heading1"/>
        <w:jc w:val="both"/>
      </w:pPr>
      <w:r>
        <w:t>Channel assumptions</w:t>
      </w:r>
    </w:p>
    <w:p w:rsidR="00E560CE" w:rsidRDefault="00E560CE" w:rsidP="00E560CE">
      <w:r>
        <w:t xml:space="preserve">Since the beacon is broadcasted by all base stations simultaneously, we tried to model the resulting channel to carry link level simulations without explicitly simulating all base stations. </w:t>
      </w:r>
    </w:p>
    <w:p w:rsidR="00E560CE" w:rsidRDefault="00E560CE" w:rsidP="00E560CE">
      <w:r>
        <w:t xml:space="preserve">This is done using a simulation with 19 sites, 3 sectors per site, and usual path loss model. A number of endpoints are randomly simulated with random positions and attenuations to cells. Then, the averaged power delay profile is computed over the nodes. </w:t>
      </w:r>
      <w:r>
        <w:rPr>
          <w:noProof/>
        </w:rPr>
        <w:t xml:space="preserve">The result is shown on </w:t>
      </w:r>
      <w:r>
        <w:rPr>
          <w:noProof/>
        </w:rPr>
        <w:fldChar w:fldCharType="begin"/>
      </w:r>
      <w:r>
        <w:rPr>
          <w:noProof/>
        </w:rPr>
        <w:instrText xml:space="preserve"> REF _Ref416728164 \h </w:instrText>
      </w:r>
      <w:r>
        <w:rPr>
          <w:noProof/>
        </w:rPr>
      </w:r>
      <w:r>
        <w:rPr>
          <w:noProof/>
        </w:rPr>
        <w:fldChar w:fldCharType="separate"/>
      </w:r>
      <w:r>
        <w:t xml:space="preserve">Figure </w:t>
      </w:r>
      <w:r>
        <w:rPr>
          <w:noProof/>
        </w:rPr>
        <w:t>1</w:t>
      </w:r>
      <w:r>
        <w:rPr>
          <w:noProof/>
        </w:rPr>
        <w:fldChar w:fldCharType="end"/>
      </w:r>
      <w:r>
        <w:rPr>
          <w:noProof/>
        </w:rPr>
        <w:t xml:space="preserve"> below, the null delay corresponds to the strongest cell</w:t>
      </w:r>
      <w:r>
        <w:t xml:space="preserve">. The average is either for all the nodes, or the 10% worst considering </w:t>
      </w:r>
      <w:proofErr w:type="spellStart"/>
      <w:r>
        <w:t>rms</w:t>
      </w:r>
      <w:proofErr w:type="spellEnd"/>
      <w:r>
        <w:t xml:space="preserve"> delay spread. </w:t>
      </w:r>
    </w:p>
    <w:p w:rsidR="00E560CE" w:rsidRDefault="00E560CE" w:rsidP="00E560CE">
      <w:pPr>
        <w:pStyle w:val="ListParagraph"/>
        <w:ind w:left="360"/>
      </w:pPr>
    </w:p>
    <w:p w:rsidR="00E560CE" w:rsidRDefault="00E560CE" w:rsidP="00E560CE">
      <w:pPr>
        <w:pStyle w:val="ListParagraph"/>
        <w:ind w:left="360"/>
      </w:pPr>
      <w:r>
        <w:rPr>
          <w:noProof/>
        </w:rPr>
        <w:drawing>
          <wp:inline distT="0" distB="0" distL="0" distR="0" wp14:anchorId="43D7FDF6" wp14:editId="50369544">
            <wp:extent cx="2895233" cy="2145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5939" cy="2146098"/>
                    </a:xfrm>
                    <a:prstGeom prst="rect">
                      <a:avLst/>
                    </a:prstGeom>
                    <a:noFill/>
                    <a:ln>
                      <a:noFill/>
                    </a:ln>
                  </pic:spPr>
                </pic:pic>
              </a:graphicData>
            </a:graphic>
          </wp:inline>
        </w:drawing>
      </w:r>
    </w:p>
    <w:p w:rsidR="00E560CE" w:rsidRDefault="00E560CE" w:rsidP="00E560CE">
      <w:pPr>
        <w:pStyle w:val="Caption"/>
      </w:pPr>
      <w:bookmarkStart w:id="6" w:name="_Ref416728164"/>
      <w:r>
        <w:t xml:space="preserve">Figure </w:t>
      </w:r>
      <w:r>
        <w:fldChar w:fldCharType="begin"/>
      </w:r>
      <w:r>
        <w:instrText xml:space="preserve"> SEQ Figure \* ARABIC </w:instrText>
      </w:r>
      <w:r>
        <w:fldChar w:fldCharType="separate"/>
      </w:r>
      <w:r w:rsidR="008514E5">
        <w:rPr>
          <w:noProof/>
        </w:rPr>
        <w:t>5</w:t>
      </w:r>
      <w:r>
        <w:fldChar w:fldCharType="end"/>
      </w:r>
      <w:bookmarkEnd w:id="6"/>
      <w:r>
        <w:t>: multiple cell downlink power delay profile without multipath</w:t>
      </w:r>
    </w:p>
    <w:p w:rsidR="00E560CE" w:rsidRDefault="00E560CE" w:rsidP="00E560CE">
      <w:pPr>
        <w:pStyle w:val="ListParagraph"/>
        <w:ind w:left="360"/>
      </w:pPr>
    </w:p>
    <w:p w:rsidR="00E560CE" w:rsidRDefault="00E560CE" w:rsidP="00E560CE">
      <w:pPr>
        <w:pStyle w:val="ListParagraph"/>
        <w:ind w:left="0"/>
      </w:pPr>
      <w:r>
        <w:t xml:space="preserve">Now that we have the direct path PDP, we can convolve this with TU channel model. Behind this method to evaluate the multiple cell TU channel, there is the assumption that channels from different base stations are independent. The resulting power delay profile is shown below on </w:t>
      </w:r>
      <w:r>
        <w:fldChar w:fldCharType="begin"/>
      </w:r>
      <w:r>
        <w:instrText xml:space="preserve"> REF _Ref416728506 \h </w:instrText>
      </w:r>
      <w:r>
        <w:fldChar w:fldCharType="separate"/>
      </w:r>
      <w:r>
        <w:t xml:space="preserve">Figure </w:t>
      </w:r>
      <w:r>
        <w:rPr>
          <w:noProof/>
        </w:rPr>
        <w:t>3</w:t>
      </w:r>
      <w:r>
        <w:fldChar w:fldCharType="end"/>
      </w:r>
      <w:proofErr w:type="gramStart"/>
      <w:r>
        <w:t>,</w:t>
      </w:r>
      <w:proofErr w:type="gramEnd"/>
      <w:r>
        <w:t xml:space="preserve"> we use the 10% worst curve. </w:t>
      </w:r>
    </w:p>
    <w:p w:rsidR="00E560CE" w:rsidRDefault="00E560CE" w:rsidP="00E560CE">
      <w:pPr>
        <w:pStyle w:val="ListParagraph"/>
        <w:ind w:left="0"/>
      </w:pPr>
      <w:r>
        <w:t xml:space="preserve">For Doppler model of paths, we don’t mix-up the 3 different models, as would be normally the case with convolution of path powers. Instead, we use a single </w:t>
      </w:r>
      <w:proofErr w:type="spellStart"/>
      <w:proofErr w:type="gramStart"/>
      <w:r>
        <w:t>doppler</w:t>
      </w:r>
      <w:proofErr w:type="spellEnd"/>
      <w:proofErr w:type="gramEnd"/>
      <w:r>
        <w:t xml:space="preserve"> model for each path, according to its delay, with same limits as in the TU model. </w:t>
      </w:r>
    </w:p>
    <w:p w:rsidR="00E560CE" w:rsidRDefault="00E560CE" w:rsidP="00E560CE">
      <w:pPr>
        <w:pStyle w:val="ListParagraph"/>
        <w:ind w:left="0"/>
      </w:pPr>
      <w:r>
        <w:lastRenderedPageBreak/>
        <w:t>We assumed that base stations were perfectly synchronized, which is optimistic but 1 microsecond is very easy to achieve, and is this 1 microsecond is much lower than the measured delay spread.</w:t>
      </w:r>
    </w:p>
    <w:p w:rsidR="00E560CE" w:rsidRDefault="00E560CE" w:rsidP="00E560CE">
      <w:pPr>
        <w:pStyle w:val="ListParagraph"/>
        <w:ind w:left="360"/>
      </w:pPr>
    </w:p>
    <w:p w:rsidR="00E560CE" w:rsidRDefault="00E560CE" w:rsidP="00E560CE">
      <w:r>
        <w:rPr>
          <w:noProof/>
          <w:lang w:eastAsia="en-US"/>
        </w:rPr>
        <w:drawing>
          <wp:inline distT="0" distB="0" distL="0" distR="0" wp14:anchorId="2B966925" wp14:editId="444C8CAE">
            <wp:extent cx="2791858" cy="206896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3771" cy="2070384"/>
                    </a:xfrm>
                    <a:prstGeom prst="rect">
                      <a:avLst/>
                    </a:prstGeom>
                    <a:noFill/>
                    <a:ln>
                      <a:noFill/>
                    </a:ln>
                  </pic:spPr>
                </pic:pic>
              </a:graphicData>
            </a:graphic>
          </wp:inline>
        </w:drawing>
      </w:r>
    </w:p>
    <w:p w:rsidR="00E560CE" w:rsidRDefault="00E560CE" w:rsidP="00E560CE">
      <w:pPr>
        <w:pStyle w:val="Caption"/>
      </w:pPr>
      <w:bookmarkStart w:id="7" w:name="_Ref416728506"/>
      <w:r>
        <w:t xml:space="preserve">Figure </w:t>
      </w:r>
      <w:r>
        <w:fldChar w:fldCharType="begin"/>
      </w:r>
      <w:r>
        <w:instrText xml:space="preserve"> SEQ Figure \* ARABIC </w:instrText>
      </w:r>
      <w:r>
        <w:fldChar w:fldCharType="separate"/>
      </w:r>
      <w:r w:rsidR="008514E5">
        <w:rPr>
          <w:noProof/>
        </w:rPr>
        <w:t>6</w:t>
      </w:r>
      <w:r>
        <w:fldChar w:fldCharType="end"/>
      </w:r>
      <w:bookmarkEnd w:id="7"/>
      <w:r>
        <w:t xml:space="preserve">: estimated PDP in multiple cell </w:t>
      </w:r>
      <w:proofErr w:type="gramStart"/>
      <w:r>
        <w:t>scenario</w:t>
      </w:r>
      <w:proofErr w:type="gramEnd"/>
      <w:r>
        <w:t>, with TU multipath</w:t>
      </w:r>
    </w:p>
    <w:p w:rsidR="00E560CE" w:rsidRDefault="00E560CE" w:rsidP="00E560CE">
      <w:r>
        <w:t>We can see on the power delay profile curve that the delay spread is significantly increased.</w:t>
      </w:r>
    </w:p>
    <w:p w:rsidR="00E560CE" w:rsidRDefault="00E560CE" w:rsidP="00E560CE">
      <w:pPr>
        <w:rPr>
          <w:rFonts w:asciiTheme="majorHAnsi" w:eastAsiaTheme="majorEastAsia" w:hAnsiTheme="majorHAnsi" w:cstheme="majorBidi"/>
          <w:sz w:val="28"/>
          <w:szCs w:val="28"/>
        </w:rPr>
      </w:pPr>
    </w:p>
    <w:p w:rsidR="00E560CE" w:rsidRDefault="00E560CE" w:rsidP="00E560CE">
      <w:pPr>
        <w:pStyle w:val="Heading1"/>
        <w:jc w:val="both"/>
      </w:pPr>
      <w:r>
        <w:t>Synchronization performance</w:t>
      </w:r>
    </w:p>
    <w:p w:rsidR="00E560CE" w:rsidRDefault="00E560CE" w:rsidP="00E560CE">
      <w:r>
        <w:t xml:space="preserve">First the detection performance is shown on </w:t>
      </w:r>
      <w:r>
        <w:fldChar w:fldCharType="begin"/>
      </w:r>
      <w:r>
        <w:instrText xml:space="preserve"> REF _Ref416731675 \h </w:instrText>
      </w:r>
      <w:r>
        <w:fldChar w:fldCharType="separate"/>
      </w:r>
      <w:r>
        <w:t xml:space="preserve">Figure </w:t>
      </w:r>
      <w:r>
        <w:rPr>
          <w:noProof/>
        </w:rPr>
        <w:t>4</w:t>
      </w:r>
      <w:r>
        <w:fldChar w:fldCharType="end"/>
      </w:r>
      <w:r>
        <w:t xml:space="preserve">, then the frequency synchronization performance on </w:t>
      </w:r>
      <w:r>
        <w:fldChar w:fldCharType="begin"/>
      </w:r>
      <w:r>
        <w:instrText xml:space="preserve"> REF _Ref416731926 \h </w:instrText>
      </w:r>
      <w:r>
        <w:fldChar w:fldCharType="separate"/>
      </w:r>
      <w:r>
        <w:t xml:space="preserve">Figure </w:t>
      </w:r>
      <w:r>
        <w:rPr>
          <w:noProof/>
        </w:rPr>
        <w:t>5</w:t>
      </w:r>
      <w:r>
        <w:fldChar w:fldCharType="end"/>
      </w:r>
      <w:r>
        <w:t xml:space="preserve">, with 2 metrics: </w:t>
      </w:r>
      <w:proofErr w:type="spellStart"/>
      <w:r>
        <w:t>rms</w:t>
      </w:r>
      <w:proofErr w:type="spellEnd"/>
      <w:r>
        <w:t xml:space="preserve"> error, and 5% worst error threshold. The performances are evaluated for a </w:t>
      </w:r>
      <w:proofErr w:type="spellStart"/>
      <w:proofErr w:type="gramStart"/>
      <w:r>
        <w:t>doppler</w:t>
      </w:r>
      <w:proofErr w:type="spellEnd"/>
      <w:proofErr w:type="gramEnd"/>
      <w:r>
        <w:t xml:space="preserve"> frequency of 1Hz, but also for higher values from 2Hz to 100Hz (120KM/H). The impact of multiple cell vs single cell TU channel is to increase diversity, thus improving performances; this is not explicitly shown here, but the differences are similar to the increased diversity thanks to higher </w:t>
      </w:r>
      <w:proofErr w:type="spellStart"/>
      <w:proofErr w:type="gramStart"/>
      <w:r>
        <w:t>doppler</w:t>
      </w:r>
      <w:proofErr w:type="spellEnd"/>
      <w:proofErr w:type="gramEnd"/>
      <w:r>
        <w:t xml:space="preserve"> frequency. </w:t>
      </w:r>
    </w:p>
    <w:p w:rsidR="00E560CE" w:rsidRDefault="00E560CE" w:rsidP="00E560CE">
      <w:r>
        <w:rPr>
          <w:noProof/>
          <w:lang w:eastAsia="en-US"/>
        </w:rPr>
        <w:lastRenderedPageBreak/>
        <w:drawing>
          <wp:inline distT="0" distB="0" distL="0" distR="0" wp14:anchorId="4D7F353C" wp14:editId="242A290C">
            <wp:extent cx="3556291" cy="26365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492" cy="2636725"/>
                    </a:xfrm>
                    <a:prstGeom prst="rect">
                      <a:avLst/>
                    </a:prstGeom>
                    <a:noFill/>
                    <a:ln>
                      <a:noFill/>
                    </a:ln>
                  </pic:spPr>
                </pic:pic>
              </a:graphicData>
            </a:graphic>
          </wp:inline>
        </w:drawing>
      </w:r>
    </w:p>
    <w:p w:rsidR="00E560CE" w:rsidRDefault="00E560CE" w:rsidP="00E560CE">
      <w:pPr>
        <w:pStyle w:val="Caption"/>
      </w:pPr>
      <w:bookmarkStart w:id="8" w:name="_Ref416731675"/>
      <w:r>
        <w:t xml:space="preserve">Figure </w:t>
      </w:r>
      <w:r>
        <w:fldChar w:fldCharType="begin"/>
      </w:r>
      <w:r>
        <w:instrText xml:space="preserve"> SEQ Figure \* ARABIC </w:instrText>
      </w:r>
      <w:r>
        <w:fldChar w:fldCharType="separate"/>
      </w:r>
      <w:r w:rsidR="008514E5">
        <w:rPr>
          <w:noProof/>
        </w:rPr>
        <w:t>7</w:t>
      </w:r>
      <w:r>
        <w:fldChar w:fldCharType="end"/>
      </w:r>
      <w:bookmarkEnd w:id="8"/>
      <w:r>
        <w:t>: detection performance</w:t>
      </w:r>
    </w:p>
    <w:p w:rsidR="00E560CE" w:rsidRDefault="00E560CE" w:rsidP="00E560CE"/>
    <w:p w:rsidR="00E560CE" w:rsidRDefault="00E560CE" w:rsidP="00E560CE">
      <w:r>
        <w:rPr>
          <w:noProof/>
          <w:lang w:eastAsia="en-US"/>
        </w:rPr>
        <w:drawing>
          <wp:inline distT="0" distB="0" distL="0" distR="0">
            <wp:extent cx="5273040" cy="19788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1979341"/>
                    </a:xfrm>
                    <a:prstGeom prst="rect">
                      <a:avLst/>
                    </a:prstGeom>
                    <a:noFill/>
                    <a:ln>
                      <a:noFill/>
                    </a:ln>
                  </pic:spPr>
                </pic:pic>
              </a:graphicData>
            </a:graphic>
          </wp:inline>
        </w:drawing>
      </w:r>
    </w:p>
    <w:p w:rsidR="00E560CE" w:rsidRDefault="00E560CE" w:rsidP="00E560CE">
      <w:pPr>
        <w:pStyle w:val="Caption"/>
      </w:pPr>
      <w:bookmarkStart w:id="9" w:name="_Ref416731926"/>
      <w:r>
        <w:t xml:space="preserve">Figure </w:t>
      </w:r>
      <w:r>
        <w:fldChar w:fldCharType="begin"/>
      </w:r>
      <w:r>
        <w:instrText xml:space="preserve"> SEQ Figure \* ARABIC </w:instrText>
      </w:r>
      <w:r>
        <w:fldChar w:fldCharType="separate"/>
      </w:r>
      <w:r w:rsidR="008514E5">
        <w:rPr>
          <w:noProof/>
        </w:rPr>
        <w:t>8</w:t>
      </w:r>
      <w:r>
        <w:fldChar w:fldCharType="end"/>
      </w:r>
      <w:bookmarkEnd w:id="9"/>
      <w:r>
        <w:t>: frequency synchronization performance</w:t>
      </w:r>
    </w:p>
    <w:p w:rsidR="00E560CE" w:rsidRDefault="00E560CE" w:rsidP="00E560CE">
      <w:r>
        <w:t xml:space="preserve">At -10dB SINR, the detection error rate is only 2%, and the frequency synchronization root mean square error is around 5Hz. It is possible to trade this performance for faster data processing. </w:t>
      </w:r>
    </w:p>
    <w:p w:rsidR="00E560CE" w:rsidRDefault="00E560CE" w:rsidP="00E560CE">
      <w:r>
        <w:t xml:space="preserve">With higher </w:t>
      </w:r>
      <w:proofErr w:type="spellStart"/>
      <w:proofErr w:type="gramStart"/>
      <w:r>
        <w:t>doppler</w:t>
      </w:r>
      <w:proofErr w:type="spellEnd"/>
      <w:proofErr w:type="gramEnd"/>
      <w:r>
        <w:t xml:space="preserve"> speeds, the detection performance improves thanks to diversity, but the frequency estimation performance degrades, which is fair because movement impact is generated as a Doppler spread. </w:t>
      </w:r>
    </w:p>
    <w:p w:rsidR="00E560CE" w:rsidRPr="002E3392" w:rsidRDefault="00E560CE" w:rsidP="00E560CE"/>
    <w:p w:rsidR="00E560CE" w:rsidRDefault="00E560CE" w:rsidP="00E560CE">
      <w:pPr>
        <w:pStyle w:val="Heading1"/>
        <w:jc w:val="both"/>
      </w:pPr>
      <w:r>
        <w:t>Overlaid beacon power tuning</w:t>
      </w:r>
    </w:p>
    <w:p w:rsidR="00E560CE" w:rsidRDefault="00E560CE" w:rsidP="00E560CE">
      <w:r>
        <w:t xml:space="preserve">First we need to verify that the overlaid CSS beacon is not impairing the MS reception of downlink channels. For this we perform a simulation with various beacon relative power values, in the worst case which corresponds to the wider bandwidth for signal of interest, which corresponds to a GMSK with modulation rate of 7812.5 Hertz. The resulting PER curves are shown in </w:t>
      </w:r>
      <w:r>
        <w:fldChar w:fldCharType="begin"/>
      </w:r>
      <w:r>
        <w:instrText xml:space="preserve"> REF _Ref416732898 \h </w:instrText>
      </w:r>
      <w:r>
        <w:fldChar w:fldCharType="separate"/>
      </w:r>
      <w:r>
        <w:t xml:space="preserve">Figure </w:t>
      </w:r>
      <w:r>
        <w:rPr>
          <w:noProof/>
        </w:rPr>
        <w:t>6</w:t>
      </w:r>
      <w:r>
        <w:fldChar w:fldCharType="end"/>
      </w:r>
      <w:r>
        <w:t xml:space="preserve">, simulation is run with TU 1Hz channel. With a beacon 6dB higher –over </w:t>
      </w:r>
      <w:proofErr w:type="gramStart"/>
      <w:r>
        <w:t>125KHz-</w:t>
      </w:r>
      <w:proofErr w:type="gramEnd"/>
      <w:r>
        <w:t xml:space="preserve"> than the signal of interest, the performance degradation is around 4dB at 10% PER, and 6dB at a 1% PER. If the </w:t>
      </w:r>
      <w:r>
        <w:lastRenderedPageBreak/>
        <w:t>beacon relative power is higher, the loss becomes very significant.  We use a power ratio of 3dB, which has a 1dB impact on PER performance in the 1%</w:t>
      </w:r>
      <w:proofErr w:type="gramStart"/>
      <w:r>
        <w:t>~10% range</w:t>
      </w:r>
      <w:proofErr w:type="gramEnd"/>
      <w:r>
        <w:t xml:space="preserve">. The simulation has been performed with TU1Hz model for signal of interest and beacon from same station, and a channel as in </w:t>
      </w:r>
      <w:r>
        <w:fldChar w:fldCharType="begin"/>
      </w:r>
      <w:r>
        <w:instrText xml:space="preserve"> REF _Ref416728506 \h </w:instrText>
      </w:r>
      <w:r>
        <w:fldChar w:fldCharType="separate"/>
      </w:r>
      <w:r>
        <w:t xml:space="preserve">Figure </w:t>
      </w:r>
      <w:r>
        <w:rPr>
          <w:noProof/>
        </w:rPr>
        <w:t>3</w:t>
      </w:r>
      <w:r>
        <w:fldChar w:fldCharType="end"/>
      </w:r>
      <w:r>
        <w:t xml:space="preserve">, without main path, to model the impact of beacons from other base stations. The total average power from all other stations is set to be 18dB below the serving station. </w:t>
      </w:r>
    </w:p>
    <w:p w:rsidR="00E560CE" w:rsidRDefault="00E560CE" w:rsidP="00E560CE">
      <w:r>
        <w:rPr>
          <w:noProof/>
          <w:lang w:eastAsia="en-US"/>
        </w:rPr>
        <w:drawing>
          <wp:inline distT="0" distB="0" distL="0" distR="0">
            <wp:extent cx="3688080" cy="27331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8080" cy="2733131"/>
                    </a:xfrm>
                    <a:prstGeom prst="rect">
                      <a:avLst/>
                    </a:prstGeom>
                    <a:noFill/>
                    <a:ln>
                      <a:noFill/>
                    </a:ln>
                  </pic:spPr>
                </pic:pic>
              </a:graphicData>
            </a:graphic>
          </wp:inline>
        </w:drawing>
      </w:r>
    </w:p>
    <w:p w:rsidR="00E560CE" w:rsidRDefault="00E560CE" w:rsidP="00E560CE">
      <w:pPr>
        <w:pStyle w:val="Caption"/>
      </w:pPr>
      <w:bookmarkStart w:id="10" w:name="_Ref416732898"/>
      <w:r>
        <w:t xml:space="preserve">Figure </w:t>
      </w:r>
      <w:r>
        <w:fldChar w:fldCharType="begin"/>
      </w:r>
      <w:r>
        <w:instrText xml:space="preserve"> SEQ Figure \* ARABIC </w:instrText>
      </w:r>
      <w:r>
        <w:fldChar w:fldCharType="separate"/>
      </w:r>
      <w:r w:rsidR="008514E5">
        <w:rPr>
          <w:noProof/>
        </w:rPr>
        <w:t>9</w:t>
      </w:r>
      <w:r>
        <w:fldChar w:fldCharType="end"/>
      </w:r>
      <w:bookmarkEnd w:id="10"/>
      <w:r>
        <w:t>: overlay power tuning</w:t>
      </w:r>
    </w:p>
    <w:p w:rsidR="00E560CE" w:rsidRDefault="00E560CE" w:rsidP="00E560CE"/>
    <w:p w:rsidR="00E560CE" w:rsidRPr="00B4380C" w:rsidRDefault="00E560CE" w:rsidP="00E560CE"/>
    <w:p w:rsidR="00E560CE" w:rsidRPr="009E12D1" w:rsidRDefault="00E560CE" w:rsidP="00E560CE">
      <w:pPr>
        <w:pStyle w:val="Heading1"/>
        <w:jc w:val="both"/>
      </w:pPr>
      <w:r>
        <w:t>Summary</w:t>
      </w:r>
    </w:p>
    <w:p w:rsidR="00E560CE" w:rsidRPr="009733FF" w:rsidRDefault="00E560CE" w:rsidP="00E560CE">
      <w:r>
        <w:rPr>
          <w:bCs/>
        </w:rPr>
        <w:t xml:space="preserve">In this paper, we refine the combined CSS and narrow band proposal. We show that an overlaid CSS based beacon is suitable for fast frequency synchronization, within a system that allows a 20dB MCL improvement over GSM. </w:t>
      </w:r>
    </w:p>
    <w:p w:rsidR="00E560CE" w:rsidRPr="009733FF" w:rsidRDefault="00E560CE" w:rsidP="00E560CE"/>
    <w:p w:rsidR="00E560CE" w:rsidRPr="009E12D1" w:rsidRDefault="00E560CE" w:rsidP="00E560CE">
      <w:pPr>
        <w:pStyle w:val="Heading1"/>
        <w:jc w:val="both"/>
      </w:pPr>
      <w:r w:rsidRPr="009E12D1">
        <w:t>References</w:t>
      </w:r>
    </w:p>
    <w:p w:rsidR="00E560CE" w:rsidRDefault="00E560CE" w:rsidP="00E560CE">
      <w:pPr>
        <w:pStyle w:val="ListParagraph"/>
        <w:numPr>
          <w:ilvl w:val="0"/>
          <w:numId w:val="27"/>
        </w:numPr>
      </w:pPr>
      <w:bookmarkStart w:id="11" w:name="_Ref412231521"/>
      <w:r w:rsidRPr="00567E54">
        <w:rPr>
          <w:lang w:eastAsia="zh-CN"/>
        </w:rPr>
        <w:t xml:space="preserve">GP-140421, “New Study Item on Cellular System Support for Ultra Low Complexity and Low Throughput </w:t>
      </w:r>
      <w:r>
        <w:rPr>
          <w:lang w:eastAsia="zh-CN"/>
        </w:rPr>
        <w:t>Internet of Things</w:t>
      </w:r>
      <w:r w:rsidRPr="00567E54">
        <w:rPr>
          <w:lang w:eastAsia="zh-CN"/>
        </w:rPr>
        <w:t>”</w:t>
      </w:r>
      <w:r>
        <w:rPr>
          <w:lang w:eastAsia="zh-CN"/>
        </w:rPr>
        <w:t>, VODAFONE Group Plc., GERAN#62</w:t>
      </w:r>
      <w:bookmarkEnd w:id="11"/>
    </w:p>
    <w:p w:rsidR="00E560CE" w:rsidRPr="0057571E" w:rsidRDefault="00E560CE" w:rsidP="00E560CE">
      <w:pPr>
        <w:pStyle w:val="ListParagraph"/>
        <w:numPr>
          <w:ilvl w:val="0"/>
          <w:numId w:val="27"/>
        </w:numPr>
      </w:pPr>
      <w:bookmarkStart w:id="12" w:name="_Ref412297064"/>
      <w:r w:rsidRPr="0057571E">
        <w:t>GP</w:t>
      </w:r>
      <w:r>
        <w:t>C</w:t>
      </w:r>
      <w:r w:rsidRPr="0057571E">
        <w:t>-150009, “Technical Report Update</w:t>
      </w:r>
      <w:r>
        <w:t>”</w:t>
      </w:r>
      <w:r>
        <w:rPr>
          <w:lang w:eastAsia="zh-CN"/>
        </w:rPr>
        <w:t xml:space="preserve">, VODAFONE Group Plc., Cellular </w:t>
      </w:r>
      <w:proofErr w:type="spellStart"/>
      <w:r>
        <w:rPr>
          <w:lang w:eastAsia="zh-CN"/>
        </w:rPr>
        <w:t>IoT</w:t>
      </w:r>
      <w:proofErr w:type="spellEnd"/>
      <w:r>
        <w:rPr>
          <w:lang w:eastAsia="zh-CN"/>
        </w:rPr>
        <w:t xml:space="preserve"> Ad-Hoc#1</w:t>
      </w:r>
      <w:bookmarkEnd w:id="12"/>
    </w:p>
    <w:p w:rsidR="00E560CE" w:rsidRPr="00E560CE" w:rsidRDefault="00E560CE" w:rsidP="00E560CE">
      <w:pPr>
        <w:rPr>
          <w:lang w:eastAsia="en-US"/>
        </w:rPr>
      </w:pPr>
    </w:p>
    <w:p w:rsidR="00FE210C" w:rsidRPr="00FE210C" w:rsidRDefault="00FE210C" w:rsidP="00C94630">
      <w:pPr>
        <w:widowControl/>
        <w:overflowPunct w:val="0"/>
        <w:autoSpaceDE w:val="0"/>
        <w:autoSpaceDN w:val="0"/>
        <w:adjustRightInd w:val="0"/>
        <w:spacing w:after="180"/>
        <w:ind w:left="1140"/>
        <w:jc w:val="left"/>
        <w:textAlignment w:val="baseline"/>
        <w:rPr>
          <w:kern w:val="0"/>
          <w:sz w:val="22"/>
        </w:rPr>
      </w:pPr>
    </w:p>
    <w:sectPr w:rsidR="00FE210C" w:rsidRPr="00FE210C">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BC1" w:rsidRDefault="00291BC1">
      <w:r>
        <w:separator/>
      </w:r>
    </w:p>
  </w:endnote>
  <w:endnote w:type="continuationSeparator" w:id="0">
    <w:p w:rsidR="00291BC1" w:rsidRDefault="0029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B39" w:rsidRDefault="00987B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C28" w:rsidRDefault="00C91C28" w:rsidP="00C91C2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8514E5">
      <w:rPr>
        <w:rStyle w:val="PageNumber"/>
        <w:noProof/>
      </w:rPr>
      <w:t>5</w:t>
    </w:r>
    <w:r>
      <w:rPr>
        <w:rStyle w:val="PageNumber"/>
      </w:rPr>
      <w:fldChar w:fldCharType="end"/>
    </w:r>
    <w:r>
      <w:rPr>
        <w:rStyle w:val="PageNumber"/>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sidR="008514E5">
      <w:rPr>
        <w:rStyle w:val="PageNumber"/>
        <w:noProof/>
      </w:rPr>
      <w:t>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B39" w:rsidRDefault="00987B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BC1" w:rsidRDefault="00291BC1">
      <w:r>
        <w:separator/>
      </w:r>
    </w:p>
  </w:footnote>
  <w:footnote w:type="continuationSeparator" w:id="0">
    <w:p w:rsidR="00291BC1" w:rsidRDefault="00291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B39" w:rsidRDefault="00987B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5B7" w:rsidRDefault="00A725B1" w:rsidP="00992CB6">
    <w:pPr>
      <w:pStyle w:val="WP"/>
      <w:tabs>
        <w:tab w:val="right" w:pos="8280"/>
        <w:tab w:val="right" w:pos="10260"/>
      </w:tabs>
      <w:rPr>
        <w:rFonts w:ascii="Times New Roman" w:hAnsi="Times New Roman" w:cs="Times New Roman"/>
        <w:bCs/>
      </w:rPr>
    </w:pPr>
    <w:r>
      <w:rPr>
        <w:rFonts w:ascii="Times New Roman" w:hAnsi="Times New Roman" w:cs="Times New Roman"/>
        <w:bCs/>
      </w:rPr>
      <w:t>3</w:t>
    </w:r>
    <w:r w:rsidR="0005379D">
      <w:rPr>
        <w:rFonts w:ascii="Times New Roman" w:hAnsi="Times New Roman" w:cs="Times New Roman"/>
        <w:bCs/>
      </w:rPr>
      <w:t>GPP TSG</w:t>
    </w:r>
    <w:r w:rsidR="00E560CE">
      <w:rPr>
        <w:rFonts w:ascii="Times New Roman" w:hAnsi="Times New Roman" w:cs="Times New Roman"/>
        <w:bCs/>
      </w:rPr>
      <w:t xml:space="preserve"> GERAN</w:t>
    </w:r>
    <w:r w:rsidR="0005379D">
      <w:rPr>
        <w:rFonts w:ascii="Times New Roman" w:hAnsi="Times New Roman" w:cs="Times New Roman"/>
        <w:bCs/>
      </w:rPr>
      <w:t xml:space="preserve"> </w:t>
    </w:r>
    <w:r w:rsidR="00461C3D">
      <w:rPr>
        <w:rFonts w:ascii="Times New Roman" w:hAnsi="Times New Roman" w:cs="Times New Roman"/>
        <w:bCs/>
      </w:rPr>
      <w:t>C</w:t>
    </w:r>
    <w:r w:rsidR="00192DAD">
      <w:rPr>
        <w:rFonts w:ascii="Times New Roman" w:hAnsi="Times New Roman" w:cs="Times New Roman"/>
        <w:bCs/>
      </w:rPr>
      <w:t xml:space="preserve">ellular </w:t>
    </w:r>
    <w:proofErr w:type="spellStart"/>
    <w:r w:rsidR="00192DAD">
      <w:rPr>
        <w:rFonts w:ascii="Times New Roman" w:hAnsi="Times New Roman" w:cs="Times New Roman"/>
        <w:bCs/>
      </w:rPr>
      <w:t>IoT</w:t>
    </w:r>
    <w:proofErr w:type="spellEnd"/>
    <w:r w:rsidR="00192DAD">
      <w:rPr>
        <w:rFonts w:ascii="Times New Roman" w:hAnsi="Times New Roman" w:cs="Times New Roman"/>
        <w:bCs/>
      </w:rPr>
      <w:t xml:space="preserve"> A</w:t>
    </w:r>
    <w:r w:rsidR="00461C3D">
      <w:rPr>
        <w:rFonts w:ascii="Times New Roman" w:hAnsi="Times New Roman" w:cs="Times New Roman"/>
        <w:bCs/>
      </w:rPr>
      <w:t xml:space="preserve">d </w:t>
    </w:r>
    <w:r w:rsidR="00192DAD">
      <w:rPr>
        <w:rFonts w:ascii="Times New Roman" w:hAnsi="Times New Roman" w:cs="Times New Roman"/>
        <w:bCs/>
      </w:rPr>
      <w:t>H</w:t>
    </w:r>
    <w:r w:rsidR="00461C3D">
      <w:rPr>
        <w:rFonts w:ascii="Times New Roman" w:hAnsi="Times New Roman" w:cs="Times New Roman"/>
        <w:bCs/>
      </w:rPr>
      <w:t>oc</w:t>
    </w:r>
    <w:r w:rsidR="00E560CE">
      <w:rPr>
        <w:rFonts w:ascii="Times New Roman" w:hAnsi="Times New Roman" w:cs="Times New Roman"/>
        <w:bCs/>
      </w:rPr>
      <w:t xml:space="preserve"> #2</w:t>
    </w:r>
    <w:r w:rsidR="00461C3D">
      <w:rPr>
        <w:rFonts w:ascii="Times New Roman" w:hAnsi="Times New Roman" w:cs="Times New Roman"/>
        <w:bCs/>
      </w:rPr>
      <w:t xml:space="preserve"> </w:t>
    </w:r>
    <w:r w:rsidR="0005379D">
      <w:rPr>
        <w:rFonts w:ascii="Times New Roman" w:hAnsi="Times New Roman" w:cs="Times New Roman"/>
        <w:bCs/>
      </w:rPr>
      <w:tab/>
    </w:r>
    <w:proofErr w:type="spellStart"/>
    <w:r w:rsidR="0005379D" w:rsidRPr="00C957EC">
      <w:rPr>
        <w:rFonts w:ascii="Times New Roman" w:hAnsi="Times New Roman" w:cs="Times New Roman"/>
        <w:bCs/>
      </w:rPr>
      <w:t>Tdoc</w:t>
    </w:r>
    <w:proofErr w:type="spellEnd"/>
    <w:r w:rsidR="0005379D" w:rsidRPr="00C957EC">
      <w:rPr>
        <w:rFonts w:ascii="Times New Roman" w:hAnsi="Times New Roman" w:cs="Times New Roman"/>
        <w:bCs/>
      </w:rPr>
      <w:t xml:space="preserve"> GP</w:t>
    </w:r>
    <w:r w:rsidR="003122EC">
      <w:rPr>
        <w:rFonts w:ascii="Times New Roman" w:hAnsi="Times New Roman" w:cs="Times New Roman"/>
        <w:bCs/>
      </w:rPr>
      <w:t>C</w:t>
    </w:r>
    <w:r w:rsidR="0005379D" w:rsidRPr="00C957EC">
      <w:rPr>
        <w:rFonts w:ascii="Times New Roman" w:hAnsi="Times New Roman" w:cs="Times New Roman"/>
        <w:bCs/>
      </w:rPr>
      <w:t>-1</w:t>
    </w:r>
    <w:r w:rsidR="00192DAD">
      <w:rPr>
        <w:rFonts w:ascii="Times New Roman" w:hAnsi="Times New Roman" w:cs="Times New Roman"/>
        <w:bCs/>
      </w:rPr>
      <w:t>5</w:t>
    </w:r>
    <w:r w:rsidR="00E560CE">
      <w:rPr>
        <w:rFonts w:ascii="Times New Roman" w:hAnsi="Times New Roman" w:cs="Times New Roman"/>
        <w:bCs/>
      </w:rPr>
      <w:t>0228</w:t>
    </w:r>
  </w:p>
  <w:p w:rsidR="00E235B7" w:rsidRDefault="00461C3D" w:rsidP="00E235B7">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 xml:space="preserve">Sophia </w:t>
    </w:r>
    <w:proofErr w:type="spellStart"/>
    <w:r>
      <w:rPr>
        <w:rFonts w:ascii="Times New Roman" w:eastAsia="SimSun" w:hAnsi="Times New Roman" w:cs="Times New Roman"/>
        <w:bCs/>
        <w:lang w:eastAsia="zh-CN"/>
      </w:rPr>
      <w:t>Antipolis</w:t>
    </w:r>
    <w:proofErr w:type="spellEnd"/>
    <w:r w:rsidR="0005379D">
      <w:rPr>
        <w:rFonts w:ascii="Times New Roman" w:eastAsia="SimSun" w:hAnsi="Times New Roman" w:cs="Times New Roman"/>
        <w:bCs/>
        <w:lang w:eastAsia="zh-CN"/>
      </w:rPr>
      <w:t xml:space="preserve">, </w:t>
    </w:r>
    <w:r>
      <w:rPr>
        <w:rFonts w:ascii="Times New Roman" w:eastAsia="SimSun" w:hAnsi="Times New Roman" w:cs="Times New Roman"/>
        <w:bCs/>
        <w:lang w:eastAsia="zh-CN"/>
      </w:rPr>
      <w:t>France</w:t>
    </w:r>
  </w:p>
  <w:p w:rsidR="00E235B7" w:rsidRPr="00032304" w:rsidRDefault="00192DAD" w:rsidP="00E235B7">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20-23</w:t>
    </w:r>
    <w:r w:rsidR="0005379D">
      <w:rPr>
        <w:rFonts w:ascii="Times New Roman" w:eastAsia="SimSun" w:hAnsi="Times New Roman" w:cs="Times New Roman"/>
        <w:bCs/>
        <w:lang w:eastAsia="zh-CN"/>
      </w:rPr>
      <w:t xml:space="preserve"> </w:t>
    </w:r>
    <w:r>
      <w:rPr>
        <w:rFonts w:ascii="Times New Roman" w:eastAsia="SimSun" w:hAnsi="Times New Roman" w:cs="Times New Roman"/>
        <w:bCs/>
        <w:lang w:eastAsia="zh-CN"/>
      </w:rPr>
      <w:t>April 2015</w:t>
    </w:r>
  </w:p>
  <w:p w:rsidR="00032304" w:rsidRPr="00E235B7" w:rsidRDefault="00032304" w:rsidP="00E235B7">
    <w:pPr>
      <w:pStyle w:val="WP"/>
      <w:pBdr>
        <w:bottom w:val="none" w:sz="0" w:space="0" w:color="auto"/>
      </w:pBdr>
      <w:tabs>
        <w:tab w:val="right" w:pos="10260"/>
      </w:tabs>
      <w:rPr>
        <w:rFonts w:ascii="Times New Roman" w:eastAsia="SimSun" w:hAnsi="Times New Roman" w:cs="Times New Roman"/>
        <w:bCs/>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B39" w:rsidRDefault="00987B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A0D6E"/>
    <w:multiLevelType w:val="hybridMultilevel"/>
    <w:tmpl w:val="E70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C11B3"/>
    <w:multiLevelType w:val="hybridMultilevel"/>
    <w:tmpl w:val="959AA4E0"/>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38207CB"/>
    <w:multiLevelType w:val="hybridMultilevel"/>
    <w:tmpl w:val="D79E7B92"/>
    <w:lvl w:ilvl="0" w:tplc="C1E403B6">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5687387"/>
    <w:multiLevelType w:val="multilevel"/>
    <w:tmpl w:val="7A601F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6ED102F"/>
    <w:multiLevelType w:val="hybridMultilevel"/>
    <w:tmpl w:val="F928092E"/>
    <w:lvl w:ilvl="0" w:tplc="04090001">
      <w:start w:val="1"/>
      <w:numFmt w:val="bullet"/>
      <w:lvlText w:val=""/>
      <w:lvlJc w:val="left"/>
      <w:pPr>
        <w:tabs>
          <w:tab w:val="num" w:pos="1024"/>
        </w:tabs>
        <w:ind w:left="1024" w:hanging="360"/>
      </w:pPr>
      <w:rPr>
        <w:rFonts w:ascii="Symbol" w:hAnsi="Symbol" w:hint="default"/>
      </w:rPr>
    </w:lvl>
    <w:lvl w:ilvl="1" w:tplc="04090003" w:tentative="1">
      <w:start w:val="1"/>
      <w:numFmt w:val="bullet"/>
      <w:lvlText w:val="o"/>
      <w:lvlJc w:val="left"/>
      <w:pPr>
        <w:tabs>
          <w:tab w:val="num" w:pos="1744"/>
        </w:tabs>
        <w:ind w:left="1744" w:hanging="360"/>
      </w:pPr>
      <w:rPr>
        <w:rFonts w:ascii="Courier New" w:hAnsi="Courier New" w:cs="Courier New" w:hint="default"/>
      </w:rPr>
    </w:lvl>
    <w:lvl w:ilvl="2" w:tplc="04090005" w:tentative="1">
      <w:start w:val="1"/>
      <w:numFmt w:val="bullet"/>
      <w:lvlText w:val=""/>
      <w:lvlJc w:val="left"/>
      <w:pPr>
        <w:tabs>
          <w:tab w:val="num" w:pos="2464"/>
        </w:tabs>
        <w:ind w:left="2464" w:hanging="360"/>
      </w:pPr>
      <w:rPr>
        <w:rFonts w:ascii="Wingdings" w:hAnsi="Wingdings" w:hint="default"/>
      </w:rPr>
    </w:lvl>
    <w:lvl w:ilvl="3" w:tplc="04090001" w:tentative="1">
      <w:start w:val="1"/>
      <w:numFmt w:val="bullet"/>
      <w:lvlText w:val=""/>
      <w:lvlJc w:val="left"/>
      <w:pPr>
        <w:tabs>
          <w:tab w:val="num" w:pos="3184"/>
        </w:tabs>
        <w:ind w:left="3184" w:hanging="360"/>
      </w:pPr>
      <w:rPr>
        <w:rFonts w:ascii="Symbol" w:hAnsi="Symbol" w:hint="default"/>
      </w:rPr>
    </w:lvl>
    <w:lvl w:ilvl="4" w:tplc="04090003" w:tentative="1">
      <w:start w:val="1"/>
      <w:numFmt w:val="bullet"/>
      <w:lvlText w:val="o"/>
      <w:lvlJc w:val="left"/>
      <w:pPr>
        <w:tabs>
          <w:tab w:val="num" w:pos="3904"/>
        </w:tabs>
        <w:ind w:left="3904" w:hanging="360"/>
      </w:pPr>
      <w:rPr>
        <w:rFonts w:ascii="Courier New" w:hAnsi="Courier New" w:cs="Courier New" w:hint="default"/>
      </w:rPr>
    </w:lvl>
    <w:lvl w:ilvl="5" w:tplc="04090005" w:tentative="1">
      <w:start w:val="1"/>
      <w:numFmt w:val="bullet"/>
      <w:lvlText w:val=""/>
      <w:lvlJc w:val="left"/>
      <w:pPr>
        <w:tabs>
          <w:tab w:val="num" w:pos="4624"/>
        </w:tabs>
        <w:ind w:left="4624" w:hanging="360"/>
      </w:pPr>
      <w:rPr>
        <w:rFonts w:ascii="Wingdings" w:hAnsi="Wingdings" w:hint="default"/>
      </w:rPr>
    </w:lvl>
    <w:lvl w:ilvl="6" w:tplc="04090001" w:tentative="1">
      <w:start w:val="1"/>
      <w:numFmt w:val="bullet"/>
      <w:lvlText w:val=""/>
      <w:lvlJc w:val="left"/>
      <w:pPr>
        <w:tabs>
          <w:tab w:val="num" w:pos="5344"/>
        </w:tabs>
        <w:ind w:left="5344" w:hanging="360"/>
      </w:pPr>
      <w:rPr>
        <w:rFonts w:ascii="Symbol" w:hAnsi="Symbol" w:hint="default"/>
      </w:rPr>
    </w:lvl>
    <w:lvl w:ilvl="7" w:tplc="04090003" w:tentative="1">
      <w:start w:val="1"/>
      <w:numFmt w:val="bullet"/>
      <w:lvlText w:val="o"/>
      <w:lvlJc w:val="left"/>
      <w:pPr>
        <w:tabs>
          <w:tab w:val="num" w:pos="6064"/>
        </w:tabs>
        <w:ind w:left="6064" w:hanging="360"/>
      </w:pPr>
      <w:rPr>
        <w:rFonts w:ascii="Courier New" w:hAnsi="Courier New" w:cs="Courier New" w:hint="default"/>
      </w:rPr>
    </w:lvl>
    <w:lvl w:ilvl="8" w:tplc="04090005" w:tentative="1">
      <w:start w:val="1"/>
      <w:numFmt w:val="bullet"/>
      <w:lvlText w:val=""/>
      <w:lvlJc w:val="left"/>
      <w:pPr>
        <w:tabs>
          <w:tab w:val="num" w:pos="6784"/>
        </w:tabs>
        <w:ind w:left="6784" w:hanging="360"/>
      </w:pPr>
      <w:rPr>
        <w:rFonts w:ascii="Wingdings" w:hAnsi="Wingdings" w:hint="default"/>
      </w:rPr>
    </w:lvl>
  </w:abstractNum>
  <w:abstractNum w:abstractNumId="6">
    <w:nsid w:val="2BDD0067"/>
    <w:multiLevelType w:val="hybridMultilevel"/>
    <w:tmpl w:val="2CA41F7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2D4E4476"/>
    <w:multiLevelType w:val="hybridMultilevel"/>
    <w:tmpl w:val="4B929C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443BA8"/>
    <w:multiLevelType w:val="hybridMultilevel"/>
    <w:tmpl w:val="D2489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B842F6"/>
    <w:multiLevelType w:val="hybridMultilevel"/>
    <w:tmpl w:val="57F6E1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84E3AF6"/>
    <w:multiLevelType w:val="hybridMultilevel"/>
    <w:tmpl w:val="3EF46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B070D0"/>
    <w:multiLevelType w:val="multilevel"/>
    <w:tmpl w:val="97FE66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43DC0365"/>
    <w:multiLevelType w:val="hybridMultilevel"/>
    <w:tmpl w:val="4112C5EA"/>
    <w:lvl w:ilvl="0" w:tplc="C882B34A">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5">
    <w:nsid w:val="4A573BC0"/>
    <w:multiLevelType w:val="hybridMultilevel"/>
    <w:tmpl w:val="AABC962C"/>
    <w:lvl w:ilvl="0" w:tplc="8E9A53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E60FB3"/>
    <w:multiLevelType w:val="hybridMultilevel"/>
    <w:tmpl w:val="FF5407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B566BCB"/>
    <w:multiLevelType w:val="hybridMultilevel"/>
    <w:tmpl w:val="28A6D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DD14DC"/>
    <w:multiLevelType w:val="hybridMultilevel"/>
    <w:tmpl w:val="19A07536"/>
    <w:lvl w:ilvl="0" w:tplc="08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500"/>
        </w:tabs>
        <w:ind w:left="1500" w:hanging="42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F2309E6"/>
    <w:multiLevelType w:val="hybridMultilevel"/>
    <w:tmpl w:val="955ED006"/>
    <w:lvl w:ilvl="0" w:tplc="6F0A43DA">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0126E41"/>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
    <w:nsid w:val="62DB44B6"/>
    <w:multiLevelType w:val="hybridMultilevel"/>
    <w:tmpl w:val="7A601F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40D15F8"/>
    <w:multiLevelType w:val="hybridMultilevel"/>
    <w:tmpl w:val="A0985482"/>
    <w:lvl w:ilvl="0" w:tplc="981ABEA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2DD4EE7"/>
    <w:multiLevelType w:val="multilevel"/>
    <w:tmpl w:val="8558E9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759A6BB6"/>
    <w:multiLevelType w:val="hybridMultilevel"/>
    <w:tmpl w:val="C1EACE66"/>
    <w:lvl w:ilvl="0" w:tplc="14CE74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E097123"/>
    <w:multiLevelType w:val="hybridMultilevel"/>
    <w:tmpl w:val="361C2C24"/>
    <w:lvl w:ilvl="0" w:tplc="3CCA6982">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20"/>
  </w:num>
  <w:num w:numId="4">
    <w:abstractNumId w:val="18"/>
  </w:num>
  <w:num w:numId="5">
    <w:abstractNumId w:val="13"/>
  </w:num>
  <w:num w:numId="6">
    <w:abstractNumId w:val="25"/>
  </w:num>
  <w:num w:numId="7">
    <w:abstractNumId w:val="23"/>
  </w:num>
  <w:num w:numId="8">
    <w:abstractNumId w:val="6"/>
  </w:num>
  <w:num w:numId="9">
    <w:abstractNumId w:val="24"/>
  </w:num>
  <w:num w:numId="10">
    <w:abstractNumId w:val="22"/>
  </w:num>
  <w:num w:numId="11">
    <w:abstractNumId w:val="3"/>
  </w:num>
  <w:num w:numId="12">
    <w:abstractNumId w:val="12"/>
  </w:num>
  <w:num w:numId="13">
    <w:abstractNumId w:val="7"/>
  </w:num>
  <w:num w:numId="14">
    <w:abstractNumId w:val="21"/>
  </w:num>
  <w:num w:numId="15">
    <w:abstractNumId w:val="4"/>
  </w:num>
  <w:num w:numId="16">
    <w:abstractNumId w:val="9"/>
  </w:num>
  <w:num w:numId="17">
    <w:abstractNumId w:val="11"/>
  </w:num>
  <w:num w:numId="18">
    <w:abstractNumId w:val="8"/>
  </w:num>
  <w:num w:numId="19">
    <w:abstractNumId w:val="0"/>
  </w:num>
  <w:num w:numId="20">
    <w:abstractNumId w:val="16"/>
  </w:num>
  <w:num w:numId="21">
    <w:abstractNumId w:val="1"/>
  </w:num>
  <w:num w:numId="22">
    <w:abstractNumId w:val="15"/>
  </w:num>
  <w:num w:numId="23">
    <w:abstractNumId w:val="5"/>
  </w:num>
  <w:num w:numId="24">
    <w:abstractNumId w:val="17"/>
  </w:num>
  <w:num w:numId="25">
    <w:abstractNumId w:val="26"/>
  </w:num>
  <w:num w:numId="26">
    <w:abstractNumId w:val="19"/>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885"/>
    <w:rsid w:val="00011F38"/>
    <w:rsid w:val="00014384"/>
    <w:rsid w:val="000151D1"/>
    <w:rsid w:val="0002191E"/>
    <w:rsid w:val="00022015"/>
    <w:rsid w:val="00025855"/>
    <w:rsid w:val="0002737E"/>
    <w:rsid w:val="00030094"/>
    <w:rsid w:val="00032304"/>
    <w:rsid w:val="00032AAE"/>
    <w:rsid w:val="00034071"/>
    <w:rsid w:val="00052E93"/>
    <w:rsid w:val="0005379D"/>
    <w:rsid w:val="000558F4"/>
    <w:rsid w:val="00055EEE"/>
    <w:rsid w:val="00056B3E"/>
    <w:rsid w:val="000812A5"/>
    <w:rsid w:val="00084A40"/>
    <w:rsid w:val="00087AD7"/>
    <w:rsid w:val="000905B4"/>
    <w:rsid w:val="00091B05"/>
    <w:rsid w:val="000B4311"/>
    <w:rsid w:val="000B47F6"/>
    <w:rsid w:val="000C1E67"/>
    <w:rsid w:val="000C28D7"/>
    <w:rsid w:val="000C487B"/>
    <w:rsid w:val="000D6877"/>
    <w:rsid w:val="000E36B5"/>
    <w:rsid w:val="000F09F3"/>
    <w:rsid w:val="001076F5"/>
    <w:rsid w:val="00112D71"/>
    <w:rsid w:val="00114E8A"/>
    <w:rsid w:val="0011750D"/>
    <w:rsid w:val="00125D5B"/>
    <w:rsid w:val="001356B5"/>
    <w:rsid w:val="00137BA2"/>
    <w:rsid w:val="001415F2"/>
    <w:rsid w:val="001438B1"/>
    <w:rsid w:val="00145378"/>
    <w:rsid w:val="00160763"/>
    <w:rsid w:val="00163837"/>
    <w:rsid w:val="00165731"/>
    <w:rsid w:val="001664D5"/>
    <w:rsid w:val="00174AB2"/>
    <w:rsid w:val="0018068E"/>
    <w:rsid w:val="00180758"/>
    <w:rsid w:val="00192DAD"/>
    <w:rsid w:val="001A16C0"/>
    <w:rsid w:val="001A4610"/>
    <w:rsid w:val="001B147F"/>
    <w:rsid w:val="001B1849"/>
    <w:rsid w:val="001B7A9C"/>
    <w:rsid w:val="001C4703"/>
    <w:rsid w:val="001C4B7C"/>
    <w:rsid w:val="001C6AEF"/>
    <w:rsid w:val="001D2237"/>
    <w:rsid w:val="001E2323"/>
    <w:rsid w:val="001E5B73"/>
    <w:rsid w:val="00202A1C"/>
    <w:rsid w:val="0022206D"/>
    <w:rsid w:val="0022639D"/>
    <w:rsid w:val="0023406E"/>
    <w:rsid w:val="00244FCA"/>
    <w:rsid w:val="00247758"/>
    <w:rsid w:val="002549F7"/>
    <w:rsid w:val="00256393"/>
    <w:rsid w:val="00256F8D"/>
    <w:rsid w:val="00274C04"/>
    <w:rsid w:val="002822A7"/>
    <w:rsid w:val="002832E4"/>
    <w:rsid w:val="002836A3"/>
    <w:rsid w:val="00291BC1"/>
    <w:rsid w:val="002B2053"/>
    <w:rsid w:val="002C2A1C"/>
    <w:rsid w:val="002C43AE"/>
    <w:rsid w:val="002C59DB"/>
    <w:rsid w:val="002D0879"/>
    <w:rsid w:val="002D67D1"/>
    <w:rsid w:val="002D7F13"/>
    <w:rsid w:val="002F2983"/>
    <w:rsid w:val="002F3029"/>
    <w:rsid w:val="003037A0"/>
    <w:rsid w:val="0030770F"/>
    <w:rsid w:val="003120E7"/>
    <w:rsid w:val="003122EC"/>
    <w:rsid w:val="003463F7"/>
    <w:rsid w:val="003648A4"/>
    <w:rsid w:val="00367E36"/>
    <w:rsid w:val="00370853"/>
    <w:rsid w:val="003A3573"/>
    <w:rsid w:val="003A5FF9"/>
    <w:rsid w:val="003B6238"/>
    <w:rsid w:val="003D1893"/>
    <w:rsid w:val="003D554A"/>
    <w:rsid w:val="003D6C29"/>
    <w:rsid w:val="003F14DA"/>
    <w:rsid w:val="003F2BF9"/>
    <w:rsid w:val="003F7CF3"/>
    <w:rsid w:val="00401AFA"/>
    <w:rsid w:val="00403760"/>
    <w:rsid w:val="0042320C"/>
    <w:rsid w:val="00425A1A"/>
    <w:rsid w:val="00425AE0"/>
    <w:rsid w:val="004318A1"/>
    <w:rsid w:val="00431EDE"/>
    <w:rsid w:val="0043244E"/>
    <w:rsid w:val="004345C9"/>
    <w:rsid w:val="004421D6"/>
    <w:rsid w:val="004430F5"/>
    <w:rsid w:val="00443B73"/>
    <w:rsid w:val="0044681B"/>
    <w:rsid w:val="00455AC3"/>
    <w:rsid w:val="00457473"/>
    <w:rsid w:val="00461C3D"/>
    <w:rsid w:val="004703BE"/>
    <w:rsid w:val="00476BAE"/>
    <w:rsid w:val="00482DEE"/>
    <w:rsid w:val="00485E5C"/>
    <w:rsid w:val="00497B0B"/>
    <w:rsid w:val="004A3B41"/>
    <w:rsid w:val="004A562D"/>
    <w:rsid w:val="004B6816"/>
    <w:rsid w:val="004D1C8B"/>
    <w:rsid w:val="005130FF"/>
    <w:rsid w:val="0051427C"/>
    <w:rsid w:val="00514892"/>
    <w:rsid w:val="005213F6"/>
    <w:rsid w:val="00540FED"/>
    <w:rsid w:val="005466D6"/>
    <w:rsid w:val="00547F2C"/>
    <w:rsid w:val="0055488C"/>
    <w:rsid w:val="005552EF"/>
    <w:rsid w:val="005576EB"/>
    <w:rsid w:val="00562FE1"/>
    <w:rsid w:val="005670A9"/>
    <w:rsid w:val="005772BC"/>
    <w:rsid w:val="005855A3"/>
    <w:rsid w:val="005928C9"/>
    <w:rsid w:val="00593F17"/>
    <w:rsid w:val="005A0756"/>
    <w:rsid w:val="005A5358"/>
    <w:rsid w:val="005A6D54"/>
    <w:rsid w:val="005C55E3"/>
    <w:rsid w:val="005E2FAF"/>
    <w:rsid w:val="00615240"/>
    <w:rsid w:val="0062190D"/>
    <w:rsid w:val="006251D2"/>
    <w:rsid w:val="00633393"/>
    <w:rsid w:val="00641885"/>
    <w:rsid w:val="0065402A"/>
    <w:rsid w:val="00661C65"/>
    <w:rsid w:val="00672D9C"/>
    <w:rsid w:val="00676B3E"/>
    <w:rsid w:val="00682A3B"/>
    <w:rsid w:val="00686643"/>
    <w:rsid w:val="006908E8"/>
    <w:rsid w:val="006933C4"/>
    <w:rsid w:val="00695594"/>
    <w:rsid w:val="006B76FD"/>
    <w:rsid w:val="006C1D2E"/>
    <w:rsid w:val="006D190D"/>
    <w:rsid w:val="006D41B7"/>
    <w:rsid w:val="006E2036"/>
    <w:rsid w:val="006E6A2B"/>
    <w:rsid w:val="006E72F0"/>
    <w:rsid w:val="006E7359"/>
    <w:rsid w:val="006F4573"/>
    <w:rsid w:val="006F6342"/>
    <w:rsid w:val="00700AED"/>
    <w:rsid w:val="00704F83"/>
    <w:rsid w:val="0071775F"/>
    <w:rsid w:val="00727232"/>
    <w:rsid w:val="00730351"/>
    <w:rsid w:val="00730EAC"/>
    <w:rsid w:val="00746EEC"/>
    <w:rsid w:val="0075369C"/>
    <w:rsid w:val="00763281"/>
    <w:rsid w:val="00774001"/>
    <w:rsid w:val="00776A6C"/>
    <w:rsid w:val="00791273"/>
    <w:rsid w:val="007923A5"/>
    <w:rsid w:val="00794EC8"/>
    <w:rsid w:val="007A3365"/>
    <w:rsid w:val="007B12D0"/>
    <w:rsid w:val="007B4B5B"/>
    <w:rsid w:val="007B4F95"/>
    <w:rsid w:val="007B5A2D"/>
    <w:rsid w:val="007C5334"/>
    <w:rsid w:val="007C748E"/>
    <w:rsid w:val="007F1AC2"/>
    <w:rsid w:val="00807545"/>
    <w:rsid w:val="00823F1F"/>
    <w:rsid w:val="00825C53"/>
    <w:rsid w:val="00831B8D"/>
    <w:rsid w:val="0084696D"/>
    <w:rsid w:val="008514E5"/>
    <w:rsid w:val="00851638"/>
    <w:rsid w:val="00871B91"/>
    <w:rsid w:val="00874CA2"/>
    <w:rsid w:val="00884892"/>
    <w:rsid w:val="00897294"/>
    <w:rsid w:val="008B1596"/>
    <w:rsid w:val="008D10B3"/>
    <w:rsid w:val="008E0396"/>
    <w:rsid w:val="008E5833"/>
    <w:rsid w:val="008F2CB9"/>
    <w:rsid w:val="008F6683"/>
    <w:rsid w:val="009077F9"/>
    <w:rsid w:val="009155D2"/>
    <w:rsid w:val="00926D6B"/>
    <w:rsid w:val="00927F2D"/>
    <w:rsid w:val="00956259"/>
    <w:rsid w:val="0096516F"/>
    <w:rsid w:val="009702A1"/>
    <w:rsid w:val="00977FD1"/>
    <w:rsid w:val="0098008C"/>
    <w:rsid w:val="00987B39"/>
    <w:rsid w:val="009902C4"/>
    <w:rsid w:val="00992CB6"/>
    <w:rsid w:val="0099362D"/>
    <w:rsid w:val="009A0307"/>
    <w:rsid w:val="009A2998"/>
    <w:rsid w:val="009B2B45"/>
    <w:rsid w:val="009C4D8B"/>
    <w:rsid w:val="009C4E1F"/>
    <w:rsid w:val="009F484D"/>
    <w:rsid w:val="00A107B7"/>
    <w:rsid w:val="00A11C7A"/>
    <w:rsid w:val="00A31AEC"/>
    <w:rsid w:val="00A35020"/>
    <w:rsid w:val="00A403EC"/>
    <w:rsid w:val="00A4057F"/>
    <w:rsid w:val="00A414F4"/>
    <w:rsid w:val="00A4333C"/>
    <w:rsid w:val="00A6007C"/>
    <w:rsid w:val="00A725B1"/>
    <w:rsid w:val="00A72DCA"/>
    <w:rsid w:val="00A75F2A"/>
    <w:rsid w:val="00A85396"/>
    <w:rsid w:val="00A86EBF"/>
    <w:rsid w:val="00A93C00"/>
    <w:rsid w:val="00AB340C"/>
    <w:rsid w:val="00AB392A"/>
    <w:rsid w:val="00AB3D31"/>
    <w:rsid w:val="00AB3DB1"/>
    <w:rsid w:val="00AC289E"/>
    <w:rsid w:val="00AC3C2B"/>
    <w:rsid w:val="00AC5010"/>
    <w:rsid w:val="00AD3294"/>
    <w:rsid w:val="00AE2F57"/>
    <w:rsid w:val="00AE6E21"/>
    <w:rsid w:val="00AE7ACD"/>
    <w:rsid w:val="00B0231B"/>
    <w:rsid w:val="00B12F08"/>
    <w:rsid w:val="00B36D93"/>
    <w:rsid w:val="00B420F4"/>
    <w:rsid w:val="00B46407"/>
    <w:rsid w:val="00B5260F"/>
    <w:rsid w:val="00B64F57"/>
    <w:rsid w:val="00B71C11"/>
    <w:rsid w:val="00B85C4E"/>
    <w:rsid w:val="00B94E42"/>
    <w:rsid w:val="00BA1FD7"/>
    <w:rsid w:val="00BA5B33"/>
    <w:rsid w:val="00BA7010"/>
    <w:rsid w:val="00BB1F6A"/>
    <w:rsid w:val="00BB353F"/>
    <w:rsid w:val="00BC09FA"/>
    <w:rsid w:val="00BC449B"/>
    <w:rsid w:val="00BD5AAE"/>
    <w:rsid w:val="00BD7CB0"/>
    <w:rsid w:val="00BD7CFF"/>
    <w:rsid w:val="00BE0495"/>
    <w:rsid w:val="00BF3758"/>
    <w:rsid w:val="00BF43E4"/>
    <w:rsid w:val="00BF56F2"/>
    <w:rsid w:val="00C00515"/>
    <w:rsid w:val="00C023B9"/>
    <w:rsid w:val="00C045B3"/>
    <w:rsid w:val="00C13D3A"/>
    <w:rsid w:val="00C162F3"/>
    <w:rsid w:val="00C2314B"/>
    <w:rsid w:val="00C251ED"/>
    <w:rsid w:val="00C3393F"/>
    <w:rsid w:val="00C33E23"/>
    <w:rsid w:val="00C4151E"/>
    <w:rsid w:val="00C46158"/>
    <w:rsid w:val="00C4782C"/>
    <w:rsid w:val="00C50B54"/>
    <w:rsid w:val="00C5717A"/>
    <w:rsid w:val="00C63F05"/>
    <w:rsid w:val="00C70AF5"/>
    <w:rsid w:val="00C82CB0"/>
    <w:rsid w:val="00C91C28"/>
    <w:rsid w:val="00C93910"/>
    <w:rsid w:val="00C94630"/>
    <w:rsid w:val="00C957EC"/>
    <w:rsid w:val="00CA015A"/>
    <w:rsid w:val="00CA3319"/>
    <w:rsid w:val="00CB73BA"/>
    <w:rsid w:val="00CB7587"/>
    <w:rsid w:val="00CC543F"/>
    <w:rsid w:val="00CF19B5"/>
    <w:rsid w:val="00CF2035"/>
    <w:rsid w:val="00D00033"/>
    <w:rsid w:val="00D0325B"/>
    <w:rsid w:val="00D1007D"/>
    <w:rsid w:val="00D140A9"/>
    <w:rsid w:val="00D30E1A"/>
    <w:rsid w:val="00D31EFB"/>
    <w:rsid w:val="00D35E86"/>
    <w:rsid w:val="00D46A9E"/>
    <w:rsid w:val="00D50503"/>
    <w:rsid w:val="00D52DEC"/>
    <w:rsid w:val="00D5741D"/>
    <w:rsid w:val="00D63D23"/>
    <w:rsid w:val="00D66416"/>
    <w:rsid w:val="00D76E38"/>
    <w:rsid w:val="00D8272D"/>
    <w:rsid w:val="00D84B70"/>
    <w:rsid w:val="00DA4517"/>
    <w:rsid w:val="00DA7D88"/>
    <w:rsid w:val="00DB0228"/>
    <w:rsid w:val="00DB02A0"/>
    <w:rsid w:val="00DB14BF"/>
    <w:rsid w:val="00DB25FB"/>
    <w:rsid w:val="00DB3ADC"/>
    <w:rsid w:val="00DE7154"/>
    <w:rsid w:val="00DF0955"/>
    <w:rsid w:val="00E111CB"/>
    <w:rsid w:val="00E22EE3"/>
    <w:rsid w:val="00E235B7"/>
    <w:rsid w:val="00E322EB"/>
    <w:rsid w:val="00E35524"/>
    <w:rsid w:val="00E46B89"/>
    <w:rsid w:val="00E517DF"/>
    <w:rsid w:val="00E560CE"/>
    <w:rsid w:val="00E63BEE"/>
    <w:rsid w:val="00E81AA2"/>
    <w:rsid w:val="00E841F2"/>
    <w:rsid w:val="00EA612C"/>
    <w:rsid w:val="00EB50ED"/>
    <w:rsid w:val="00EC3FA4"/>
    <w:rsid w:val="00EE5D38"/>
    <w:rsid w:val="00EF6910"/>
    <w:rsid w:val="00F10071"/>
    <w:rsid w:val="00F14A08"/>
    <w:rsid w:val="00F26F1C"/>
    <w:rsid w:val="00F274DB"/>
    <w:rsid w:val="00F37691"/>
    <w:rsid w:val="00F42B57"/>
    <w:rsid w:val="00F51566"/>
    <w:rsid w:val="00F51861"/>
    <w:rsid w:val="00F5348D"/>
    <w:rsid w:val="00F63177"/>
    <w:rsid w:val="00F64691"/>
    <w:rsid w:val="00F70802"/>
    <w:rsid w:val="00F70B85"/>
    <w:rsid w:val="00F73584"/>
    <w:rsid w:val="00F95D92"/>
    <w:rsid w:val="00F969EA"/>
    <w:rsid w:val="00FA046B"/>
    <w:rsid w:val="00FA13EE"/>
    <w:rsid w:val="00FB37F1"/>
    <w:rsid w:val="00FB72CF"/>
    <w:rsid w:val="00FC0A86"/>
    <w:rsid w:val="00FC335B"/>
    <w:rsid w:val="00FD268D"/>
    <w:rsid w:val="00FD44DD"/>
    <w:rsid w:val="00FD5C34"/>
    <w:rsid w:val="00FE086E"/>
    <w:rsid w:val="00FE210C"/>
    <w:rsid w:val="00FE45E0"/>
    <w:rsid w:val="00FE6B14"/>
    <w:rsid w:val="00FF7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lang w:eastAsia="zh-CN"/>
    </w:rPr>
  </w:style>
  <w:style w:type="paragraph" w:styleId="Heading1">
    <w:name w:val="heading 1"/>
    <w:next w:val="Normal"/>
    <w:qFormat/>
    <w:rsid w:val="00C63F05"/>
    <w:pPr>
      <w:keepNext/>
      <w:keepLines/>
      <w:numPr>
        <w:numId w:val="9"/>
      </w:numPr>
      <w:pBdr>
        <w:top w:val="single" w:sz="12" w:space="3" w:color="auto"/>
      </w:pBdr>
      <w:spacing w:before="240" w:after="180"/>
      <w:outlineLvl w:val="0"/>
    </w:pPr>
    <w:rPr>
      <w:rFonts w:ascii="Arial" w:hAnsi="Arial"/>
      <w:sz w:val="36"/>
      <w:lang w:val="en-GB"/>
    </w:rPr>
  </w:style>
  <w:style w:type="paragraph" w:styleId="Heading2">
    <w:name w:val="heading 2"/>
    <w:basedOn w:val="Normal"/>
    <w:next w:val="Normal"/>
    <w:qFormat/>
    <w:rsid w:val="000C487B"/>
    <w:pPr>
      <w:keepNext/>
      <w:numPr>
        <w:ilvl w:val="1"/>
        <w:numId w:val="9"/>
      </w:numPr>
      <w:spacing w:before="240" w:after="60"/>
      <w:outlineLvl w:val="1"/>
    </w:pPr>
    <w:rPr>
      <w:rFonts w:ascii="Arial" w:hAnsi="Arial" w:cs="Arial"/>
      <w:b/>
      <w:bCs/>
      <w:i/>
      <w:iCs/>
      <w:sz w:val="28"/>
      <w:szCs w:val="21"/>
    </w:rPr>
  </w:style>
  <w:style w:type="paragraph" w:styleId="Heading3">
    <w:name w:val="heading 3"/>
    <w:basedOn w:val="Normal"/>
    <w:next w:val="Normal"/>
    <w:qFormat/>
    <w:rsid w:val="00CB73BA"/>
    <w:pPr>
      <w:keepNext/>
      <w:numPr>
        <w:ilvl w:val="2"/>
        <w:numId w:val="9"/>
      </w:numPr>
      <w:spacing w:before="240" w:after="60"/>
      <w:outlineLvl w:val="2"/>
    </w:pPr>
    <w:rPr>
      <w:rFonts w:ascii="Arial" w:hAnsi="Arial" w:cs="Arial"/>
      <w:b/>
      <w:bCs/>
      <w:sz w:val="26"/>
      <w:szCs w:val="26"/>
    </w:rPr>
  </w:style>
  <w:style w:type="paragraph" w:styleId="Heading4">
    <w:name w:val="heading 4"/>
    <w:basedOn w:val="Normal"/>
    <w:next w:val="Normal"/>
    <w:qFormat/>
    <w:rsid w:val="00514892"/>
    <w:pPr>
      <w:keepNext/>
      <w:numPr>
        <w:ilvl w:val="3"/>
        <w:numId w:val="9"/>
      </w:numPr>
      <w:spacing w:before="240" w:after="60"/>
      <w:outlineLvl w:val="3"/>
    </w:pPr>
    <w:rPr>
      <w:b/>
      <w:bCs/>
      <w:sz w:val="28"/>
      <w:szCs w:val="28"/>
    </w:rPr>
  </w:style>
  <w:style w:type="paragraph" w:styleId="Heading5">
    <w:name w:val="heading 5"/>
    <w:basedOn w:val="Normal"/>
    <w:next w:val="Normal"/>
    <w:qFormat/>
    <w:rsid w:val="00514892"/>
    <w:pPr>
      <w:numPr>
        <w:ilvl w:val="4"/>
        <w:numId w:val="9"/>
      </w:numPr>
      <w:spacing w:before="240" w:after="60"/>
      <w:outlineLvl w:val="4"/>
    </w:pPr>
    <w:rPr>
      <w:b/>
      <w:bCs/>
      <w:i/>
      <w:iCs/>
      <w:sz w:val="26"/>
      <w:szCs w:val="26"/>
    </w:rPr>
  </w:style>
  <w:style w:type="paragraph" w:styleId="Heading6">
    <w:name w:val="heading 6"/>
    <w:basedOn w:val="Normal"/>
    <w:next w:val="Normal"/>
    <w:qFormat/>
    <w:rsid w:val="00514892"/>
    <w:pPr>
      <w:numPr>
        <w:ilvl w:val="5"/>
        <w:numId w:val="9"/>
      </w:numPr>
      <w:spacing w:before="240" w:after="60"/>
      <w:outlineLvl w:val="5"/>
    </w:pPr>
    <w:rPr>
      <w:b/>
      <w:bCs/>
      <w:sz w:val="22"/>
      <w:szCs w:val="22"/>
    </w:rPr>
  </w:style>
  <w:style w:type="paragraph" w:styleId="Heading7">
    <w:name w:val="heading 7"/>
    <w:basedOn w:val="Normal"/>
    <w:next w:val="Normal"/>
    <w:qFormat/>
    <w:rsid w:val="00514892"/>
    <w:pPr>
      <w:numPr>
        <w:ilvl w:val="6"/>
        <w:numId w:val="9"/>
      </w:numPr>
      <w:spacing w:before="240" w:after="60"/>
      <w:outlineLvl w:val="6"/>
    </w:pPr>
    <w:rPr>
      <w:sz w:val="24"/>
    </w:rPr>
  </w:style>
  <w:style w:type="paragraph" w:styleId="Heading8">
    <w:name w:val="heading 8"/>
    <w:basedOn w:val="Normal"/>
    <w:next w:val="Normal"/>
    <w:qFormat/>
    <w:rsid w:val="00514892"/>
    <w:pPr>
      <w:numPr>
        <w:ilvl w:val="7"/>
        <w:numId w:val="9"/>
      </w:numPr>
      <w:spacing w:before="240" w:after="60"/>
      <w:outlineLvl w:val="7"/>
    </w:pPr>
    <w:rPr>
      <w:i/>
      <w:iCs/>
      <w:sz w:val="24"/>
    </w:rPr>
  </w:style>
  <w:style w:type="paragraph" w:styleId="Heading9">
    <w:name w:val="heading 9"/>
    <w:basedOn w:val="Normal"/>
    <w:next w:val="Normal"/>
    <w:qFormat/>
    <w:rsid w:val="00514892"/>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val="en-GB"/>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D0325B"/>
    <w:rPr>
      <w:b/>
      <w:bCs/>
      <w:sz w:val="2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rsid w:val="00032304"/>
    <w:pPr>
      <w:tabs>
        <w:tab w:val="center" w:pos="4153"/>
        <w:tab w:val="right" w:pos="8306"/>
      </w:tabs>
    </w:pPr>
  </w:style>
  <w:style w:type="paragraph" w:styleId="Footer">
    <w:name w:val="footer"/>
    <w:basedOn w:val="Normal"/>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Title">
    <w:name w:val="Title"/>
    <w:basedOn w:val="Normal"/>
    <w:next w:val="Normal"/>
    <w:link w:val="TitleChar"/>
    <w:qFormat/>
    <w:rsid w:val="00431ED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31EDE"/>
    <w:rPr>
      <w:rFonts w:ascii="Calibri Light" w:eastAsia="Times New Roman" w:hAnsi="Calibri Light" w:cs="Times New Roman"/>
      <w:b/>
      <w:bCs/>
      <w:kern w:val="28"/>
      <w:sz w:val="32"/>
      <w:szCs w:val="32"/>
      <w:lang w:eastAsia="zh-CN"/>
    </w:rPr>
  </w:style>
  <w:style w:type="paragraph" w:styleId="BalloonText">
    <w:name w:val="Balloon Text"/>
    <w:basedOn w:val="Normal"/>
    <w:link w:val="BalloonTextChar"/>
    <w:rsid w:val="00403760"/>
    <w:rPr>
      <w:rFonts w:ascii="Segoe UI" w:hAnsi="Segoe UI" w:cs="Segoe UI"/>
      <w:sz w:val="18"/>
      <w:szCs w:val="18"/>
    </w:rPr>
  </w:style>
  <w:style w:type="character" w:customStyle="1" w:styleId="BalloonTextChar">
    <w:name w:val="Balloon Text Char"/>
    <w:link w:val="BalloonText"/>
    <w:rsid w:val="00403760"/>
    <w:rPr>
      <w:rFonts w:ascii="Segoe UI" w:hAnsi="Segoe UI" w:cs="Segoe UI"/>
      <w:kern w:val="2"/>
      <w:sz w:val="18"/>
      <w:szCs w:val="18"/>
      <w:lang w:val="en-US" w:eastAsia="zh-CN"/>
    </w:rPr>
  </w:style>
  <w:style w:type="paragraph" w:styleId="NormalWeb">
    <w:name w:val="Normal (Web)"/>
    <w:basedOn w:val="Normal"/>
    <w:uiPriority w:val="99"/>
    <w:unhideWhenUsed/>
    <w:rsid w:val="000F09F3"/>
    <w:pPr>
      <w:widowControl/>
      <w:spacing w:before="100" w:beforeAutospacing="1" w:after="100" w:afterAutospacing="1"/>
      <w:jc w:val="left"/>
    </w:pPr>
    <w:rPr>
      <w:rFonts w:eastAsia="Times New Roman"/>
      <w:kern w:val="0"/>
      <w:sz w:val="24"/>
      <w:lang w:val="en-GB" w:eastAsia="en-GB"/>
    </w:rPr>
  </w:style>
  <w:style w:type="paragraph" w:styleId="Revision">
    <w:name w:val="Revision"/>
    <w:hidden/>
    <w:uiPriority w:val="99"/>
    <w:semiHidden/>
    <w:rsid w:val="00401AFA"/>
    <w:rPr>
      <w:kern w:val="2"/>
      <w:sz w:val="21"/>
      <w:szCs w:val="24"/>
      <w:lang w:eastAsia="zh-CN"/>
    </w:rPr>
  </w:style>
  <w:style w:type="character" w:styleId="PlaceholderText">
    <w:name w:val="Placeholder Text"/>
    <w:basedOn w:val="DefaultParagraphFont"/>
    <w:uiPriority w:val="99"/>
    <w:semiHidden/>
    <w:rsid w:val="00B71C11"/>
    <w:rPr>
      <w:color w:val="808080"/>
    </w:rPr>
  </w:style>
  <w:style w:type="paragraph" w:customStyle="1" w:styleId="Listnumberdoubleline">
    <w:name w:val="List number double line"/>
    <w:rsid w:val="00E560CE"/>
    <w:pPr>
      <w:numPr>
        <w:numId w:val="26"/>
      </w:numPr>
      <w:spacing w:before="220"/>
      <w:ind w:left="2921" w:hanging="369"/>
    </w:pPr>
    <w:rPr>
      <w:rFonts w:ascii="Arial" w:eastAsia="Times New Roman"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lang w:eastAsia="zh-CN"/>
    </w:rPr>
  </w:style>
  <w:style w:type="paragraph" w:styleId="Heading1">
    <w:name w:val="heading 1"/>
    <w:next w:val="Normal"/>
    <w:qFormat/>
    <w:rsid w:val="00C63F05"/>
    <w:pPr>
      <w:keepNext/>
      <w:keepLines/>
      <w:numPr>
        <w:numId w:val="9"/>
      </w:numPr>
      <w:pBdr>
        <w:top w:val="single" w:sz="12" w:space="3" w:color="auto"/>
      </w:pBdr>
      <w:spacing w:before="240" w:after="180"/>
      <w:outlineLvl w:val="0"/>
    </w:pPr>
    <w:rPr>
      <w:rFonts w:ascii="Arial" w:hAnsi="Arial"/>
      <w:sz w:val="36"/>
      <w:lang w:val="en-GB"/>
    </w:rPr>
  </w:style>
  <w:style w:type="paragraph" w:styleId="Heading2">
    <w:name w:val="heading 2"/>
    <w:basedOn w:val="Normal"/>
    <w:next w:val="Normal"/>
    <w:qFormat/>
    <w:rsid w:val="000C487B"/>
    <w:pPr>
      <w:keepNext/>
      <w:numPr>
        <w:ilvl w:val="1"/>
        <w:numId w:val="9"/>
      </w:numPr>
      <w:spacing w:before="240" w:after="60"/>
      <w:outlineLvl w:val="1"/>
    </w:pPr>
    <w:rPr>
      <w:rFonts w:ascii="Arial" w:hAnsi="Arial" w:cs="Arial"/>
      <w:b/>
      <w:bCs/>
      <w:i/>
      <w:iCs/>
      <w:sz w:val="28"/>
      <w:szCs w:val="21"/>
    </w:rPr>
  </w:style>
  <w:style w:type="paragraph" w:styleId="Heading3">
    <w:name w:val="heading 3"/>
    <w:basedOn w:val="Normal"/>
    <w:next w:val="Normal"/>
    <w:qFormat/>
    <w:rsid w:val="00CB73BA"/>
    <w:pPr>
      <w:keepNext/>
      <w:numPr>
        <w:ilvl w:val="2"/>
        <w:numId w:val="9"/>
      </w:numPr>
      <w:spacing w:before="240" w:after="60"/>
      <w:outlineLvl w:val="2"/>
    </w:pPr>
    <w:rPr>
      <w:rFonts w:ascii="Arial" w:hAnsi="Arial" w:cs="Arial"/>
      <w:b/>
      <w:bCs/>
      <w:sz w:val="26"/>
      <w:szCs w:val="26"/>
    </w:rPr>
  </w:style>
  <w:style w:type="paragraph" w:styleId="Heading4">
    <w:name w:val="heading 4"/>
    <w:basedOn w:val="Normal"/>
    <w:next w:val="Normal"/>
    <w:qFormat/>
    <w:rsid w:val="00514892"/>
    <w:pPr>
      <w:keepNext/>
      <w:numPr>
        <w:ilvl w:val="3"/>
        <w:numId w:val="9"/>
      </w:numPr>
      <w:spacing w:before="240" w:after="60"/>
      <w:outlineLvl w:val="3"/>
    </w:pPr>
    <w:rPr>
      <w:b/>
      <w:bCs/>
      <w:sz w:val="28"/>
      <w:szCs w:val="28"/>
    </w:rPr>
  </w:style>
  <w:style w:type="paragraph" w:styleId="Heading5">
    <w:name w:val="heading 5"/>
    <w:basedOn w:val="Normal"/>
    <w:next w:val="Normal"/>
    <w:qFormat/>
    <w:rsid w:val="00514892"/>
    <w:pPr>
      <w:numPr>
        <w:ilvl w:val="4"/>
        <w:numId w:val="9"/>
      </w:numPr>
      <w:spacing w:before="240" w:after="60"/>
      <w:outlineLvl w:val="4"/>
    </w:pPr>
    <w:rPr>
      <w:b/>
      <w:bCs/>
      <w:i/>
      <w:iCs/>
      <w:sz w:val="26"/>
      <w:szCs w:val="26"/>
    </w:rPr>
  </w:style>
  <w:style w:type="paragraph" w:styleId="Heading6">
    <w:name w:val="heading 6"/>
    <w:basedOn w:val="Normal"/>
    <w:next w:val="Normal"/>
    <w:qFormat/>
    <w:rsid w:val="00514892"/>
    <w:pPr>
      <w:numPr>
        <w:ilvl w:val="5"/>
        <w:numId w:val="9"/>
      </w:numPr>
      <w:spacing w:before="240" w:after="60"/>
      <w:outlineLvl w:val="5"/>
    </w:pPr>
    <w:rPr>
      <w:b/>
      <w:bCs/>
      <w:sz w:val="22"/>
      <w:szCs w:val="22"/>
    </w:rPr>
  </w:style>
  <w:style w:type="paragraph" w:styleId="Heading7">
    <w:name w:val="heading 7"/>
    <w:basedOn w:val="Normal"/>
    <w:next w:val="Normal"/>
    <w:qFormat/>
    <w:rsid w:val="00514892"/>
    <w:pPr>
      <w:numPr>
        <w:ilvl w:val="6"/>
        <w:numId w:val="9"/>
      </w:numPr>
      <w:spacing w:before="240" w:after="60"/>
      <w:outlineLvl w:val="6"/>
    </w:pPr>
    <w:rPr>
      <w:sz w:val="24"/>
    </w:rPr>
  </w:style>
  <w:style w:type="paragraph" w:styleId="Heading8">
    <w:name w:val="heading 8"/>
    <w:basedOn w:val="Normal"/>
    <w:next w:val="Normal"/>
    <w:qFormat/>
    <w:rsid w:val="00514892"/>
    <w:pPr>
      <w:numPr>
        <w:ilvl w:val="7"/>
        <w:numId w:val="9"/>
      </w:numPr>
      <w:spacing w:before="240" w:after="60"/>
      <w:outlineLvl w:val="7"/>
    </w:pPr>
    <w:rPr>
      <w:i/>
      <w:iCs/>
      <w:sz w:val="24"/>
    </w:rPr>
  </w:style>
  <w:style w:type="paragraph" w:styleId="Heading9">
    <w:name w:val="heading 9"/>
    <w:basedOn w:val="Normal"/>
    <w:next w:val="Normal"/>
    <w:qFormat/>
    <w:rsid w:val="00514892"/>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val="en-GB"/>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D0325B"/>
    <w:rPr>
      <w:b/>
      <w:bCs/>
      <w:sz w:val="2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rsid w:val="00032304"/>
    <w:pPr>
      <w:tabs>
        <w:tab w:val="center" w:pos="4153"/>
        <w:tab w:val="right" w:pos="8306"/>
      </w:tabs>
    </w:pPr>
  </w:style>
  <w:style w:type="paragraph" w:styleId="Footer">
    <w:name w:val="footer"/>
    <w:basedOn w:val="Normal"/>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Title">
    <w:name w:val="Title"/>
    <w:basedOn w:val="Normal"/>
    <w:next w:val="Normal"/>
    <w:link w:val="TitleChar"/>
    <w:qFormat/>
    <w:rsid w:val="00431ED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31EDE"/>
    <w:rPr>
      <w:rFonts w:ascii="Calibri Light" w:eastAsia="Times New Roman" w:hAnsi="Calibri Light" w:cs="Times New Roman"/>
      <w:b/>
      <w:bCs/>
      <w:kern w:val="28"/>
      <w:sz w:val="32"/>
      <w:szCs w:val="32"/>
      <w:lang w:eastAsia="zh-CN"/>
    </w:rPr>
  </w:style>
  <w:style w:type="paragraph" w:styleId="BalloonText">
    <w:name w:val="Balloon Text"/>
    <w:basedOn w:val="Normal"/>
    <w:link w:val="BalloonTextChar"/>
    <w:rsid w:val="00403760"/>
    <w:rPr>
      <w:rFonts w:ascii="Segoe UI" w:hAnsi="Segoe UI" w:cs="Segoe UI"/>
      <w:sz w:val="18"/>
      <w:szCs w:val="18"/>
    </w:rPr>
  </w:style>
  <w:style w:type="character" w:customStyle="1" w:styleId="BalloonTextChar">
    <w:name w:val="Balloon Text Char"/>
    <w:link w:val="BalloonText"/>
    <w:rsid w:val="00403760"/>
    <w:rPr>
      <w:rFonts w:ascii="Segoe UI" w:hAnsi="Segoe UI" w:cs="Segoe UI"/>
      <w:kern w:val="2"/>
      <w:sz w:val="18"/>
      <w:szCs w:val="18"/>
      <w:lang w:val="en-US" w:eastAsia="zh-CN"/>
    </w:rPr>
  </w:style>
  <w:style w:type="paragraph" w:styleId="NormalWeb">
    <w:name w:val="Normal (Web)"/>
    <w:basedOn w:val="Normal"/>
    <w:uiPriority w:val="99"/>
    <w:unhideWhenUsed/>
    <w:rsid w:val="000F09F3"/>
    <w:pPr>
      <w:widowControl/>
      <w:spacing w:before="100" w:beforeAutospacing="1" w:after="100" w:afterAutospacing="1"/>
      <w:jc w:val="left"/>
    </w:pPr>
    <w:rPr>
      <w:rFonts w:eastAsia="Times New Roman"/>
      <w:kern w:val="0"/>
      <w:sz w:val="24"/>
      <w:lang w:val="en-GB" w:eastAsia="en-GB"/>
    </w:rPr>
  </w:style>
  <w:style w:type="paragraph" w:styleId="Revision">
    <w:name w:val="Revision"/>
    <w:hidden/>
    <w:uiPriority w:val="99"/>
    <w:semiHidden/>
    <w:rsid w:val="00401AFA"/>
    <w:rPr>
      <w:kern w:val="2"/>
      <w:sz w:val="21"/>
      <w:szCs w:val="24"/>
      <w:lang w:eastAsia="zh-CN"/>
    </w:rPr>
  </w:style>
  <w:style w:type="character" w:styleId="PlaceholderText">
    <w:name w:val="Placeholder Text"/>
    <w:basedOn w:val="DefaultParagraphFont"/>
    <w:uiPriority w:val="99"/>
    <w:semiHidden/>
    <w:rsid w:val="00B71C11"/>
    <w:rPr>
      <w:color w:val="808080"/>
    </w:rPr>
  </w:style>
  <w:style w:type="paragraph" w:customStyle="1" w:styleId="Listnumberdoubleline">
    <w:name w:val="List number double line"/>
    <w:rsid w:val="00E560CE"/>
    <w:pPr>
      <w:numPr>
        <w:numId w:val="26"/>
      </w:numPr>
      <w:spacing w:before="220"/>
      <w:ind w:left="2921" w:hanging="369"/>
    </w:pPr>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7059">
      <w:bodyDiv w:val="1"/>
      <w:marLeft w:val="0"/>
      <w:marRight w:val="0"/>
      <w:marTop w:val="0"/>
      <w:marBottom w:val="0"/>
      <w:divBdr>
        <w:top w:val="none" w:sz="0" w:space="0" w:color="auto"/>
        <w:left w:val="none" w:sz="0" w:space="0" w:color="auto"/>
        <w:bottom w:val="none" w:sz="0" w:space="0" w:color="auto"/>
        <w:right w:val="none" w:sz="0" w:space="0" w:color="auto"/>
      </w:divBdr>
    </w:div>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287352148">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2CB8-A115-40CB-9E01-1A00CE34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semtech</dc:creator>
  <cp:lastModifiedBy>Olivier Seller</cp:lastModifiedBy>
  <cp:revision>6</cp:revision>
  <cp:lastPrinted>2008-10-09T18:58:00Z</cp:lastPrinted>
  <dcterms:created xsi:type="dcterms:W3CDTF">2015-04-14T20:46:00Z</dcterms:created>
  <dcterms:modified xsi:type="dcterms:W3CDTF">2015-04-14T21:48:00Z</dcterms:modified>
</cp:coreProperties>
</file>