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C523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D7D5F" w:rsidRPr="00E13F3D">
          <w:rPr>
            <w:b/>
            <w:i/>
            <w:noProof/>
            <w:sz w:val="28"/>
          </w:rPr>
          <w:t>C6-250</w:t>
        </w:r>
        <w:r w:rsidR="003D7D5F">
          <w:rPr>
            <w:b/>
            <w:i/>
            <w:noProof/>
            <w:sz w:val="28"/>
          </w:rPr>
          <w:t>513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23A8D" w:rsidR="001E41F3" w:rsidRPr="00410371" w:rsidRDefault="003D7D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37897D" w:rsidR="00F25D98" w:rsidRDefault="00BC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A25920" w:rsidR="00F25D98" w:rsidRDefault="00BC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41FCDD" w:rsidR="00F25D98" w:rsidRDefault="00BC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1A0FB5" w:rsidR="00F25D98" w:rsidRDefault="00BC7D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Missing figure in Clause D.1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928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  <w:r w:rsidR="002A581A">
              <w:rPr>
                <w:noProof/>
              </w:rPr>
              <w:t>, Comprion Gm</w:t>
            </w:r>
            <w:r w:rsidR="006A5275">
              <w:rPr>
                <w:noProof/>
              </w:rPr>
              <w:t>b</w:t>
            </w:r>
            <w:r w:rsidR="002A581A">
              <w:rPr>
                <w:noProof/>
              </w:rPr>
              <w:t>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B4DEB8" w:rsidR="001E41F3" w:rsidRDefault="00CB7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5333" w:rsidR="001E41F3" w:rsidRDefault="00165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2025-08-2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7150F4" w:rsidR="00A90175" w:rsidRDefault="00BF5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Few changes in </w:t>
            </w:r>
            <w:r w:rsidR="00D2284A">
              <w:rPr>
                <w:noProof/>
              </w:rPr>
              <w:t xml:space="preserve">previously </w:t>
            </w:r>
            <w:r>
              <w:rPr>
                <w:noProof/>
              </w:rPr>
              <w:t>a</w:t>
            </w:r>
            <w:r w:rsidR="00A90175">
              <w:rPr>
                <w:noProof/>
              </w:rPr>
              <w:t>greed CT6 CR 0024</w:t>
            </w:r>
            <w:r>
              <w:rPr>
                <w:noProof/>
              </w:rPr>
              <w:t xml:space="preserve"> (</w:t>
            </w:r>
            <w:r w:rsidR="00A90175">
              <w:rPr>
                <w:noProof/>
              </w:rPr>
              <w:t xml:space="preserve">Tdoc </w:t>
            </w:r>
            <w:r w:rsidR="00A90175" w:rsidRPr="00A90175">
              <w:rPr>
                <w:noProof/>
              </w:rPr>
              <w:t>C6-250338</w:t>
            </w:r>
            <w:r>
              <w:rPr>
                <w:noProof/>
              </w:rPr>
              <w:t>)</w:t>
            </w:r>
            <w:r w:rsidR="00DE4D79">
              <w:rPr>
                <w:noProof/>
              </w:rPr>
              <w:t xml:space="preserve"> seems </w:t>
            </w:r>
            <w:r>
              <w:rPr>
                <w:noProof/>
              </w:rPr>
              <w:t xml:space="preserve">missing in </w:t>
            </w:r>
            <w:r w:rsidR="000D5564">
              <w:rPr>
                <w:noProof/>
              </w:rPr>
              <w:t xml:space="preserve">latest version of </w:t>
            </w:r>
            <w:r w:rsidR="001417A7">
              <w:rPr>
                <w:noProof/>
              </w:rPr>
              <w:t xml:space="preserve">3GPP TS </w:t>
            </w:r>
            <w:r>
              <w:rPr>
                <w:noProof/>
              </w:rPr>
              <w:t>31.127 18.2.0</w:t>
            </w:r>
            <w:r w:rsidR="00B23AA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AE64B" w:rsidR="001E41F3" w:rsidRDefault="002E1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is</w:t>
            </w:r>
            <w:r w:rsidR="0027249F">
              <w:rPr>
                <w:noProof/>
              </w:rPr>
              <w:t xml:space="preserve"> corrected in clause 4.1.4, and re-a</w:t>
            </w:r>
            <w:r w:rsidR="007636B9">
              <w:rPr>
                <w:noProof/>
              </w:rPr>
              <w:t>dd</w:t>
            </w:r>
            <w:r w:rsidR="00A40659">
              <w:rPr>
                <w:noProof/>
              </w:rPr>
              <w:t>ed</w:t>
            </w:r>
            <w:r w:rsidR="007636B9">
              <w:rPr>
                <w:noProof/>
              </w:rPr>
              <w:t xml:space="preserve"> </w:t>
            </w:r>
            <w:r w:rsidR="0027249F">
              <w:rPr>
                <w:noProof/>
              </w:rPr>
              <w:t xml:space="preserve">the </w:t>
            </w:r>
            <w:r w:rsidR="007636B9">
              <w:rPr>
                <w:noProof/>
              </w:rPr>
              <w:t xml:space="preserve">missing figure </w:t>
            </w:r>
            <w:r w:rsidR="0050306C">
              <w:rPr>
                <w:noProof/>
              </w:rPr>
              <w:t>in</w:t>
            </w:r>
            <w:r w:rsidR="007636B9">
              <w:rPr>
                <w:noProof/>
              </w:rPr>
              <w:t xml:space="preserve"> </w:t>
            </w:r>
            <w:r w:rsidR="00253B84">
              <w:rPr>
                <w:noProof/>
              </w:rPr>
              <w:t xml:space="preserve">Annex </w:t>
            </w:r>
            <w:r w:rsidR="007636B9">
              <w:rPr>
                <w:noProof/>
              </w:rPr>
              <w:t>D.1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EEB34" w:rsidR="001E41F3" w:rsidRDefault="001B0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reference will exist in specification, and </w:t>
            </w:r>
            <w:r w:rsidR="00036454">
              <w:rPr>
                <w:noProof/>
              </w:rPr>
              <w:t xml:space="preserve">Illustrative figure </w:t>
            </w:r>
            <w:r w:rsidR="00ED0B72">
              <w:rPr>
                <w:noProof/>
              </w:rPr>
              <w:t xml:space="preserve">will be </w:t>
            </w:r>
            <w:r w:rsidR="00036454">
              <w:rPr>
                <w:noProof/>
              </w:rPr>
              <w:t>missing</w:t>
            </w:r>
            <w:r w:rsidR="005B29F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AD986" w:rsidR="001E41F3" w:rsidRDefault="0025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4.1.4, 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5D8B3F" w:rsidR="001E41F3" w:rsidRDefault="004A1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B3A371" w:rsidR="001E41F3" w:rsidRDefault="004A1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1D855" w:rsidR="001E41F3" w:rsidRDefault="004A1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A2FD66" w:rsidR="008863B9" w:rsidRDefault="003D7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C6-250499 </w:t>
            </w:r>
            <w:r w:rsidR="00CA4CA7">
              <w:rPr>
                <w:noProof/>
              </w:rPr>
              <w:t>was C6-250</w:t>
            </w:r>
            <w:r w:rsidR="00134078">
              <w:rPr>
                <w:noProof/>
              </w:rPr>
              <w:t>442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2DA5B" w14:textId="02C6ECB8" w:rsidR="005414AE" w:rsidRPr="000679D0" w:rsidRDefault="005414AE" w:rsidP="000679D0">
      <w:pPr>
        <w:pStyle w:val="TF"/>
        <w:rPr>
          <w:rFonts w:ascii="Times New Roman" w:hAnsi="Times New Roman"/>
          <w:b w:val="0"/>
          <w:bCs/>
          <w:sz w:val="24"/>
          <w:szCs w:val="24"/>
        </w:rPr>
      </w:pPr>
      <w:bookmarkStart w:id="1" w:name="_Toc103688306"/>
      <w:bookmarkStart w:id="2" w:name="_Toc199331362"/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lastRenderedPageBreak/>
        <w:t>####</w:t>
      </w:r>
      <w:r>
        <w:rPr>
          <w:rFonts w:ascii="Times New Roman" w:hAnsi="Times New Roman"/>
          <w:b w:val="0"/>
          <w:bCs/>
          <w:sz w:val="24"/>
          <w:szCs w:val="24"/>
          <w:highlight w:val="yellow"/>
        </w:rPr>
        <w:t>first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 xml:space="preserve"> change####</w:t>
      </w:r>
    </w:p>
    <w:p w14:paraId="7A9FF774" w14:textId="59DCEDFD" w:rsidR="00A21A54" w:rsidRPr="001D4BBD" w:rsidRDefault="00A21A54" w:rsidP="00A21A54">
      <w:pPr>
        <w:pStyle w:val="Heading3"/>
      </w:pPr>
      <w:r w:rsidRPr="001D4BBD">
        <w:t>4.1.4</w:t>
      </w:r>
      <w:r w:rsidRPr="001D4BBD">
        <w:tab/>
        <w:t>Example - test environment for seamless testing</w:t>
      </w:r>
      <w:bookmarkEnd w:id="1"/>
      <w:bookmarkEnd w:id="2"/>
    </w:p>
    <w:p w14:paraId="65E51EEA" w14:textId="77777777" w:rsidR="00A21A54" w:rsidRPr="001D4BBD" w:rsidRDefault="00A21A54" w:rsidP="00A21A54">
      <w:pPr>
        <w:overflowPunct w:val="0"/>
        <w:autoSpaceDE w:val="0"/>
        <w:autoSpaceDN w:val="0"/>
        <w:adjustRightInd w:val="0"/>
        <w:textAlignment w:val="baseline"/>
      </w:pPr>
      <w:r w:rsidRPr="001D4BBD">
        <w:t xml:space="preserve">Seamless testing within the scope of the present document relies on monitoring of data transfer between ME and </w:t>
      </w:r>
      <w:proofErr w:type="spellStart"/>
      <w:r w:rsidRPr="001D4BBD">
        <w:t>nrUSIM</w:t>
      </w:r>
      <w:proofErr w:type="spellEnd"/>
      <w:r w:rsidRPr="001D4BBD">
        <w:t xml:space="preserve"> traced by a software interface between </w:t>
      </w:r>
      <w:proofErr w:type="spellStart"/>
      <w:r w:rsidRPr="001D4BBD">
        <w:t>nrUSIM</w:t>
      </w:r>
      <w:proofErr w:type="spellEnd"/>
      <w:r w:rsidRPr="001D4BBD">
        <w:t xml:space="preserve"> and baseband implemented by the ME vendor.</w:t>
      </w:r>
    </w:p>
    <w:p w14:paraId="21DFE7ED" w14:textId="77777777" w:rsidR="00A21A54" w:rsidRPr="001D4BBD" w:rsidRDefault="00A21A54" w:rsidP="00A21A54">
      <w:pPr>
        <w:overflowPunct w:val="0"/>
        <w:autoSpaceDE w:val="0"/>
        <w:autoSpaceDN w:val="0"/>
        <w:adjustRightInd w:val="0"/>
        <w:textAlignment w:val="baseline"/>
      </w:pPr>
      <w:r w:rsidRPr="001D4BBD">
        <w:t>The logged communication can be transferred to the TT and will be used to determine if conformance requirements are met</w:t>
      </w:r>
      <w:r>
        <w:t xml:space="preserve"> (see example in Annex D)</w:t>
      </w:r>
      <w:r w:rsidRPr="001D4BBD">
        <w:t>.</w:t>
      </w:r>
    </w:p>
    <w:p w14:paraId="25D13EAC" w14:textId="3D95CA30" w:rsidR="00A21A54" w:rsidRPr="000F75D7" w:rsidRDefault="00A21A54" w:rsidP="00A21A54">
      <w:pPr>
        <w:pStyle w:val="NO"/>
      </w:pPr>
      <w:r w:rsidRPr="000F75D7">
        <w:t>NOTE:</w:t>
      </w:r>
      <w:r w:rsidRPr="000F75D7">
        <w:tab/>
        <w:t xml:space="preserve">A test toolkit applet </w:t>
      </w:r>
      <w:r>
        <w:t>may</w:t>
      </w:r>
      <w:r w:rsidRPr="000F75D7">
        <w:t xml:space="preserve"> be used for testing USAT specific test cases in TS 31.117 </w:t>
      </w:r>
      <w:bookmarkStart w:id="3" w:name="MCCQCTEMPBM_00000567"/>
      <w:r w:rsidRPr="000F75D7">
        <w:fldChar w:fldCharType="begin"/>
      </w:r>
      <w:r w:rsidRPr="000F75D7">
        <w:instrText xml:space="preserve"> REF _Ref109740730 \r \h </w:instrText>
      </w:r>
      <w:r w:rsidRPr="000F75D7">
        <w:fldChar w:fldCharType="separate"/>
      </w:r>
      <w:r w:rsidRPr="000F75D7">
        <w:t>[35]</w:t>
      </w:r>
      <w:r w:rsidRPr="000F75D7">
        <w:fldChar w:fldCharType="end"/>
      </w:r>
      <w:bookmarkEnd w:id="3"/>
      <w:r w:rsidRPr="000F75D7">
        <w:t>.</w:t>
      </w:r>
      <w:r>
        <w:t xml:space="preserve"> Refer to Annex </w:t>
      </w:r>
      <w:del w:id="4" w:author="Stanley Mayalil" w:date="2025-08-14T12:27:00Z" w16du:dateUtc="2025-08-14T19:27:00Z">
        <w:r w:rsidRPr="005A5583" w:rsidDel="00A21A54">
          <w:delText>A</w:delText>
        </w:r>
      </w:del>
      <w:ins w:id="5" w:author="Stanley Mayalil" w:date="2025-08-14T12:27:00Z" w16du:dateUtc="2025-08-14T19:27:00Z">
        <w:r>
          <w:t>B</w:t>
        </w:r>
      </w:ins>
      <w:r>
        <w:t xml:space="preserve">.1 for examples of test EFs required when using the </w:t>
      </w:r>
      <w:r w:rsidRPr="000F75D7">
        <w:t xml:space="preserve">test toolkit </w:t>
      </w:r>
      <w:r>
        <w:t>applet.</w:t>
      </w:r>
    </w:p>
    <w:p w14:paraId="43B4EDD0" w14:textId="148C0EFA" w:rsidR="005414AE" w:rsidRPr="00DF0FC4" w:rsidRDefault="005414AE" w:rsidP="00DF0FC4">
      <w:pPr>
        <w:pStyle w:val="TF"/>
        <w:rPr>
          <w:rFonts w:ascii="Times New Roman" w:hAnsi="Times New Roman"/>
          <w:b w:val="0"/>
          <w:bCs/>
          <w:sz w:val="24"/>
          <w:szCs w:val="24"/>
        </w:rPr>
      </w:pP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>####</w:t>
      </w:r>
      <w:r>
        <w:rPr>
          <w:rFonts w:ascii="Times New Roman" w:hAnsi="Times New Roman"/>
          <w:b w:val="0"/>
          <w:bCs/>
          <w:sz w:val="24"/>
          <w:szCs w:val="24"/>
          <w:highlight w:val="yellow"/>
        </w:rPr>
        <w:t>second</w:t>
      </w:r>
      <w:r w:rsidR="00B57EDA">
        <w:rPr>
          <w:rFonts w:ascii="Times New Roman" w:hAnsi="Times New Roman"/>
          <w:b w:val="0"/>
          <w:bCs/>
          <w:sz w:val="24"/>
          <w:szCs w:val="24"/>
          <w:highlight w:val="yellow"/>
        </w:rPr>
        <w:t xml:space="preserve"> 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>change####</w:t>
      </w:r>
    </w:p>
    <w:p w14:paraId="69CDFC84" w14:textId="446DC870" w:rsidR="005414AE" w:rsidRDefault="005414AE" w:rsidP="005414AE">
      <w:pPr>
        <w:pStyle w:val="Heading8"/>
      </w:pPr>
      <w:bookmarkStart w:id="6" w:name="_Toc199332531"/>
      <w:r w:rsidRPr="005307A3">
        <w:t xml:space="preserve">Annex </w:t>
      </w:r>
      <w:r>
        <w:t>D</w:t>
      </w:r>
      <w:r w:rsidRPr="005307A3">
        <w:t xml:space="preserve"> (</w:t>
      </w:r>
      <w:r>
        <w:t>infor</w:t>
      </w:r>
      <w:r w:rsidRPr="005307A3">
        <w:t>mative):</w:t>
      </w:r>
      <w:r>
        <w:br/>
      </w:r>
      <w:del w:id="7" w:author="Stanley Mayalil" w:date="2025-08-27T11:09:00Z" w16du:dateUtc="2025-08-27T09:09:00Z">
        <w:r w:rsidDel="00A10F7A">
          <w:delText xml:space="preserve">SIM </w:delText>
        </w:r>
      </w:del>
      <w:r>
        <w:t>APDU logging in seamless testing</w:t>
      </w:r>
      <w:bookmarkEnd w:id="6"/>
    </w:p>
    <w:p w14:paraId="1E5D4120" w14:textId="5170BEE9" w:rsidR="005414AE" w:rsidRPr="001D4BBD" w:rsidRDefault="005414AE" w:rsidP="005414AE">
      <w:r>
        <w:t xml:space="preserve">If the device manufacturer provides the option to facilitate the </w:t>
      </w:r>
      <w:del w:id="8" w:author="Stanley Mayalil" w:date="2025-08-27T16:28:00Z" w16du:dateUtc="2025-08-27T14:28:00Z">
        <w:r w:rsidDel="00236F1C">
          <w:delText xml:space="preserve">SIM </w:delText>
        </w:r>
      </w:del>
      <w:r>
        <w:t xml:space="preserve">APDU logging in seamless testing (see Table A.2), the </w:t>
      </w:r>
      <w:r w:rsidRPr="001D4BBD">
        <w:t xml:space="preserve">monitoring of data transfer </w:t>
      </w:r>
      <w:r>
        <w:t xml:space="preserve">seamlessly </w:t>
      </w:r>
      <w:r w:rsidRPr="001D4BBD">
        <w:t xml:space="preserve">between ME and </w:t>
      </w:r>
      <w:proofErr w:type="spellStart"/>
      <w:r w:rsidRPr="001D4BBD">
        <w:t>nrUSIM</w:t>
      </w:r>
      <w:proofErr w:type="spellEnd"/>
      <w:r w:rsidRPr="001D4BBD">
        <w:t xml:space="preserve"> can be transferred to the TT to determine if conformance requirements are met.</w:t>
      </w:r>
    </w:p>
    <w:p w14:paraId="7A98350C" w14:textId="5D0AE3A0" w:rsidR="005414AE" w:rsidRPr="004B5BF9" w:rsidRDefault="005414AE" w:rsidP="005414AE">
      <w:pPr>
        <w:pStyle w:val="Heading1"/>
        <w:rPr>
          <w:sz w:val="32"/>
          <w:szCs w:val="32"/>
        </w:rPr>
      </w:pPr>
      <w:bookmarkStart w:id="9" w:name="_Toc199332532"/>
      <w:r>
        <w:rPr>
          <w:sz w:val="32"/>
          <w:szCs w:val="32"/>
        </w:rPr>
        <w:t>D</w:t>
      </w:r>
      <w:r w:rsidRPr="004B5BF9">
        <w:rPr>
          <w:sz w:val="32"/>
          <w:szCs w:val="32"/>
        </w:rPr>
        <w:t>.1</w:t>
      </w:r>
      <w:r w:rsidRPr="004B5BF9">
        <w:rPr>
          <w:sz w:val="32"/>
          <w:szCs w:val="32"/>
        </w:rPr>
        <w:tab/>
        <w:t xml:space="preserve">Example of </w:t>
      </w:r>
      <w:del w:id="10" w:author="Stanley Mayalil" w:date="2025-08-27T11:09:00Z" w16du:dateUtc="2025-08-27T09:09:00Z">
        <w:r w:rsidRPr="004B5BF9" w:rsidDel="00A10F7A">
          <w:rPr>
            <w:sz w:val="32"/>
            <w:szCs w:val="32"/>
          </w:rPr>
          <w:delText xml:space="preserve">SIM </w:delText>
        </w:r>
      </w:del>
      <w:r w:rsidRPr="004B5BF9">
        <w:rPr>
          <w:sz w:val="32"/>
          <w:szCs w:val="32"/>
        </w:rPr>
        <w:t>APDU logging via AT interface</w:t>
      </w:r>
      <w:bookmarkEnd w:id="9"/>
    </w:p>
    <w:p w14:paraId="3C38180D" w14:textId="77777777" w:rsidR="005414AE" w:rsidRDefault="005414AE" w:rsidP="005414AE">
      <w:r>
        <w:t>In this example, the AT command (enable logging) starts the APDU logging, and AT command (disable logging) stops the APDU logging as defined in 3GPP TS 27.007 [16]</w:t>
      </w:r>
      <w:del w:id="11" w:author="Stanley Mayalil" w:date="2025-08-28T10:03:00Z" w16du:dateUtc="2025-08-28T08:03:00Z">
        <w:r w:rsidDel="00AA1EE0">
          <w:delText>)</w:delText>
        </w:r>
      </w:del>
      <w:r>
        <w:t>. The APDU data is made available to TT directly or indirectly via the AT interface.</w:t>
      </w:r>
    </w:p>
    <w:p w14:paraId="4EDD36FD" w14:textId="7D257C32" w:rsidR="00DF322B" w:rsidRDefault="00C41ECB" w:rsidP="000029C1">
      <w:pPr>
        <w:rPr>
          <w:ins w:id="12" w:author="Stanley Mayalil" w:date="2025-08-27T09:00:00Z" w16du:dateUtc="2025-08-27T07:00:00Z"/>
        </w:rPr>
      </w:pPr>
      <w:del w:id="13" w:author="Stanley Mayalil" w:date="2025-08-28T10:04:00Z" w16du:dateUtc="2025-08-28T08:04:00Z">
        <w:r w:rsidDel="00206799">
          <w:rPr>
            <w:noProof/>
          </w:rPr>
          <w:lastRenderedPageBreak/>
          <w:fldChar w:fldCharType="begin"/>
        </w:r>
        <w:r w:rsidDel="00206799">
          <w:rPr>
            <w:noProof/>
          </w:rPr>
          <w:fldChar w:fldCharType="separate"/>
        </w:r>
        <w:r w:rsidDel="00206799">
          <w:rPr>
            <w:noProof/>
          </w:rPr>
          <w:fldChar w:fldCharType="end"/>
        </w:r>
      </w:del>
      <w:ins w:id="14" w:author="Stanley Mayalil" w:date="2025-08-28T10:04:00Z" w16du:dateUtc="2025-08-28T08:04:00Z">
        <w:r w:rsidR="00E511FD">
          <w:rPr>
            <w:noProof/>
          </w:rPr>
          <w:object w:dxaOrig="14677" w:dyaOrig="11929" w14:anchorId="4C9A68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3.25pt;height:368.9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817880814" r:id="rId13"/>
          </w:object>
        </w:r>
      </w:ins>
    </w:p>
    <w:p w14:paraId="3A26B4E1" w14:textId="555E39EF" w:rsidR="003313C0" w:rsidRPr="001D4BBD" w:rsidRDefault="003313C0" w:rsidP="003313C0">
      <w:pPr>
        <w:pStyle w:val="TF"/>
        <w:rPr>
          <w:ins w:id="15" w:author="Stanley Mayalil" w:date="2025-08-27T09:00:00Z" w16du:dateUtc="2025-08-27T07:00:00Z"/>
        </w:rPr>
      </w:pPr>
      <w:ins w:id="16" w:author="Stanley Mayalil" w:date="2025-08-27T09:00:00Z" w16du:dateUtc="2025-08-27T07:00:00Z">
        <w:r w:rsidRPr="001D4BBD">
          <w:t xml:space="preserve">Figure </w:t>
        </w:r>
        <w:r>
          <w:t>D</w:t>
        </w:r>
        <w:r w:rsidRPr="001D4BBD">
          <w:t xml:space="preserve">.1: </w:t>
        </w:r>
        <w:r>
          <w:t>Example of APDU logging via AT interface</w:t>
        </w:r>
      </w:ins>
    </w:p>
    <w:p w14:paraId="455C5FC6" w14:textId="77777777" w:rsidR="003313C0" w:rsidRDefault="003313C0">
      <w:pPr>
        <w:rPr>
          <w:noProof/>
        </w:rPr>
      </w:pPr>
    </w:p>
    <w:p w14:paraId="7F114B09" w14:textId="771C4480" w:rsidR="000E26DF" w:rsidRPr="003B74A6" w:rsidRDefault="000E26DF" w:rsidP="000E26DF">
      <w:pPr>
        <w:pStyle w:val="TF"/>
        <w:rPr>
          <w:rFonts w:ascii="Times New Roman" w:hAnsi="Times New Roman"/>
          <w:b w:val="0"/>
          <w:bCs/>
          <w:sz w:val="24"/>
          <w:szCs w:val="24"/>
        </w:rPr>
      </w:pP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>####</w:t>
      </w:r>
      <w:r>
        <w:rPr>
          <w:rFonts w:ascii="Times New Roman" w:hAnsi="Times New Roman"/>
          <w:b w:val="0"/>
          <w:bCs/>
          <w:sz w:val="24"/>
          <w:szCs w:val="24"/>
          <w:highlight w:val="yellow"/>
        </w:rPr>
        <w:t>end of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 xml:space="preserve"> change</w:t>
      </w:r>
      <w:r w:rsidR="00895404">
        <w:rPr>
          <w:rFonts w:ascii="Times New Roman" w:hAnsi="Times New Roman"/>
          <w:b w:val="0"/>
          <w:bCs/>
          <w:sz w:val="24"/>
          <w:szCs w:val="24"/>
          <w:highlight w:val="yellow"/>
        </w:rPr>
        <w:t>s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>####</w:t>
      </w:r>
    </w:p>
    <w:p w14:paraId="59E4F062" w14:textId="77777777" w:rsidR="005414AE" w:rsidRDefault="005414AE">
      <w:pPr>
        <w:rPr>
          <w:noProof/>
        </w:rPr>
      </w:pPr>
    </w:p>
    <w:sectPr w:rsidR="005414A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17D9F" w14:textId="77777777" w:rsidR="00E511FD" w:rsidRDefault="00E511FD">
      <w:r>
        <w:separator/>
      </w:r>
    </w:p>
  </w:endnote>
  <w:endnote w:type="continuationSeparator" w:id="0">
    <w:p w14:paraId="0280FC74" w14:textId="77777777" w:rsidR="00E511FD" w:rsidRDefault="00E5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F1B8F" w14:textId="77777777" w:rsidR="00E511FD" w:rsidRDefault="00E511FD">
      <w:r>
        <w:separator/>
      </w:r>
    </w:p>
  </w:footnote>
  <w:footnote w:type="continuationSeparator" w:id="0">
    <w:p w14:paraId="34406C30" w14:textId="77777777" w:rsidR="00E511FD" w:rsidRDefault="00E5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C1"/>
    <w:rsid w:val="00022E4A"/>
    <w:rsid w:val="00024CE1"/>
    <w:rsid w:val="00036454"/>
    <w:rsid w:val="000679D0"/>
    <w:rsid w:val="00070E09"/>
    <w:rsid w:val="000730CE"/>
    <w:rsid w:val="00094CF1"/>
    <w:rsid w:val="000A6394"/>
    <w:rsid w:val="000B7FED"/>
    <w:rsid w:val="000C038A"/>
    <w:rsid w:val="000C6598"/>
    <w:rsid w:val="000D44B3"/>
    <w:rsid w:val="000D5564"/>
    <w:rsid w:val="000E26DF"/>
    <w:rsid w:val="00134078"/>
    <w:rsid w:val="001417A7"/>
    <w:rsid w:val="00144F04"/>
    <w:rsid w:val="00145D43"/>
    <w:rsid w:val="0016596F"/>
    <w:rsid w:val="00167CE8"/>
    <w:rsid w:val="00192C46"/>
    <w:rsid w:val="001A08B3"/>
    <w:rsid w:val="001A7B60"/>
    <w:rsid w:val="001B070D"/>
    <w:rsid w:val="001B52F0"/>
    <w:rsid w:val="001B7A65"/>
    <w:rsid w:val="001E41F3"/>
    <w:rsid w:val="00206799"/>
    <w:rsid w:val="00236F1C"/>
    <w:rsid w:val="00245848"/>
    <w:rsid w:val="00253B84"/>
    <w:rsid w:val="0026004D"/>
    <w:rsid w:val="002640DD"/>
    <w:rsid w:val="0027249F"/>
    <w:rsid w:val="00275D12"/>
    <w:rsid w:val="002767C4"/>
    <w:rsid w:val="00284FEB"/>
    <w:rsid w:val="002860C4"/>
    <w:rsid w:val="002A581A"/>
    <w:rsid w:val="002B5741"/>
    <w:rsid w:val="002B7FA1"/>
    <w:rsid w:val="002E1486"/>
    <w:rsid w:val="002E25A1"/>
    <w:rsid w:val="002E472E"/>
    <w:rsid w:val="002F6EB8"/>
    <w:rsid w:val="00305409"/>
    <w:rsid w:val="003313C0"/>
    <w:rsid w:val="003609EF"/>
    <w:rsid w:val="0036231A"/>
    <w:rsid w:val="00363233"/>
    <w:rsid w:val="00374DD4"/>
    <w:rsid w:val="0037790F"/>
    <w:rsid w:val="003D7D5F"/>
    <w:rsid w:val="003E1A36"/>
    <w:rsid w:val="00410371"/>
    <w:rsid w:val="004242F1"/>
    <w:rsid w:val="00430BAD"/>
    <w:rsid w:val="00433181"/>
    <w:rsid w:val="00436ED4"/>
    <w:rsid w:val="0044425A"/>
    <w:rsid w:val="00496342"/>
    <w:rsid w:val="004A19EC"/>
    <w:rsid w:val="004B75B7"/>
    <w:rsid w:val="004C13A9"/>
    <w:rsid w:val="0050306C"/>
    <w:rsid w:val="005141D9"/>
    <w:rsid w:val="0051580D"/>
    <w:rsid w:val="005414AE"/>
    <w:rsid w:val="00547111"/>
    <w:rsid w:val="00592D74"/>
    <w:rsid w:val="005B237F"/>
    <w:rsid w:val="005B29F7"/>
    <w:rsid w:val="005E2C44"/>
    <w:rsid w:val="00621188"/>
    <w:rsid w:val="006257ED"/>
    <w:rsid w:val="00653DE4"/>
    <w:rsid w:val="0065736E"/>
    <w:rsid w:val="00665C47"/>
    <w:rsid w:val="00695808"/>
    <w:rsid w:val="006A5275"/>
    <w:rsid w:val="006B46FB"/>
    <w:rsid w:val="006E21FB"/>
    <w:rsid w:val="00750C01"/>
    <w:rsid w:val="007636B9"/>
    <w:rsid w:val="00792342"/>
    <w:rsid w:val="007977A8"/>
    <w:rsid w:val="007B512A"/>
    <w:rsid w:val="007C2097"/>
    <w:rsid w:val="007D6A07"/>
    <w:rsid w:val="007F494A"/>
    <w:rsid w:val="007F7259"/>
    <w:rsid w:val="008040A8"/>
    <w:rsid w:val="008279FA"/>
    <w:rsid w:val="00856459"/>
    <w:rsid w:val="008626E7"/>
    <w:rsid w:val="008647C3"/>
    <w:rsid w:val="00870EE7"/>
    <w:rsid w:val="00876436"/>
    <w:rsid w:val="008863B9"/>
    <w:rsid w:val="00895404"/>
    <w:rsid w:val="008A37B5"/>
    <w:rsid w:val="008A45A6"/>
    <w:rsid w:val="008D3CCC"/>
    <w:rsid w:val="008F27F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F4E"/>
    <w:rsid w:val="009E3297"/>
    <w:rsid w:val="009F734F"/>
    <w:rsid w:val="009F7EC5"/>
    <w:rsid w:val="00A10F7A"/>
    <w:rsid w:val="00A21A54"/>
    <w:rsid w:val="00A246B6"/>
    <w:rsid w:val="00A36914"/>
    <w:rsid w:val="00A40659"/>
    <w:rsid w:val="00A47E70"/>
    <w:rsid w:val="00A50CF0"/>
    <w:rsid w:val="00A7671C"/>
    <w:rsid w:val="00A90175"/>
    <w:rsid w:val="00AA1EE0"/>
    <w:rsid w:val="00AA2CBC"/>
    <w:rsid w:val="00AC5820"/>
    <w:rsid w:val="00AD1CD8"/>
    <w:rsid w:val="00AE6C97"/>
    <w:rsid w:val="00B23AA5"/>
    <w:rsid w:val="00B258BB"/>
    <w:rsid w:val="00B30B9F"/>
    <w:rsid w:val="00B47C4F"/>
    <w:rsid w:val="00B579A9"/>
    <w:rsid w:val="00B57EDA"/>
    <w:rsid w:val="00B633BD"/>
    <w:rsid w:val="00B67B97"/>
    <w:rsid w:val="00B968C8"/>
    <w:rsid w:val="00BA3EC5"/>
    <w:rsid w:val="00BA51D9"/>
    <w:rsid w:val="00BB5DFC"/>
    <w:rsid w:val="00BC7D2B"/>
    <w:rsid w:val="00BD279D"/>
    <w:rsid w:val="00BD6BB8"/>
    <w:rsid w:val="00BD6FCD"/>
    <w:rsid w:val="00BF535E"/>
    <w:rsid w:val="00C3668F"/>
    <w:rsid w:val="00C41ECB"/>
    <w:rsid w:val="00C66BA2"/>
    <w:rsid w:val="00C67807"/>
    <w:rsid w:val="00C870F6"/>
    <w:rsid w:val="00C907B5"/>
    <w:rsid w:val="00C95985"/>
    <w:rsid w:val="00CA4CA7"/>
    <w:rsid w:val="00CB7946"/>
    <w:rsid w:val="00CC5026"/>
    <w:rsid w:val="00CC68D0"/>
    <w:rsid w:val="00CF1B4A"/>
    <w:rsid w:val="00D03F9A"/>
    <w:rsid w:val="00D06D51"/>
    <w:rsid w:val="00D2284A"/>
    <w:rsid w:val="00D24991"/>
    <w:rsid w:val="00D50255"/>
    <w:rsid w:val="00D66520"/>
    <w:rsid w:val="00D84AE9"/>
    <w:rsid w:val="00D9124E"/>
    <w:rsid w:val="00DA39A4"/>
    <w:rsid w:val="00DE34CF"/>
    <w:rsid w:val="00DE4D79"/>
    <w:rsid w:val="00DF0FC4"/>
    <w:rsid w:val="00DF322B"/>
    <w:rsid w:val="00E02B0D"/>
    <w:rsid w:val="00E13F3D"/>
    <w:rsid w:val="00E34898"/>
    <w:rsid w:val="00E511FD"/>
    <w:rsid w:val="00E5460C"/>
    <w:rsid w:val="00E9122C"/>
    <w:rsid w:val="00EB09B7"/>
    <w:rsid w:val="00ED0B72"/>
    <w:rsid w:val="00ED2906"/>
    <w:rsid w:val="00EE7D7C"/>
    <w:rsid w:val="00EF2331"/>
    <w:rsid w:val="00EF38D2"/>
    <w:rsid w:val="00F147F2"/>
    <w:rsid w:val="00F25D98"/>
    <w:rsid w:val="00F300FB"/>
    <w:rsid w:val="00F370D2"/>
    <w:rsid w:val="00F659C2"/>
    <w:rsid w:val="00FB56D0"/>
    <w:rsid w:val="00FB6386"/>
    <w:rsid w:val="00FD2CBA"/>
    <w:rsid w:val="00FF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A21A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21A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21A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414A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5414AE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5414A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F3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322B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DF32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100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117</cp:revision>
  <cp:lastPrinted>1900-01-01T08:00:00Z</cp:lastPrinted>
  <dcterms:created xsi:type="dcterms:W3CDTF">2020-02-03T08:32:00Z</dcterms:created>
  <dcterms:modified xsi:type="dcterms:W3CDTF">2025-08-28T08:06:00Z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26th Aug 2025</vt:lpwstr>
  </property>
  <property fmtid="{D5CDD505-2E9C-101B-9397-08002B2CF9AE}" pid="8" name="EndDate">
    <vt:lpwstr>29th Aug 2025</vt:lpwstr>
  </property>
  <property fmtid="{D5CDD505-2E9C-101B-9397-08002B2CF9AE}" pid="9" name="Tdoc#">
    <vt:lpwstr>C6-250442</vt:lpwstr>
  </property>
  <property fmtid="{D5CDD505-2E9C-101B-9397-08002B2CF9AE}" pid="10" name="Spec#">
    <vt:lpwstr>31.127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Missing figure in Clause D.1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