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BAF" w:rsidRPr="00C16BAF" w:rsidRDefault="00C16BAF" w:rsidP="00FE7077">
      <w:pPr>
        <w:rPr>
          <w:rFonts w:ascii="Arial" w:hAnsi="Arial"/>
          <w:b/>
          <w:i/>
          <w:noProof/>
          <w:sz w:val="24"/>
        </w:rPr>
      </w:pPr>
      <w:r w:rsidRPr="00C16BAF">
        <w:rPr>
          <w:rFonts w:ascii="Arial" w:hAnsi="Arial"/>
          <w:b/>
          <w:noProof/>
          <w:sz w:val="24"/>
        </w:rPr>
        <w:t>3GPP TSG CT WG1 Meeting #</w:t>
      </w:r>
      <w:r w:rsidR="00F35453">
        <w:rPr>
          <w:rFonts w:ascii="Arial" w:hAnsi="Arial"/>
          <w:b/>
          <w:noProof/>
          <w:sz w:val="24"/>
        </w:rPr>
        <w:t>101</w:t>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587973">
        <w:rPr>
          <w:rFonts w:ascii="Arial" w:hAnsi="Arial"/>
          <w:b/>
          <w:i/>
          <w:noProof/>
          <w:sz w:val="24"/>
        </w:rPr>
        <w:t xml:space="preserve">       </w:t>
      </w:r>
      <w:bookmarkStart w:id="0" w:name="_GoBack"/>
      <w:bookmarkEnd w:id="0"/>
      <w:r w:rsidRPr="00C16BAF">
        <w:rPr>
          <w:rFonts w:ascii="Arial" w:hAnsi="Arial"/>
          <w:b/>
          <w:noProof/>
          <w:sz w:val="24"/>
        </w:rPr>
        <w:t>C1-1</w:t>
      </w:r>
      <w:r w:rsidR="009D0909">
        <w:rPr>
          <w:rFonts w:ascii="Arial" w:hAnsi="Arial"/>
          <w:b/>
          <w:noProof/>
          <w:sz w:val="24"/>
        </w:rPr>
        <w:t>65060</w:t>
      </w:r>
    </w:p>
    <w:p w:rsidR="00DA2CEA" w:rsidRDefault="00F35453" w:rsidP="00FE7077">
      <w:pPr>
        <w:rPr>
          <w:rFonts w:ascii="Arial" w:hAnsi="Arial" w:cs="Arial"/>
          <w:b/>
          <w:noProof/>
          <w:sz w:val="24"/>
        </w:rPr>
      </w:pPr>
      <w:r w:rsidRPr="00F35453">
        <w:rPr>
          <w:rFonts w:ascii="Arial" w:hAnsi="Arial" w:cs="Arial"/>
          <w:b/>
          <w:noProof/>
          <w:sz w:val="24"/>
        </w:rPr>
        <w:t>Reno, NV (USA), 14-18 November 2016</w:t>
      </w:r>
    </w:p>
    <w:p w:rsidR="00587973" w:rsidRDefault="00587973" w:rsidP="00FE7077">
      <w:pPr>
        <w:rPr>
          <w:rFonts w:ascii="Arial" w:hAnsi="Arial" w:cs="Arial"/>
          <w:b/>
          <w:noProof/>
          <w:sz w:val="24"/>
        </w:rPr>
      </w:pPr>
    </w:p>
    <w:p w:rsidR="00587973" w:rsidRDefault="00587973" w:rsidP="00587973">
      <w:pPr>
        <w:pBdr>
          <w:bottom w:val="single" w:sz="4" w:space="1" w:color="auto"/>
        </w:pBdr>
        <w:tabs>
          <w:tab w:val="left" w:pos="2127"/>
        </w:tabs>
        <w:jc w:val="both"/>
        <w:rPr>
          <w:rFonts w:ascii="Arial" w:eastAsia="Batang" w:hAnsi="Arial"/>
          <w:b/>
          <w:lang w:eastAsia="zh-CN"/>
        </w:rPr>
      </w:pPr>
    </w:p>
    <w:p w:rsidR="00587973" w:rsidRDefault="00587973" w:rsidP="00587973">
      <w:pPr>
        <w:pStyle w:val="CRCoverPage"/>
        <w:tabs>
          <w:tab w:val="right" w:pos="9639"/>
        </w:tabs>
        <w:spacing w:after="0"/>
        <w:rPr>
          <w:b/>
          <w:noProof/>
          <w:sz w:val="24"/>
        </w:rPr>
      </w:pPr>
      <w:r>
        <w:rPr>
          <w:b/>
          <w:noProof/>
          <w:sz w:val="24"/>
        </w:rPr>
        <w:t>3GPP TSG CT4 Meeting #75</w:t>
      </w:r>
      <w:r>
        <w:rPr>
          <w:b/>
          <w:noProof/>
          <w:sz w:val="24"/>
        </w:rPr>
        <w:tab/>
      </w:r>
      <w:r>
        <w:rPr>
          <w:b/>
          <w:noProof/>
          <w:sz w:val="24"/>
        </w:rPr>
        <w:t>C4-166190</w:t>
      </w:r>
    </w:p>
    <w:p w:rsidR="00587973" w:rsidRDefault="00587973" w:rsidP="00587973">
      <w:pPr>
        <w:pStyle w:val="CRCoverPage"/>
        <w:tabs>
          <w:tab w:val="right" w:pos="9639"/>
        </w:tabs>
        <w:spacing w:after="0"/>
        <w:rPr>
          <w:b/>
          <w:noProof/>
          <w:sz w:val="24"/>
        </w:rPr>
      </w:pPr>
      <w:r>
        <w:rPr>
          <w:b/>
          <w:noProof/>
          <w:sz w:val="24"/>
        </w:rPr>
        <w:t>Reno, NV (USA), 14-18 November 2016</w:t>
      </w:r>
    </w:p>
    <w:p w:rsidR="00587973" w:rsidRPr="00F35453" w:rsidRDefault="00587973" w:rsidP="00587973">
      <w:pPr>
        <w:rPr>
          <w:rFonts w:ascii="Arial" w:hAnsi="Arial" w:cs="Arial"/>
          <w:b/>
          <w:noProof/>
          <w:sz w:val="24"/>
        </w:rPr>
      </w:pP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p>
    <w:p w:rsidR="00C16BAF" w:rsidRPr="00F9716A" w:rsidRDefault="00C16BAF" w:rsidP="00C16BAF">
      <w:pPr>
        <w:rPr>
          <w:rFonts w:ascii="Arial" w:hAnsi="Arial" w:cs="Arial"/>
          <w:b/>
          <w:bCs/>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144A2A">
        <w:rPr>
          <w:rFonts w:ascii="Arial" w:hAnsi="Arial" w:cs="Arial"/>
          <w:b/>
          <w:bCs/>
        </w:rPr>
        <w:t>Intel</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362BFB">
        <w:rPr>
          <w:rFonts w:ascii="Arial" w:hAnsi="Arial" w:cs="Arial"/>
          <w:b/>
          <w:bCs/>
        </w:rPr>
        <w:t>Statu</w:t>
      </w:r>
      <w:r w:rsidR="00144A2A">
        <w:rPr>
          <w:rFonts w:ascii="Arial" w:hAnsi="Arial" w:cs="Arial"/>
          <w:b/>
          <w:bCs/>
        </w:rPr>
        <w:t>s on the SA2 work on Extended Architecture support for CIoT</w:t>
      </w:r>
    </w:p>
    <w:p w:rsidR="00236D1F" w:rsidRDefault="00362BFB">
      <w:pPr>
        <w:spacing w:after="120"/>
        <w:ind w:left="1985" w:hanging="1985"/>
        <w:rPr>
          <w:rFonts w:ascii="Arial" w:hAnsi="Arial" w:cs="Arial"/>
          <w:b/>
          <w:bCs/>
        </w:rPr>
      </w:pPr>
      <w:r>
        <w:rPr>
          <w:rFonts w:ascii="Arial" w:hAnsi="Arial" w:cs="Arial"/>
          <w:b/>
          <w:bCs/>
        </w:rPr>
        <w:t>Agenda item:</w:t>
      </w:r>
      <w:r>
        <w:rPr>
          <w:rFonts w:ascii="Arial" w:hAnsi="Arial" w:cs="Arial"/>
          <w:b/>
          <w:bCs/>
        </w:rPr>
        <w:tab/>
        <w:t>14.1.3</w:t>
      </w:r>
    </w:p>
    <w:p w:rsidR="00236D1F" w:rsidRDefault="00236D1F" w:rsidP="00362BFB">
      <w:pPr>
        <w:spacing w:after="120"/>
        <w:ind w:left="1980" w:hanging="1980"/>
        <w:rPr>
          <w:rFonts w:ascii="Arial" w:hAnsi="Arial" w:cs="Arial"/>
          <w:b/>
          <w:bCs/>
        </w:rPr>
      </w:pPr>
      <w:r>
        <w:rPr>
          <w:rFonts w:ascii="Arial" w:hAnsi="Arial" w:cs="Arial"/>
          <w:b/>
          <w:bCs/>
        </w:rPr>
        <w:t>Document for:</w:t>
      </w:r>
      <w:r>
        <w:rPr>
          <w:rFonts w:ascii="Arial" w:hAnsi="Arial" w:cs="Arial"/>
          <w:b/>
          <w:bCs/>
        </w:rPr>
        <w:tab/>
      </w:r>
      <w:r w:rsidR="00362BFB">
        <w:rPr>
          <w:rFonts w:ascii="Arial" w:hAnsi="Arial" w:cs="Arial"/>
          <w:b/>
          <w:bCs/>
        </w:rPr>
        <w:t>Information</w:t>
      </w:r>
    </w:p>
    <w:p w:rsidR="00236D1F" w:rsidRDefault="00236D1F">
      <w:pPr>
        <w:pBdr>
          <w:bottom w:val="single" w:sz="4" w:space="1" w:color="auto"/>
        </w:pBdr>
        <w:rPr>
          <w:rFonts w:ascii="Arial" w:hAnsi="Arial" w:cs="Arial"/>
          <w:b/>
          <w:bCs/>
        </w:rPr>
      </w:pPr>
    </w:p>
    <w:p w:rsidR="00236D1F" w:rsidRDefault="005D6186" w:rsidP="00274CE0">
      <w:pPr>
        <w:pStyle w:val="Heading1"/>
      </w:pPr>
      <w:r>
        <w:t xml:space="preserve">1. </w:t>
      </w:r>
      <w:r w:rsidR="00274CE0">
        <w:t>Introduction</w:t>
      </w:r>
    </w:p>
    <w:p w:rsidR="00906672" w:rsidRDefault="00906672" w:rsidP="003B4116">
      <w:pPr>
        <w:spacing w:after="120"/>
      </w:pPr>
      <w:r>
        <w:t xml:space="preserve">This paper attempts to summarize the progress in the ongoing stage 2 work on </w:t>
      </w:r>
      <w:r w:rsidR="003D3398">
        <w:t>Extended architecture support for CIoT (CIoT_Ext</w:t>
      </w:r>
      <w:r>
        <w:t>).</w:t>
      </w:r>
      <w:r w:rsidR="00FA57F9">
        <w:t xml:space="preserve"> </w:t>
      </w:r>
      <w:r w:rsidR="00FA57F9">
        <w:rPr>
          <w:lang w:eastAsia="ja-JP"/>
        </w:rPr>
        <w:t>SA2 has initiated a study item FS_CIoT_Ext (see S2-163133 and TR 23.730</w:t>
      </w:r>
      <w:r w:rsidR="00B91F93">
        <w:rPr>
          <w:lang w:eastAsia="ja-JP"/>
        </w:rPr>
        <w:t xml:space="preserve"> ver 1.2.0</w:t>
      </w:r>
      <w:r w:rsidR="00FA57F9">
        <w:rPr>
          <w:lang w:eastAsia="ja-JP"/>
        </w:rPr>
        <w:t xml:space="preserve">) </w:t>
      </w:r>
      <w:r w:rsidR="00B91F93">
        <w:rPr>
          <w:lang w:eastAsia="ja-JP"/>
        </w:rPr>
        <w:t>i</w:t>
      </w:r>
      <w:r w:rsidR="00FA57F9">
        <w:rPr>
          <w:lang w:eastAsia="ja-JP"/>
        </w:rPr>
        <w:t xml:space="preserve">n </w:t>
      </w:r>
      <w:r w:rsidR="00B91F93">
        <w:rPr>
          <w:lang w:eastAsia="ja-JP"/>
        </w:rPr>
        <w:t>r</w:t>
      </w:r>
      <w:r w:rsidR="00FA57F9">
        <w:rPr>
          <w:lang w:eastAsia="ja-JP"/>
        </w:rPr>
        <w:t>el</w:t>
      </w:r>
      <w:r w:rsidR="00B91F93">
        <w:rPr>
          <w:lang w:eastAsia="ja-JP"/>
        </w:rPr>
        <w:t>ease</w:t>
      </w:r>
      <w:r w:rsidR="00FA57F9">
        <w:rPr>
          <w:lang w:eastAsia="ja-JP"/>
        </w:rPr>
        <w:t xml:space="preserve">-14 to study extended architecture support for </w:t>
      </w:r>
      <w:r w:rsidR="00FA57F9">
        <w:t>Cellular Internet of Things (</w:t>
      </w:r>
      <w:r w:rsidR="00FA57F9">
        <w:rPr>
          <w:lang w:eastAsia="ja-JP"/>
        </w:rPr>
        <w:t xml:space="preserve">CIoT). </w:t>
      </w:r>
      <w:r w:rsidR="00FA57F9">
        <w:t xml:space="preserve">SA2 has completed the study on several key issues and conclusions have been captured in TR 23.730. SA2 has created a normative WID (SP-160732) that was approved in last plenary and </w:t>
      </w:r>
      <w:r w:rsidR="00B91F93">
        <w:t>a CR with impacts to TS 23.401 has</w:t>
      </w:r>
      <w:r w:rsidR="00FA57F9">
        <w:t xml:space="preserve"> been agreed.</w:t>
      </w:r>
    </w:p>
    <w:p w:rsidR="00B91F93" w:rsidRDefault="00B91F93" w:rsidP="003B4116">
      <w:pPr>
        <w:spacing w:after="120"/>
      </w:pPr>
      <w:r>
        <w:t>However there are still a few key issues for which currently there are no conclusions in TR 23.730 and the key issues for which conclusions have been agreed can be further updated.</w:t>
      </w:r>
    </w:p>
    <w:p w:rsidR="004665A3" w:rsidRDefault="004665A3" w:rsidP="00274CE0"/>
    <w:p w:rsidR="003B4116" w:rsidRDefault="005D6186" w:rsidP="00D40F5C">
      <w:pPr>
        <w:pStyle w:val="Heading1"/>
      </w:pPr>
      <w:r>
        <w:t xml:space="preserve">2. </w:t>
      </w:r>
      <w:r w:rsidR="00D40F5C">
        <w:t>SA2 WID objectives and potential CT impacts</w:t>
      </w:r>
    </w:p>
    <w:p w:rsidR="00FA57F9" w:rsidRDefault="00FA57F9" w:rsidP="00D40F5C">
      <w:r>
        <w:t>In TR 23.730 version 1.2.0 (2016-10) SA2 has specified conclusions for several key issues. We analyse these conclusions and provide some views on potential impacts to CT WGs.</w:t>
      </w:r>
    </w:p>
    <w:p w:rsidR="00D40F5C" w:rsidRDefault="00D40F5C" w:rsidP="00D40F5C"/>
    <w:p w:rsidR="00D40F5C" w:rsidRPr="00D40F5C" w:rsidRDefault="005D6186" w:rsidP="00602747">
      <w:pPr>
        <w:pStyle w:val="Heading2"/>
        <w:spacing w:after="120"/>
        <w:ind w:right="288"/>
      </w:pPr>
      <w:r>
        <w:t xml:space="preserve">2.1 </w:t>
      </w:r>
      <w:r w:rsidR="00FA57F9">
        <w:t>Key Issue 1 – Authorization of use of Coverage Enhancements</w:t>
      </w:r>
      <w:r w:rsidR="00D40F5C" w:rsidRPr="00D40F5C">
        <w:t>.</w:t>
      </w:r>
    </w:p>
    <w:p w:rsidR="001C23E5" w:rsidRDefault="006A504F" w:rsidP="006A504F">
      <w:r>
        <w:rPr>
          <w:lang w:eastAsia="ko-KR"/>
        </w:rPr>
        <w:t>Key Issue 1 deals with the feature to authorize usage o</w:t>
      </w:r>
      <w:r w:rsidR="001C23E5">
        <w:rPr>
          <w:lang w:eastAsia="ko-KR"/>
        </w:rPr>
        <w:t>f the Coverage Enhancement (CE)</w:t>
      </w:r>
      <w:r>
        <w:rPr>
          <w:lang w:eastAsia="ko-KR"/>
        </w:rPr>
        <w:t xml:space="preserve"> functionality to ensure that only specific subscribers (e.g. those subscribed to use this service) are able to benefit from this feature. SA2 has currently </w:t>
      </w:r>
      <w:r>
        <w:t xml:space="preserve">recommended that solution 1 in TR 23.730 in clause 6.1 be the basis for normative </w:t>
      </w:r>
      <w:r w:rsidR="0025089E">
        <w:t>work</w:t>
      </w:r>
      <w:r>
        <w:t xml:space="preserve">. This solution </w:t>
      </w:r>
      <w:r>
        <w:rPr>
          <w:lang w:eastAsia="ko-KR"/>
        </w:rPr>
        <w:t>introduces a new subscription parameter in HSS called Enhanced Coverage Allowed parameter which is kept in HSS and specifies on a per PLMN basis whether enhanced coverage functionality is allowed or not for the UE. Third</w:t>
      </w:r>
      <w:r>
        <w:t xml:space="preserve"> party service providers can query the status of, or request MNO to enable/disable Enhanced Coverage via the SCEF. </w:t>
      </w:r>
    </w:p>
    <w:p w:rsidR="001C23E5" w:rsidRDefault="001C23E5" w:rsidP="006A504F"/>
    <w:p w:rsidR="001C23E5" w:rsidRDefault="006A504F" w:rsidP="006A504F">
      <w:r>
        <w:t>This solu</w:t>
      </w:r>
      <w:r w:rsidR="001C23E5">
        <w:t>tion has impacts in CT1 and CT4 and possibly in CT3.</w:t>
      </w:r>
      <w:r w:rsidR="0093427C">
        <w:t xml:space="preserve"> The </w:t>
      </w:r>
      <w:r w:rsidR="001C23E5">
        <w:t>CT1 impacts would involve updating NAS procedures (ATTACH ACCEPT, TAU/RAU ACCEPT) to receive the Enhanced Coverage Allowed parameter, store this parameter per PLMN in the UE and then based on value of this parameter use the enhanced coverage capability.</w:t>
      </w:r>
    </w:p>
    <w:p w:rsidR="006A504F" w:rsidRDefault="006A504F" w:rsidP="006A504F"/>
    <w:p w:rsidR="006A504F" w:rsidRDefault="001C23E5" w:rsidP="006A504F">
      <w:pPr>
        <w:rPr>
          <w:lang w:eastAsia="zh-CN"/>
        </w:rPr>
      </w:pPr>
      <w:r>
        <w:rPr>
          <w:lang w:eastAsia="zh-CN"/>
        </w:rPr>
        <w:t>The HSS would need to update the subscription information to determine whether UE is allowed to use (CE) or not and then provide t</w:t>
      </w:r>
      <w:r w:rsidR="00180B7B">
        <w:rPr>
          <w:lang w:eastAsia="zh-CN"/>
        </w:rPr>
        <w:t>h</w:t>
      </w:r>
      <w:r>
        <w:rPr>
          <w:lang w:eastAsia="zh-CN"/>
        </w:rPr>
        <w:t>is information to MME where it will be stored as part of MM context. The SCEF could query the HSS to determine the status of enhanced coverage and if required enable or disable it. This would have CT4 impacts.</w:t>
      </w:r>
    </w:p>
    <w:p w:rsidR="00FA57F9" w:rsidRDefault="00FA57F9" w:rsidP="00D40F5C">
      <w:pPr>
        <w:rPr>
          <w:lang w:eastAsia="zh-CN"/>
        </w:rPr>
      </w:pPr>
    </w:p>
    <w:p w:rsidR="00EB7D56" w:rsidRPr="00D40F5C" w:rsidRDefault="00EB7D56" w:rsidP="00EB7D56">
      <w:pPr>
        <w:pStyle w:val="Heading2"/>
        <w:spacing w:after="120"/>
        <w:ind w:right="288"/>
      </w:pPr>
      <w:r>
        <w:t>2.2 Key Issue 2 – Reliable communication service between UE and SCEF</w:t>
      </w:r>
      <w:r w:rsidRPr="00D40F5C">
        <w:t>.</w:t>
      </w:r>
    </w:p>
    <w:p w:rsidR="00EB7D56" w:rsidRDefault="009A3783" w:rsidP="00EB7D56">
      <w:r>
        <w:rPr>
          <w:lang w:eastAsia="ko-KR"/>
        </w:rPr>
        <w:t xml:space="preserve">In Rel-13 the solution for non-IP data delivery (NIDD) via the SCEF is unreliable. </w:t>
      </w:r>
      <w:r w:rsidR="00EB7D56">
        <w:rPr>
          <w:lang w:eastAsia="ko-KR"/>
        </w:rPr>
        <w:t>Key Issue 2 requires the system to</w:t>
      </w:r>
      <w:r w:rsidR="00EB7D56">
        <w:t xml:space="preserve"> support </w:t>
      </w:r>
      <w:r>
        <w:t>reliable data delivery between the UE and SCEF and further a third party service provider should be able to enable/disable this capability</w:t>
      </w:r>
      <w:r w:rsidR="00EB7D56">
        <w:t xml:space="preserve">. </w:t>
      </w:r>
      <w:r>
        <w:rPr>
          <w:lang w:eastAsia="ko-KR"/>
        </w:rPr>
        <w:t xml:space="preserve">SA2 has currently </w:t>
      </w:r>
      <w:r>
        <w:t>recommended that solution 5 in TR 23.730 in clause 6.5 be the basis for normative work. However</w:t>
      </w:r>
      <w:r w:rsidR="001051DB">
        <w:t xml:space="preserve"> within solution 5,</w:t>
      </w:r>
      <w:r>
        <w:t xml:space="preserve"> </w:t>
      </w:r>
      <w:r w:rsidR="00EB7D56">
        <w:rPr>
          <w:lang w:eastAsia="ko-KR"/>
        </w:rPr>
        <w:t xml:space="preserve">SA2 is currently deliberating whether to use </w:t>
      </w:r>
      <w:r>
        <w:rPr>
          <w:lang w:eastAsia="ko-KR"/>
        </w:rPr>
        <w:t>alternative</w:t>
      </w:r>
      <w:r w:rsidR="00EB7D56">
        <w:rPr>
          <w:lang w:eastAsia="ko-KR"/>
        </w:rPr>
        <w:t xml:space="preserve"> </w:t>
      </w:r>
      <w:r>
        <w:rPr>
          <w:lang w:eastAsia="ko-KR"/>
        </w:rPr>
        <w:t>5a</w:t>
      </w:r>
      <w:r w:rsidR="00EB7D56">
        <w:rPr>
          <w:lang w:eastAsia="ko-KR"/>
        </w:rPr>
        <w:t xml:space="preserve"> or </w:t>
      </w:r>
      <w:r>
        <w:rPr>
          <w:lang w:eastAsia="ko-KR"/>
        </w:rPr>
        <w:t>alternative</w:t>
      </w:r>
      <w:r w:rsidR="00EB7D56">
        <w:rPr>
          <w:lang w:eastAsia="ko-KR"/>
        </w:rPr>
        <w:t xml:space="preserve"> </w:t>
      </w:r>
      <w:r>
        <w:rPr>
          <w:lang w:eastAsia="ko-KR"/>
        </w:rPr>
        <w:t>5c or both</w:t>
      </w:r>
      <w:r w:rsidR="00EB7D56">
        <w:rPr>
          <w:lang w:eastAsia="ko-KR"/>
        </w:rPr>
        <w:t xml:space="preserve"> for this key issue</w:t>
      </w:r>
      <w:r w:rsidR="00EB7D56">
        <w:t xml:space="preserve">. </w:t>
      </w:r>
    </w:p>
    <w:p w:rsidR="00BF648C" w:rsidRDefault="00BF648C" w:rsidP="00EB7D56"/>
    <w:p w:rsidR="00BF648C" w:rsidRDefault="00BF648C" w:rsidP="00EB7D56">
      <w:r>
        <w:t xml:space="preserve">Alternative 5a is based on UE – SCEF acknowledgement and the options </w:t>
      </w:r>
      <w:r w:rsidR="00C22F59">
        <w:t xml:space="preserve">specified by SA2 are </w:t>
      </w:r>
      <w:r>
        <w:t>to either define a new UE – SCEF transport protocol with acknowledgement of data transfer or to use one of the existing transport protocols like MQTT-SN or CoAP. This would have impacts on UE and SCEF.</w:t>
      </w:r>
    </w:p>
    <w:p w:rsidR="00BF648C" w:rsidRDefault="00BF648C" w:rsidP="00EB7D56">
      <w:r>
        <w:lastRenderedPageBreak/>
        <w:t>Alternative 5c is based on hop by hop reliable delivery between UE and eNB and then between eNB and MME and then MME and SCEF. In this case the T6a protocol between MME and SCEF would need to be enhanced to carry acknowledgements from MME to SCEF and hence most of the impact in this case would be on MME and SCEF.</w:t>
      </w:r>
    </w:p>
    <w:p w:rsidR="00EB7D56" w:rsidRDefault="00EB7D56" w:rsidP="00D40F5C">
      <w:pPr>
        <w:rPr>
          <w:lang w:eastAsia="zh-CN"/>
        </w:rPr>
      </w:pPr>
    </w:p>
    <w:p w:rsidR="00EB7D56" w:rsidRPr="00D40F5C" w:rsidRDefault="00EB7D56" w:rsidP="00EB7D56">
      <w:pPr>
        <w:pStyle w:val="Heading2"/>
        <w:spacing w:after="120"/>
        <w:ind w:right="288"/>
      </w:pPr>
      <w:r>
        <w:t>2.3 Key Issue 3 – Inter RAT idle mode mobility to/from NB-IoT</w:t>
      </w:r>
      <w:r w:rsidRPr="00D40F5C">
        <w:t>.</w:t>
      </w:r>
    </w:p>
    <w:p w:rsidR="00EB7D56" w:rsidRDefault="00F8593F" w:rsidP="00EB7D56">
      <w:r>
        <w:rPr>
          <w:lang w:eastAsia="ko-KR"/>
        </w:rPr>
        <w:t xml:space="preserve">There is no support for idle mode mobility to and from the NB-IoT RAT in Rel-13. This key issue enables inter-RAT idle mode mobility to/from NB-IoT RAT so that the UE does not have to detach and then re-attach again. </w:t>
      </w:r>
      <w:r w:rsidR="009A3783">
        <w:rPr>
          <w:lang w:eastAsia="ko-KR"/>
        </w:rPr>
        <w:t xml:space="preserve">SA2 has currently </w:t>
      </w:r>
      <w:r w:rsidR="009A3783">
        <w:t xml:space="preserve">recommended that solution 6 in TR 23.730 in clause 6.6 be the basis </w:t>
      </w:r>
      <w:r>
        <w:t>of</w:t>
      </w:r>
      <w:r w:rsidR="009A3783">
        <w:t xml:space="preserve"> normative work</w:t>
      </w:r>
      <w:r>
        <w:t xml:space="preserve"> for this key issue</w:t>
      </w:r>
      <w:r w:rsidR="009A3783">
        <w:t>.</w:t>
      </w:r>
    </w:p>
    <w:p w:rsidR="00E237F8" w:rsidRDefault="00E237F8" w:rsidP="00EB7D56"/>
    <w:p w:rsidR="00E237F8" w:rsidRDefault="00E237F8" w:rsidP="00EB7D56">
      <w:r>
        <w:t xml:space="preserve">At Attach time as part of the subscriber data the HSS knows if idle mode mobility is supported or not across </w:t>
      </w:r>
      <w:r>
        <w:rPr>
          <w:lang w:eastAsia="zh-CN"/>
        </w:rPr>
        <w:t>"broadband"</w:t>
      </w:r>
      <w:r>
        <w:t xml:space="preserve"> (WB-E_UTRAN and UTRAN) and </w:t>
      </w:r>
      <w:r>
        <w:rPr>
          <w:lang w:eastAsia="zh-CN"/>
        </w:rPr>
        <w:t>"narrowband" (NB-IoT, GPRS, EC-GSM-IoT) RATs. This information is then passed on to MME and then at idle mode mobility event the MME/SGSN uses the EPS Bearer context status IE in TAU/RAU Accept to indicate to UE which bearers should be disconnected and which bearers should be reactivated. The MME/SGSN accepts the TAU/RAU and uses ESM signalling to disconnect any PDN connections that should be disconnected using existing ESM cause values to cause predictable UE behaviour. This solution has impacts on UE</w:t>
      </w:r>
      <w:r w:rsidR="00E858DC">
        <w:rPr>
          <w:lang w:eastAsia="zh-CN"/>
        </w:rPr>
        <w:t xml:space="preserve"> </w:t>
      </w:r>
      <w:r>
        <w:rPr>
          <w:lang w:eastAsia="zh-CN"/>
        </w:rPr>
        <w:t>as it has to consider NB-IoT and WB-E-UTRAN as separate RATs when receiving cause code #66</w:t>
      </w:r>
      <w:r w:rsidR="00193BFD">
        <w:rPr>
          <w:lang w:eastAsia="zh-CN"/>
        </w:rPr>
        <w:t>. The HSS needs new fields to describe how bearers for an APN need to be handled for mobility between narrowband and broadband systems and also needs to send this information to MME.</w:t>
      </w:r>
    </w:p>
    <w:p w:rsidR="00EB7D56" w:rsidRDefault="00EB7D56" w:rsidP="00EB7D56">
      <w:pPr>
        <w:rPr>
          <w:lang w:eastAsia="zh-CN"/>
        </w:rPr>
      </w:pPr>
    </w:p>
    <w:p w:rsidR="00EB7D56" w:rsidRDefault="00EB7D56" w:rsidP="00EB7D56">
      <w:pPr>
        <w:pStyle w:val="Heading2"/>
      </w:pPr>
      <w:r>
        <w:t>2.4 Key Issue 4 - Reuse of existing multicast/broadcast architecture</w:t>
      </w:r>
    </w:p>
    <w:p w:rsidR="00EB7D56" w:rsidRDefault="00EB7D56" w:rsidP="00EB7D56">
      <w:pPr>
        <w:rPr>
          <w:lang w:eastAsia="zh-CN"/>
        </w:rPr>
      </w:pPr>
    </w:p>
    <w:p w:rsidR="00A334A1" w:rsidRPr="00A334A1" w:rsidRDefault="00A334A1" w:rsidP="00A334A1">
      <w:r>
        <w:rPr>
          <w:lang w:eastAsia="ko-KR"/>
        </w:rPr>
        <w:t xml:space="preserve">Since a large number of devices involved in IoT could belong to a group for IoT service, they could benefit from receiving downlink data via MBMS. </w:t>
      </w:r>
      <w:r w:rsidR="00EB7D56">
        <w:rPr>
          <w:lang w:eastAsia="ko-KR"/>
        </w:rPr>
        <w:t>Key Issue 4</w:t>
      </w:r>
      <w:r w:rsidR="0093427C">
        <w:rPr>
          <w:lang w:eastAsia="ko-KR"/>
        </w:rPr>
        <w:t xml:space="preserve"> </w:t>
      </w:r>
      <w:r>
        <w:rPr>
          <w:lang w:eastAsia="ko-KR"/>
        </w:rPr>
        <w:t>looks into issues around reusing existing multicast/broadcast architecture to deliver downlink data</w:t>
      </w:r>
      <w:r w:rsidR="00EB7D56">
        <w:t xml:space="preserve">. </w:t>
      </w:r>
      <w:r>
        <w:t>One of the key requirement here is that t</w:t>
      </w:r>
      <w:r w:rsidRPr="00A334A1">
        <w:t xml:space="preserve">he system should ensure </w:t>
      </w:r>
      <w:r>
        <w:t xml:space="preserve">that during </w:t>
      </w:r>
      <w:r w:rsidRPr="00A334A1">
        <w:t>the start of downlink data delivery using MBMS</w:t>
      </w:r>
      <w:r>
        <w:t>, the</w:t>
      </w:r>
      <w:r w:rsidRPr="00A334A1">
        <w:t xml:space="preserve"> UEs </w:t>
      </w:r>
      <w:r>
        <w:t>are</w:t>
      </w:r>
      <w:r w:rsidRPr="00A334A1">
        <w:t xml:space="preserve"> available to receive</w:t>
      </w:r>
      <w:r>
        <w:t xml:space="preserve"> the service</w:t>
      </w:r>
      <w:r w:rsidRPr="00A334A1">
        <w:t xml:space="preserve"> (i.e. ensure that they are not in "deep sleep mode", e.g. due to PSM or eDRX).</w:t>
      </w:r>
    </w:p>
    <w:p w:rsidR="00A334A1" w:rsidRDefault="00A334A1" w:rsidP="00EB7D56"/>
    <w:p w:rsidR="00EB7D56" w:rsidRDefault="00EB7D56" w:rsidP="00EB7D56">
      <w:r>
        <w:rPr>
          <w:lang w:eastAsia="ko-KR"/>
        </w:rPr>
        <w:t xml:space="preserve">SA2 is currently </w:t>
      </w:r>
      <w:r w:rsidR="00A334A1">
        <w:rPr>
          <w:lang w:eastAsia="ko-KR"/>
        </w:rPr>
        <w:t>evaluating different solutions for this key issue and no conclusions have been agreed as yet</w:t>
      </w:r>
      <w:r>
        <w:t xml:space="preserve">. </w:t>
      </w:r>
      <w:r w:rsidR="00A334A1">
        <w:t>However during the last conference call solution 17 in clause 6.17 of TR 23.730 emerged as the front runner and this solution reuses MBMS functionality with power saving functions via potential independent wake up for MBMS user service. This solution has several options and they have UE impacts to handle potential UE wake up out of deep sleep due to power savings during a scheduled broadcast that may be interesting for the UE and then ensure the UE remains awake during reception of MBMS data.</w:t>
      </w:r>
      <w:r w:rsidR="000155CE">
        <w:t xml:space="preserve"> There are not expected to be any major network impacts for this solution.</w:t>
      </w:r>
    </w:p>
    <w:p w:rsidR="00EB7D56" w:rsidRDefault="00EB7D56" w:rsidP="00EB7D56">
      <w:pPr>
        <w:pStyle w:val="Heading2"/>
        <w:spacing w:after="120"/>
        <w:ind w:right="288"/>
      </w:pPr>
    </w:p>
    <w:p w:rsidR="00EB7D56" w:rsidRDefault="00EB7D56" w:rsidP="00EB7D56">
      <w:pPr>
        <w:rPr>
          <w:lang w:eastAsia="zh-CN"/>
        </w:rPr>
      </w:pPr>
    </w:p>
    <w:p w:rsidR="00EB7D56" w:rsidRDefault="00EB7D56" w:rsidP="00EB7D56">
      <w:pPr>
        <w:pStyle w:val="Heading2"/>
      </w:pPr>
      <w:bookmarkStart w:id="1" w:name="_Toc465354464"/>
      <w:r>
        <w:t>2.5 Key Issue 5 - Reuse of Location Services architecture for Control Plane CIoT EPS optimization</w:t>
      </w:r>
      <w:bookmarkEnd w:id="1"/>
    </w:p>
    <w:p w:rsidR="00EB7D56" w:rsidRDefault="00EB7D56" w:rsidP="00EB7D56">
      <w:pPr>
        <w:rPr>
          <w:lang w:eastAsia="zh-CN"/>
        </w:rPr>
      </w:pPr>
    </w:p>
    <w:p w:rsidR="00530439" w:rsidRDefault="00530439" w:rsidP="00530439">
      <w:r>
        <w:rPr>
          <w:lang w:eastAsia="ko-KR"/>
        </w:rPr>
        <w:t xml:space="preserve">Key Issue 5 is divided into a number of sub-issues and aims to study the existing location services architecture as described in TS 23.271 [7] to ensure its suitability for UEs using control plane CIoT EPS optimization as this is a mandatory solution in Rel-13. SA2 has currently </w:t>
      </w:r>
      <w:r>
        <w:t xml:space="preserve">recommended that solution 13 in TR 23.730 in clause 6.13 be the basis for normative work. </w:t>
      </w:r>
    </w:p>
    <w:p w:rsidR="00530439" w:rsidRDefault="00530439" w:rsidP="00FD351A">
      <w:pPr>
        <w:pStyle w:val="ListParagraph"/>
        <w:numPr>
          <w:ilvl w:val="0"/>
          <w:numId w:val="11"/>
        </w:numPr>
      </w:pPr>
      <w:r>
        <w:t>For sub-issue 5.2 – Last known location, the solution as described in sub-clause 6.13.2.1 without the support of additional location measurements or an indication to an external client as to when a UE may next become available is proposed as way forward.</w:t>
      </w:r>
      <w:r w:rsidR="00FD351A">
        <w:t xml:space="preserve"> This solution has no UE impacts but there are impacts to MME, E-SMLC and GMLC.</w:t>
      </w:r>
    </w:p>
    <w:p w:rsidR="00530439" w:rsidRDefault="00530439" w:rsidP="00FD351A">
      <w:pPr>
        <w:pStyle w:val="ListParagraph"/>
        <w:numPr>
          <w:ilvl w:val="0"/>
          <w:numId w:val="11"/>
        </w:numPr>
      </w:pPr>
      <w:r>
        <w:t>For sub-issue 5.5 on UE Positioning the use of idle state by a UE for location measurements as d</w:t>
      </w:r>
      <w:r w:rsidR="00FD351A">
        <w:t>escribed in sub-clause 6.13.5.1</w:t>
      </w:r>
      <w:r>
        <w:t xml:space="preserve"> is proposed as way forward.</w:t>
      </w:r>
      <w:r w:rsidR="00FD351A">
        <w:t xml:space="preserve"> This solution requires UE to support a new LPP capability flag for position methods for which UE needs to make measurements in idle sta</w:t>
      </w:r>
      <w:r w:rsidR="009563B4">
        <w:t>te. There are impacts to MME,</w:t>
      </w:r>
      <w:r w:rsidR="00FD351A">
        <w:t xml:space="preserve"> E-SMLC and GMLC as well.</w:t>
      </w:r>
    </w:p>
    <w:p w:rsidR="00530439" w:rsidRDefault="00FD351A" w:rsidP="00FD351A">
      <w:pPr>
        <w:pStyle w:val="ListParagraph"/>
        <w:numPr>
          <w:ilvl w:val="0"/>
          <w:numId w:val="11"/>
        </w:numPr>
      </w:pPr>
      <w:r>
        <w:t>For sub-issue 5.6 on UE Positioning interaction for NB-IoT, t</w:t>
      </w:r>
      <w:r w:rsidR="00530439">
        <w:t>he indication of NB-IoT access for a UE as d</w:t>
      </w:r>
      <w:r>
        <w:t>escribed in sub-clause 6.13.6.1 is the way forward. This has no UE impact but has impacts on MME and E-SMLC.</w:t>
      </w:r>
    </w:p>
    <w:p w:rsidR="00530439" w:rsidRDefault="00530439" w:rsidP="00FD351A">
      <w:pPr>
        <w:pStyle w:val="ListParagraph"/>
        <w:numPr>
          <w:ilvl w:val="0"/>
          <w:numId w:val="11"/>
        </w:numPr>
        <w:rPr>
          <w:lang w:eastAsia="zh-CN"/>
        </w:rPr>
      </w:pPr>
      <w:r>
        <w:t>For sub-issue 5.7</w:t>
      </w:r>
      <w:r w:rsidR="00FD351A">
        <w:t xml:space="preserve"> on security for NB-IoT, t</w:t>
      </w:r>
      <w:r>
        <w:t>he indication of AS security for a UE as d</w:t>
      </w:r>
      <w:r w:rsidR="00FD351A">
        <w:t>escribed in sub-clause 6.13.7.1 is the agreed way forward and this solution has no impact on UE but again impacts on MME and E-SMLC.</w:t>
      </w:r>
    </w:p>
    <w:p w:rsidR="00530439" w:rsidRDefault="00530439" w:rsidP="00EB7D56">
      <w:pPr>
        <w:rPr>
          <w:lang w:eastAsia="ko-KR"/>
        </w:rPr>
      </w:pPr>
    </w:p>
    <w:p w:rsidR="00FA57F9" w:rsidRPr="00D40F5C" w:rsidRDefault="00FA57F9" w:rsidP="00FA57F9">
      <w:pPr>
        <w:pStyle w:val="Heading2"/>
        <w:spacing w:after="120"/>
        <w:ind w:right="288"/>
      </w:pPr>
      <w:r>
        <w:t>2.</w:t>
      </w:r>
      <w:r w:rsidR="0025089E">
        <w:t>6</w:t>
      </w:r>
      <w:r>
        <w:t xml:space="preserve"> Key Issue </w:t>
      </w:r>
      <w:r w:rsidR="00180B7B">
        <w:t>6</w:t>
      </w:r>
      <w:r>
        <w:t xml:space="preserve"> – </w:t>
      </w:r>
      <w:r w:rsidR="00180B7B">
        <w:t>Inter UE QoS for NB-IoT control plane optimization</w:t>
      </w:r>
      <w:r w:rsidRPr="00D40F5C">
        <w:t>.</w:t>
      </w:r>
    </w:p>
    <w:p w:rsidR="00FA57F9" w:rsidRDefault="0025089E" w:rsidP="00D40F5C">
      <w:r>
        <w:rPr>
          <w:lang w:eastAsia="ko-KR"/>
        </w:rPr>
        <w:t xml:space="preserve">Key Issue 6 deals with the aspect that currently </w:t>
      </w:r>
      <w:r>
        <w:t>the eNB has no way to distinguish between priority level of different subscribers for control plane CIoT EPS optimization. The eNB may need this information so that it can (based on operator need) prioritise it’s resources between multiple requests from</w:t>
      </w:r>
      <w:r>
        <w:rPr>
          <w:lang w:eastAsia="zh-CN"/>
        </w:rPr>
        <w:t xml:space="preserve"> different subscribers</w:t>
      </w:r>
      <w:r>
        <w:rPr>
          <w:lang w:eastAsia="ko-KR"/>
        </w:rPr>
        <w:t xml:space="preserve">. SA2 has currently </w:t>
      </w:r>
      <w:r>
        <w:t xml:space="preserve">recommended that </w:t>
      </w:r>
      <w:r>
        <w:lastRenderedPageBreak/>
        <w:t>solution 15 in TR 23.730 in clause 6.1</w:t>
      </w:r>
      <w:r w:rsidR="00E47693">
        <w:t>5</w:t>
      </w:r>
      <w:r>
        <w:t xml:space="preserve"> be the basis for normative work. As part of this solution the eNB retrieves the UE context from MME using a new S1</w:t>
      </w:r>
      <w:r w:rsidR="00E47693">
        <w:t>-AP</w:t>
      </w:r>
      <w:r>
        <w:t xml:space="preserve"> procedure.</w:t>
      </w:r>
    </w:p>
    <w:p w:rsidR="0025089E" w:rsidRDefault="0025089E" w:rsidP="00D40F5C"/>
    <w:p w:rsidR="0025089E" w:rsidRDefault="0025089E" w:rsidP="00D40F5C">
      <w:pPr>
        <w:rPr>
          <w:lang w:eastAsia="zh-CN"/>
        </w:rPr>
      </w:pPr>
      <w:r>
        <w:t xml:space="preserve">From CT WGs perspective this solution primarily has CT4 impacts wherein the MME needs to define a new S1-AP procedure, RetrieveUEContextRequest/Response. </w:t>
      </w:r>
    </w:p>
    <w:p w:rsidR="0025089E" w:rsidRDefault="0025089E" w:rsidP="00D40F5C">
      <w:pPr>
        <w:rPr>
          <w:lang w:eastAsia="zh-CN"/>
        </w:rPr>
      </w:pPr>
    </w:p>
    <w:p w:rsidR="0025089E" w:rsidRDefault="0025089E" w:rsidP="00D40F5C">
      <w:pPr>
        <w:rPr>
          <w:lang w:eastAsia="zh-CN"/>
        </w:rPr>
      </w:pPr>
    </w:p>
    <w:p w:rsidR="0025089E" w:rsidRPr="00D40F5C" w:rsidRDefault="0025089E" w:rsidP="0025089E">
      <w:pPr>
        <w:pStyle w:val="Heading2"/>
        <w:spacing w:after="120"/>
        <w:ind w:right="288"/>
      </w:pPr>
      <w:r>
        <w:t>2.7 Key Issue 7 – CN overload control for data transfer via control plane CIoT optimization</w:t>
      </w:r>
      <w:r w:rsidRPr="00D40F5C">
        <w:t>.</w:t>
      </w:r>
    </w:p>
    <w:p w:rsidR="00807784" w:rsidRDefault="0025089E" w:rsidP="0025089E">
      <w:r>
        <w:rPr>
          <w:lang w:eastAsia="ko-KR"/>
        </w:rPr>
        <w:t xml:space="preserve">Key Issue 6 </w:t>
      </w:r>
      <w:r w:rsidR="005271B2">
        <w:rPr>
          <w:lang w:eastAsia="ko-KR"/>
        </w:rPr>
        <w:t>requires the system to</w:t>
      </w:r>
      <w:r w:rsidR="005271B2">
        <w:t xml:space="preserve"> support procedures to handle CN overload from data transmission via control plane due to enabling control plane CIoT EPS Optimisation</w:t>
      </w:r>
      <w:r>
        <w:t xml:space="preserve">. </w:t>
      </w:r>
      <w:r>
        <w:rPr>
          <w:lang w:eastAsia="ko-KR"/>
        </w:rPr>
        <w:t xml:space="preserve">SA2 </w:t>
      </w:r>
      <w:r w:rsidR="00E47693">
        <w:rPr>
          <w:lang w:eastAsia="ko-KR"/>
        </w:rPr>
        <w:t>is</w:t>
      </w:r>
      <w:r>
        <w:rPr>
          <w:lang w:eastAsia="ko-KR"/>
        </w:rPr>
        <w:t xml:space="preserve"> currently </w:t>
      </w:r>
      <w:r w:rsidR="00E47693">
        <w:rPr>
          <w:lang w:eastAsia="ko-KR"/>
        </w:rPr>
        <w:t xml:space="preserve">deliberating whether to use solution 8 or solution </w:t>
      </w:r>
      <w:r w:rsidR="00807784">
        <w:rPr>
          <w:lang w:eastAsia="ko-KR"/>
        </w:rPr>
        <w:t>9</w:t>
      </w:r>
      <w:r w:rsidR="00E47693">
        <w:rPr>
          <w:lang w:eastAsia="ko-KR"/>
        </w:rPr>
        <w:t xml:space="preserve"> for this key issue</w:t>
      </w:r>
      <w:r>
        <w:t>.</w:t>
      </w:r>
      <w:r w:rsidR="005271B2">
        <w:t xml:space="preserve"> </w:t>
      </w:r>
    </w:p>
    <w:p w:rsidR="00807784" w:rsidRDefault="00807784" w:rsidP="0025089E"/>
    <w:p w:rsidR="0025089E" w:rsidRDefault="005271B2" w:rsidP="0025089E">
      <w:pPr>
        <w:rPr>
          <w:lang w:eastAsia="zh-CN"/>
        </w:rPr>
      </w:pPr>
      <w:r>
        <w:t>Solution 8 proposes a control plane data back-off timer that suppresses the use of control plane CIoT EPS Optimisation for data transfer by the UE for the duration of this timer.</w:t>
      </w:r>
      <w:r w:rsidR="00807784">
        <w:t xml:space="preserve"> </w:t>
      </w:r>
      <w:r>
        <w:rPr>
          <w:lang w:eastAsia="zh-CN"/>
        </w:rPr>
        <w:t>For solution 8 there would be impacts on MME to provide the value of this timer to UE in NAS procedures (Attach/TAU Accept and Service Accept messages) and also to enable the feature based on UE support for this back-off timer. The impacts would be mostly in CT1 and CT4.</w:t>
      </w:r>
    </w:p>
    <w:p w:rsidR="0025089E" w:rsidRDefault="0025089E" w:rsidP="00D40F5C">
      <w:pPr>
        <w:rPr>
          <w:lang w:eastAsia="zh-CN"/>
        </w:rPr>
      </w:pPr>
    </w:p>
    <w:p w:rsidR="0025089E" w:rsidRDefault="00807784" w:rsidP="00D40F5C">
      <w:pPr>
        <w:rPr>
          <w:lang w:eastAsia="zh-CN"/>
        </w:rPr>
      </w:pPr>
      <w:r>
        <w:rPr>
          <w:lang w:eastAsia="zh-CN"/>
        </w:rPr>
        <w:t>Solution 9 proposes to use an Overload Start message for data transfer via control plane CIoT optimization. When the MME load reaches a threshold, the MME triggers an Overload Start message and sends it to eNB, so that the eNB can restrict selecting this MME for UEs requiring data transfer using control plane CIoT optimization. The eNB could even reject these UEs and even return a wait timer in RRC Connection Release message. This solution has impacts to MME so that it can define a new Overload Start message and there are potential impacts on UE to handle back-off timer from eNB.</w:t>
      </w:r>
    </w:p>
    <w:p w:rsidR="00807784" w:rsidRDefault="00807784" w:rsidP="00D40F5C">
      <w:pPr>
        <w:rPr>
          <w:lang w:eastAsia="zh-CN"/>
        </w:rPr>
      </w:pPr>
    </w:p>
    <w:p w:rsidR="00FA57F9" w:rsidRPr="00D40F5C" w:rsidRDefault="00FA57F9" w:rsidP="00D40F5C">
      <w:pPr>
        <w:rPr>
          <w:lang w:eastAsia="zh-CN"/>
        </w:rPr>
      </w:pPr>
    </w:p>
    <w:p w:rsidR="00D40F5C" w:rsidRDefault="00906672" w:rsidP="00906672">
      <w:pPr>
        <w:pStyle w:val="Heading1"/>
      </w:pPr>
      <w:r>
        <w:t>3 Summary</w:t>
      </w:r>
    </w:p>
    <w:p w:rsidR="00906672" w:rsidRDefault="00906672" w:rsidP="00906672">
      <w:r>
        <w:t xml:space="preserve">The following is the summary of the anticipated CT </w:t>
      </w:r>
      <w:r w:rsidR="00B91F93">
        <w:t>WG</w:t>
      </w:r>
      <w:r>
        <w:t xml:space="preserve"> impacts from the stage 2 work on </w:t>
      </w:r>
      <w:r w:rsidR="00C74FFB">
        <w:t>CIoT_Ext</w:t>
      </w:r>
      <w:r>
        <w:t xml:space="preserve">. This evaluation is based on the preliminary analysis based on the available study item conclusions </w:t>
      </w:r>
      <w:r w:rsidR="00C74FFB">
        <w:t xml:space="preserve">and the current version of TR 23.730 </w:t>
      </w:r>
      <w:r>
        <w:t xml:space="preserve">and SA2 WID and it is subject to change. </w:t>
      </w:r>
      <w:r w:rsidR="00B91F93">
        <w:t>However based on the progress in SA2, CT WGs can agreed on the CIoT_Ext WID for stage-3 aspects.</w:t>
      </w:r>
    </w:p>
    <w:p w:rsidR="00906672" w:rsidRDefault="00906672" w:rsidP="00906672"/>
    <w:p w:rsidR="00532FC2" w:rsidRDefault="00532FC2" w:rsidP="00506219"/>
    <w:tbl>
      <w:tblPr>
        <w:tblStyle w:val="TableGrid"/>
        <w:tblW w:w="0" w:type="auto"/>
        <w:tblLook w:val="04A0" w:firstRow="1" w:lastRow="0" w:firstColumn="1" w:lastColumn="0" w:noHBand="0" w:noVBand="1"/>
      </w:tblPr>
      <w:tblGrid>
        <w:gridCol w:w="510"/>
        <w:gridCol w:w="2414"/>
        <w:gridCol w:w="3150"/>
        <w:gridCol w:w="3330"/>
      </w:tblGrid>
      <w:tr w:rsidR="00DC5C7D" w:rsidTr="00DC5C7D">
        <w:tc>
          <w:tcPr>
            <w:tcW w:w="461" w:type="dxa"/>
          </w:tcPr>
          <w:p w:rsidR="00DC5C7D" w:rsidRPr="00DC5C7D" w:rsidRDefault="00DC5C7D" w:rsidP="00DC5C7D">
            <w:pPr>
              <w:jc w:val="center"/>
              <w:rPr>
                <w:b/>
                <w:sz w:val="24"/>
              </w:rPr>
            </w:pPr>
            <w:r w:rsidRPr="00DC5C7D">
              <w:rPr>
                <w:b/>
                <w:sz w:val="24"/>
              </w:rPr>
              <w:t>No</w:t>
            </w:r>
          </w:p>
        </w:tc>
        <w:tc>
          <w:tcPr>
            <w:tcW w:w="2414" w:type="dxa"/>
          </w:tcPr>
          <w:p w:rsidR="00DC5C7D" w:rsidRPr="00DC5C7D" w:rsidRDefault="00DC5C7D" w:rsidP="00DC5C7D">
            <w:pPr>
              <w:jc w:val="center"/>
              <w:rPr>
                <w:b/>
                <w:sz w:val="24"/>
              </w:rPr>
            </w:pPr>
            <w:r w:rsidRPr="00DC5C7D">
              <w:rPr>
                <w:b/>
                <w:sz w:val="24"/>
              </w:rPr>
              <w:t>Key Issue</w:t>
            </w:r>
          </w:p>
          <w:p w:rsidR="00DC5C7D" w:rsidRPr="00DC5C7D" w:rsidRDefault="00DC5C7D" w:rsidP="00DC5C7D">
            <w:pPr>
              <w:jc w:val="center"/>
              <w:rPr>
                <w:b/>
                <w:sz w:val="24"/>
              </w:rPr>
            </w:pPr>
          </w:p>
        </w:tc>
        <w:tc>
          <w:tcPr>
            <w:tcW w:w="3150" w:type="dxa"/>
          </w:tcPr>
          <w:p w:rsidR="00DC5C7D" w:rsidRPr="00DC5C7D" w:rsidRDefault="00DC5C7D" w:rsidP="00DC5C7D">
            <w:pPr>
              <w:jc w:val="center"/>
              <w:rPr>
                <w:b/>
                <w:sz w:val="24"/>
              </w:rPr>
            </w:pPr>
            <w:r w:rsidRPr="00DC5C7D">
              <w:rPr>
                <w:b/>
                <w:sz w:val="24"/>
              </w:rPr>
              <w:t>CT1 Impacts</w:t>
            </w:r>
          </w:p>
        </w:tc>
        <w:tc>
          <w:tcPr>
            <w:tcW w:w="3330" w:type="dxa"/>
          </w:tcPr>
          <w:p w:rsidR="00DC5C7D" w:rsidRPr="00DC5C7D" w:rsidRDefault="00DC5C7D" w:rsidP="00DC5C7D">
            <w:pPr>
              <w:jc w:val="center"/>
              <w:rPr>
                <w:b/>
                <w:sz w:val="24"/>
              </w:rPr>
            </w:pPr>
            <w:r w:rsidRPr="00DC5C7D">
              <w:rPr>
                <w:b/>
                <w:sz w:val="24"/>
              </w:rPr>
              <w:t>CT4 Impacts</w:t>
            </w:r>
          </w:p>
        </w:tc>
      </w:tr>
      <w:tr w:rsidR="00DC5C7D" w:rsidTr="00DC5C7D">
        <w:tc>
          <w:tcPr>
            <w:tcW w:w="461" w:type="dxa"/>
          </w:tcPr>
          <w:p w:rsidR="00DC5C7D" w:rsidRPr="00DC5C7D" w:rsidRDefault="00DC5C7D" w:rsidP="00506219">
            <w:pPr>
              <w:rPr>
                <w:sz w:val="18"/>
                <w:szCs w:val="18"/>
              </w:rPr>
            </w:pPr>
            <w:r w:rsidRPr="00DC5C7D">
              <w:rPr>
                <w:sz w:val="18"/>
                <w:szCs w:val="18"/>
              </w:rPr>
              <w:t>1</w:t>
            </w:r>
          </w:p>
        </w:tc>
        <w:tc>
          <w:tcPr>
            <w:tcW w:w="2414" w:type="dxa"/>
          </w:tcPr>
          <w:p w:rsidR="00DC5C7D" w:rsidRPr="00DC5C7D" w:rsidRDefault="00DC5C7D" w:rsidP="00506219">
            <w:pPr>
              <w:rPr>
                <w:sz w:val="18"/>
                <w:szCs w:val="18"/>
              </w:rPr>
            </w:pPr>
            <w:r w:rsidRPr="00DC5C7D">
              <w:rPr>
                <w:sz w:val="18"/>
                <w:szCs w:val="18"/>
              </w:rPr>
              <w:t>Authorization of use of Coverage Enhancements</w:t>
            </w:r>
          </w:p>
        </w:tc>
        <w:tc>
          <w:tcPr>
            <w:tcW w:w="3150" w:type="dxa"/>
          </w:tcPr>
          <w:p w:rsidR="00DC5C7D" w:rsidRPr="00DC5C7D" w:rsidRDefault="00DC5C7D" w:rsidP="00532FC2">
            <w:pPr>
              <w:rPr>
                <w:sz w:val="18"/>
                <w:szCs w:val="18"/>
              </w:rPr>
            </w:pPr>
            <w:r w:rsidRPr="00DC5C7D">
              <w:rPr>
                <w:sz w:val="18"/>
                <w:szCs w:val="18"/>
              </w:rPr>
              <w:t>Updating NAS procedures (ATTACH ACCEPT, TAU/RAU ACCEPT) to receive the Enhanced Coverage Allowed parameter, store this parameter per PLMN in the UE and then based on value of this parameter use the enhanced coverage capability.</w:t>
            </w:r>
          </w:p>
          <w:p w:rsidR="00DC5C7D" w:rsidRPr="00DC5C7D" w:rsidRDefault="00DC5C7D" w:rsidP="00532FC2">
            <w:pPr>
              <w:rPr>
                <w:sz w:val="18"/>
                <w:szCs w:val="18"/>
              </w:rPr>
            </w:pPr>
          </w:p>
          <w:p w:rsidR="00DC5C7D" w:rsidRPr="00DC5C7D" w:rsidRDefault="00DC5C7D" w:rsidP="00506219">
            <w:pPr>
              <w:rPr>
                <w:sz w:val="18"/>
                <w:szCs w:val="18"/>
              </w:rPr>
            </w:pPr>
          </w:p>
        </w:tc>
        <w:tc>
          <w:tcPr>
            <w:tcW w:w="3330" w:type="dxa"/>
          </w:tcPr>
          <w:p w:rsidR="00DC5C7D" w:rsidRPr="00DC5C7D" w:rsidRDefault="00DC5C7D" w:rsidP="00DC5C7D">
            <w:pPr>
              <w:rPr>
                <w:sz w:val="18"/>
                <w:szCs w:val="18"/>
              </w:rPr>
            </w:pPr>
            <w:r w:rsidRPr="00DC5C7D">
              <w:rPr>
                <w:sz w:val="18"/>
                <w:szCs w:val="18"/>
                <w:lang w:eastAsia="zh-CN"/>
              </w:rPr>
              <w:t xml:space="preserve">HSS would need to update the subscription information to determine whether UE is allowed to use (CE) or not and then provide this information to MME where it will be stored as part of MM context. The SCEF could query the HSS to determine the status of enhanced coverage and if required enable or disable it. </w:t>
            </w:r>
          </w:p>
        </w:tc>
      </w:tr>
      <w:tr w:rsidR="00DC5C7D" w:rsidTr="00DC5C7D">
        <w:tc>
          <w:tcPr>
            <w:tcW w:w="461" w:type="dxa"/>
          </w:tcPr>
          <w:p w:rsidR="00DC5C7D" w:rsidRPr="00DC5C7D" w:rsidRDefault="00DC5C7D" w:rsidP="00506219">
            <w:pPr>
              <w:rPr>
                <w:sz w:val="18"/>
                <w:szCs w:val="18"/>
              </w:rPr>
            </w:pPr>
            <w:r w:rsidRPr="00DC5C7D">
              <w:rPr>
                <w:sz w:val="18"/>
                <w:szCs w:val="18"/>
              </w:rPr>
              <w:t>2</w:t>
            </w:r>
          </w:p>
        </w:tc>
        <w:tc>
          <w:tcPr>
            <w:tcW w:w="2414" w:type="dxa"/>
          </w:tcPr>
          <w:p w:rsidR="00DC5C7D" w:rsidRDefault="00DC5C7D" w:rsidP="00506219">
            <w:pPr>
              <w:rPr>
                <w:sz w:val="18"/>
                <w:szCs w:val="18"/>
              </w:rPr>
            </w:pPr>
            <w:r w:rsidRPr="00DC5C7D">
              <w:rPr>
                <w:sz w:val="18"/>
                <w:szCs w:val="18"/>
              </w:rPr>
              <w:t>Reliabl</w:t>
            </w:r>
            <w:r w:rsidR="00756979">
              <w:rPr>
                <w:sz w:val="18"/>
                <w:szCs w:val="18"/>
              </w:rPr>
              <w:t>e communication service UE &lt;&gt;</w:t>
            </w:r>
            <w:r w:rsidRPr="00DC5C7D">
              <w:rPr>
                <w:sz w:val="18"/>
                <w:szCs w:val="18"/>
              </w:rPr>
              <w:t xml:space="preserve"> SCEF</w:t>
            </w:r>
          </w:p>
          <w:p w:rsidR="00756979" w:rsidRPr="00DC5C7D" w:rsidRDefault="00756979" w:rsidP="00506219">
            <w:pPr>
              <w:rPr>
                <w:sz w:val="18"/>
                <w:szCs w:val="18"/>
              </w:rPr>
            </w:pPr>
          </w:p>
          <w:p w:rsidR="00DC5C7D" w:rsidRPr="00DC5C7D" w:rsidRDefault="00DC5C7D" w:rsidP="00506219">
            <w:pPr>
              <w:rPr>
                <w:sz w:val="18"/>
                <w:szCs w:val="18"/>
              </w:rPr>
            </w:pPr>
            <w:r w:rsidRPr="00DC5C7D">
              <w:rPr>
                <w:sz w:val="18"/>
                <w:szCs w:val="18"/>
              </w:rPr>
              <w:t>Alternative 5a: UE – SCEF acknowledgement. define a new transport protocol with acknowledgement of data transfer or to use one of the existing transport protocols like MQTT-SN or CoAP</w:t>
            </w:r>
          </w:p>
          <w:p w:rsidR="00DC5C7D" w:rsidRPr="00DC5C7D" w:rsidRDefault="00DC5C7D" w:rsidP="00506219">
            <w:pPr>
              <w:rPr>
                <w:sz w:val="18"/>
                <w:szCs w:val="18"/>
              </w:rPr>
            </w:pPr>
          </w:p>
          <w:p w:rsidR="00DC5C7D" w:rsidRPr="00DC5C7D" w:rsidRDefault="00DC5C7D" w:rsidP="00532FC2">
            <w:pPr>
              <w:rPr>
                <w:sz w:val="18"/>
                <w:szCs w:val="18"/>
              </w:rPr>
            </w:pPr>
            <w:r w:rsidRPr="00DC5C7D">
              <w:rPr>
                <w:sz w:val="18"/>
                <w:szCs w:val="18"/>
              </w:rPr>
              <w:t>Alternative 5c: Hop by hop reliable delivery between UE and eNB and then between eNB and MME and then MME and SCEF.</w:t>
            </w:r>
          </w:p>
          <w:p w:rsidR="00DC5C7D" w:rsidRPr="00DC5C7D" w:rsidRDefault="00DC5C7D" w:rsidP="00532FC2">
            <w:pPr>
              <w:rPr>
                <w:sz w:val="18"/>
                <w:szCs w:val="18"/>
              </w:rPr>
            </w:pPr>
          </w:p>
        </w:tc>
        <w:tc>
          <w:tcPr>
            <w:tcW w:w="3150" w:type="dxa"/>
          </w:tcPr>
          <w:p w:rsidR="00DC5C7D" w:rsidRPr="00DC5C7D" w:rsidRDefault="00DC5C7D" w:rsidP="00532FC2">
            <w:pPr>
              <w:rPr>
                <w:sz w:val="18"/>
                <w:szCs w:val="18"/>
              </w:rPr>
            </w:pPr>
          </w:p>
          <w:p w:rsidR="00DC5C7D" w:rsidRPr="00DC5C7D" w:rsidRDefault="00DC5C7D" w:rsidP="00532FC2">
            <w:pPr>
              <w:rPr>
                <w:sz w:val="18"/>
                <w:szCs w:val="18"/>
              </w:rPr>
            </w:pPr>
          </w:p>
          <w:p w:rsidR="00DC5C7D" w:rsidRPr="00DC5C7D" w:rsidRDefault="00DC5C7D" w:rsidP="00532FC2">
            <w:pPr>
              <w:rPr>
                <w:sz w:val="18"/>
                <w:szCs w:val="18"/>
              </w:rPr>
            </w:pPr>
          </w:p>
          <w:p w:rsidR="00DC5C7D" w:rsidRPr="00DC5C7D" w:rsidRDefault="00DC5C7D" w:rsidP="00532FC2">
            <w:pPr>
              <w:rPr>
                <w:sz w:val="18"/>
                <w:szCs w:val="18"/>
              </w:rPr>
            </w:pPr>
          </w:p>
          <w:p w:rsidR="00DC5C7D" w:rsidRPr="00DC5C7D" w:rsidRDefault="00DC5C7D" w:rsidP="00532FC2">
            <w:pPr>
              <w:rPr>
                <w:sz w:val="18"/>
                <w:szCs w:val="18"/>
              </w:rPr>
            </w:pPr>
            <w:r w:rsidRPr="00DC5C7D">
              <w:rPr>
                <w:sz w:val="18"/>
                <w:szCs w:val="18"/>
              </w:rPr>
              <w:t xml:space="preserve">UE </w:t>
            </w:r>
            <w:r w:rsidR="00756979">
              <w:rPr>
                <w:sz w:val="18"/>
                <w:szCs w:val="18"/>
              </w:rPr>
              <w:t>Impacts</w:t>
            </w:r>
          </w:p>
          <w:p w:rsidR="00DC5C7D" w:rsidRPr="00DC5C7D" w:rsidRDefault="00DC5C7D" w:rsidP="00532FC2">
            <w:pPr>
              <w:rPr>
                <w:sz w:val="18"/>
                <w:szCs w:val="18"/>
              </w:rPr>
            </w:pPr>
          </w:p>
          <w:p w:rsidR="00DC5C7D" w:rsidRPr="00DC5C7D" w:rsidRDefault="00DC5C7D" w:rsidP="00506219">
            <w:pPr>
              <w:rPr>
                <w:sz w:val="18"/>
                <w:szCs w:val="18"/>
              </w:rPr>
            </w:pPr>
          </w:p>
        </w:tc>
        <w:tc>
          <w:tcPr>
            <w:tcW w:w="3330" w:type="dxa"/>
          </w:tcPr>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r w:rsidRPr="00DC5C7D">
              <w:rPr>
                <w:sz w:val="18"/>
                <w:szCs w:val="18"/>
              </w:rPr>
              <w:t>SCEF Impacts</w:t>
            </w:r>
          </w:p>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756979">
            <w:pPr>
              <w:rPr>
                <w:sz w:val="18"/>
                <w:szCs w:val="18"/>
              </w:rPr>
            </w:pPr>
            <w:r w:rsidRPr="00DC5C7D">
              <w:rPr>
                <w:sz w:val="18"/>
                <w:szCs w:val="18"/>
              </w:rPr>
              <w:t xml:space="preserve">T6a protocol between MME and SCEF would need to be enhanced to carry acknowledgements from MME to SCEF </w:t>
            </w:r>
          </w:p>
        </w:tc>
      </w:tr>
      <w:tr w:rsidR="00DC5C7D" w:rsidTr="00DC5C7D">
        <w:tc>
          <w:tcPr>
            <w:tcW w:w="461" w:type="dxa"/>
          </w:tcPr>
          <w:p w:rsidR="00DC5C7D" w:rsidRPr="00DC5C7D" w:rsidRDefault="00DC5C7D" w:rsidP="00506219">
            <w:pPr>
              <w:rPr>
                <w:sz w:val="18"/>
                <w:szCs w:val="18"/>
              </w:rPr>
            </w:pPr>
            <w:r w:rsidRPr="00DC5C7D">
              <w:rPr>
                <w:sz w:val="18"/>
                <w:szCs w:val="18"/>
              </w:rPr>
              <w:t>3</w:t>
            </w:r>
          </w:p>
        </w:tc>
        <w:tc>
          <w:tcPr>
            <w:tcW w:w="2414" w:type="dxa"/>
          </w:tcPr>
          <w:p w:rsidR="00DC5C7D" w:rsidRPr="00DC5C7D" w:rsidRDefault="00DC5C7D" w:rsidP="00506219">
            <w:pPr>
              <w:rPr>
                <w:sz w:val="18"/>
                <w:szCs w:val="18"/>
              </w:rPr>
            </w:pPr>
            <w:r w:rsidRPr="00DC5C7D">
              <w:rPr>
                <w:sz w:val="18"/>
                <w:szCs w:val="18"/>
              </w:rPr>
              <w:t>Inter RAT idle mode mobility to/from NB-IoT.</w:t>
            </w:r>
          </w:p>
        </w:tc>
        <w:tc>
          <w:tcPr>
            <w:tcW w:w="3150" w:type="dxa"/>
          </w:tcPr>
          <w:p w:rsidR="00DC5C7D" w:rsidRPr="00DC5C7D" w:rsidRDefault="00756979" w:rsidP="00756979">
            <w:pPr>
              <w:rPr>
                <w:sz w:val="18"/>
                <w:szCs w:val="18"/>
              </w:rPr>
            </w:pPr>
            <w:r>
              <w:rPr>
                <w:sz w:val="18"/>
                <w:szCs w:val="18"/>
                <w:lang w:eastAsia="zh-CN"/>
              </w:rPr>
              <w:t>I</w:t>
            </w:r>
            <w:r w:rsidR="00DC5C7D" w:rsidRPr="00DC5C7D">
              <w:rPr>
                <w:sz w:val="18"/>
                <w:szCs w:val="18"/>
                <w:lang w:eastAsia="zh-CN"/>
              </w:rPr>
              <w:t xml:space="preserve">mpacts on UE as it has to consider NB-IoT and WB-E-UTRAN as separate RATs when receiving cause code #66. </w:t>
            </w:r>
          </w:p>
        </w:tc>
        <w:tc>
          <w:tcPr>
            <w:tcW w:w="3330" w:type="dxa"/>
          </w:tcPr>
          <w:p w:rsidR="00DC5C7D" w:rsidRPr="00DC5C7D" w:rsidRDefault="00DC5C7D" w:rsidP="00DC5C7D">
            <w:pPr>
              <w:rPr>
                <w:sz w:val="18"/>
                <w:szCs w:val="18"/>
              </w:rPr>
            </w:pPr>
            <w:r w:rsidRPr="00DC5C7D">
              <w:rPr>
                <w:sz w:val="18"/>
                <w:szCs w:val="18"/>
                <w:lang w:eastAsia="zh-CN"/>
              </w:rPr>
              <w:t xml:space="preserve">HSS needs new fields to describe how bearers for an APN need to be handled for mobility between narrowband and </w:t>
            </w:r>
            <w:r w:rsidRPr="00DC5C7D">
              <w:rPr>
                <w:sz w:val="18"/>
                <w:szCs w:val="18"/>
                <w:lang w:eastAsia="zh-CN"/>
              </w:rPr>
              <w:lastRenderedPageBreak/>
              <w:t>broadband systems and also needs to send this information to MME.</w:t>
            </w:r>
          </w:p>
          <w:p w:rsidR="00DC5C7D" w:rsidRPr="00DC5C7D" w:rsidRDefault="00DC5C7D" w:rsidP="00506219">
            <w:pPr>
              <w:rPr>
                <w:sz w:val="18"/>
                <w:szCs w:val="18"/>
              </w:rPr>
            </w:pPr>
          </w:p>
        </w:tc>
      </w:tr>
      <w:tr w:rsidR="00DC5C7D" w:rsidTr="00DC5C7D">
        <w:tc>
          <w:tcPr>
            <w:tcW w:w="461" w:type="dxa"/>
          </w:tcPr>
          <w:p w:rsidR="00DC5C7D" w:rsidRPr="00DC5C7D" w:rsidRDefault="00DC5C7D" w:rsidP="00506219">
            <w:pPr>
              <w:rPr>
                <w:sz w:val="18"/>
                <w:szCs w:val="18"/>
              </w:rPr>
            </w:pPr>
            <w:r w:rsidRPr="00DC5C7D">
              <w:rPr>
                <w:sz w:val="18"/>
                <w:szCs w:val="18"/>
              </w:rPr>
              <w:lastRenderedPageBreak/>
              <w:t>4</w:t>
            </w:r>
          </w:p>
        </w:tc>
        <w:tc>
          <w:tcPr>
            <w:tcW w:w="2414" w:type="dxa"/>
          </w:tcPr>
          <w:p w:rsidR="00DC5C7D" w:rsidRDefault="00DC5C7D" w:rsidP="00506219">
            <w:pPr>
              <w:rPr>
                <w:sz w:val="18"/>
                <w:szCs w:val="18"/>
              </w:rPr>
            </w:pPr>
            <w:r w:rsidRPr="00DC5C7D">
              <w:rPr>
                <w:sz w:val="18"/>
                <w:szCs w:val="18"/>
              </w:rPr>
              <w:t>Reuse of existing multicast/broadcast architecture</w:t>
            </w:r>
          </w:p>
          <w:p w:rsidR="00756979" w:rsidRDefault="00756979" w:rsidP="00506219">
            <w:pPr>
              <w:rPr>
                <w:sz w:val="18"/>
                <w:szCs w:val="18"/>
              </w:rPr>
            </w:pPr>
          </w:p>
          <w:p w:rsidR="00756979" w:rsidRPr="00DC5C7D" w:rsidRDefault="00756979" w:rsidP="00506219">
            <w:pPr>
              <w:rPr>
                <w:sz w:val="18"/>
                <w:szCs w:val="18"/>
              </w:rPr>
            </w:pPr>
            <w:r>
              <w:rPr>
                <w:sz w:val="18"/>
                <w:szCs w:val="18"/>
              </w:rPr>
              <w:t>S</w:t>
            </w:r>
            <w:r w:rsidRPr="00DC5C7D">
              <w:rPr>
                <w:sz w:val="18"/>
                <w:szCs w:val="18"/>
              </w:rPr>
              <w:t xml:space="preserve">olution has several </w:t>
            </w:r>
            <w:r>
              <w:rPr>
                <w:sz w:val="18"/>
                <w:szCs w:val="18"/>
              </w:rPr>
              <w:t>sub-</w:t>
            </w:r>
            <w:r w:rsidRPr="00DC5C7D">
              <w:rPr>
                <w:sz w:val="18"/>
                <w:szCs w:val="18"/>
              </w:rPr>
              <w:t>options</w:t>
            </w:r>
          </w:p>
        </w:tc>
        <w:tc>
          <w:tcPr>
            <w:tcW w:w="3150" w:type="dxa"/>
          </w:tcPr>
          <w:p w:rsidR="00DC5C7D" w:rsidRPr="00DC5C7D" w:rsidRDefault="00DC5C7D" w:rsidP="00DC5C7D">
            <w:pPr>
              <w:rPr>
                <w:sz w:val="18"/>
                <w:szCs w:val="18"/>
              </w:rPr>
            </w:pPr>
            <w:r w:rsidRPr="00DC5C7D">
              <w:rPr>
                <w:sz w:val="18"/>
                <w:szCs w:val="18"/>
              </w:rPr>
              <w:t xml:space="preserve">UE impacts to handle potential UE wake up out of deep sleep due to power savings during a scheduled broadcast that may be interesting for the UE and then ensure the UE remains awake during reception of MBMS data. </w:t>
            </w:r>
          </w:p>
          <w:p w:rsidR="00DC5C7D" w:rsidRPr="00DC5C7D" w:rsidRDefault="00DC5C7D" w:rsidP="00506219">
            <w:pPr>
              <w:rPr>
                <w:sz w:val="18"/>
                <w:szCs w:val="18"/>
              </w:rPr>
            </w:pPr>
          </w:p>
        </w:tc>
        <w:tc>
          <w:tcPr>
            <w:tcW w:w="3330" w:type="dxa"/>
          </w:tcPr>
          <w:p w:rsidR="00DC5C7D" w:rsidRPr="00DC5C7D" w:rsidRDefault="00DC5C7D" w:rsidP="00506219">
            <w:pPr>
              <w:rPr>
                <w:sz w:val="18"/>
                <w:szCs w:val="18"/>
              </w:rPr>
            </w:pPr>
          </w:p>
        </w:tc>
      </w:tr>
      <w:tr w:rsidR="00DC5C7D" w:rsidTr="00DC5C7D">
        <w:tc>
          <w:tcPr>
            <w:tcW w:w="461" w:type="dxa"/>
          </w:tcPr>
          <w:p w:rsidR="00DC5C7D" w:rsidRPr="00DC5C7D" w:rsidRDefault="00DC5C7D" w:rsidP="00506219">
            <w:pPr>
              <w:rPr>
                <w:sz w:val="18"/>
                <w:szCs w:val="18"/>
              </w:rPr>
            </w:pPr>
            <w:r w:rsidRPr="00DC5C7D">
              <w:rPr>
                <w:sz w:val="18"/>
                <w:szCs w:val="18"/>
              </w:rPr>
              <w:t>5</w:t>
            </w:r>
          </w:p>
        </w:tc>
        <w:tc>
          <w:tcPr>
            <w:tcW w:w="2414" w:type="dxa"/>
          </w:tcPr>
          <w:p w:rsidR="00DC5C7D" w:rsidRPr="00DC5C7D" w:rsidRDefault="00DC5C7D" w:rsidP="00DC5C7D">
            <w:pPr>
              <w:pStyle w:val="Heading2"/>
              <w:rPr>
                <w:rFonts w:ascii="Times New Roman" w:hAnsi="Times New Roman"/>
                <w:sz w:val="18"/>
                <w:szCs w:val="18"/>
                <w:u w:val="none"/>
              </w:rPr>
            </w:pPr>
            <w:r w:rsidRPr="00DC5C7D">
              <w:rPr>
                <w:rFonts w:ascii="Times New Roman" w:hAnsi="Times New Roman"/>
                <w:sz w:val="18"/>
                <w:szCs w:val="18"/>
                <w:u w:val="none"/>
              </w:rPr>
              <w:t>Reuse of Location Services architecture for Control Plane CIoT EPS optimization</w:t>
            </w:r>
          </w:p>
          <w:p w:rsidR="00DC5C7D" w:rsidRPr="00DC5C7D" w:rsidRDefault="00DC5C7D" w:rsidP="00506219">
            <w:pPr>
              <w:rPr>
                <w:sz w:val="18"/>
                <w:szCs w:val="18"/>
              </w:rPr>
            </w:pPr>
          </w:p>
        </w:tc>
        <w:tc>
          <w:tcPr>
            <w:tcW w:w="3150" w:type="dxa"/>
          </w:tcPr>
          <w:p w:rsidR="00DC5C7D" w:rsidRPr="00DC5C7D" w:rsidRDefault="00DC5C7D" w:rsidP="00DC5C7D">
            <w:pPr>
              <w:rPr>
                <w:sz w:val="18"/>
                <w:szCs w:val="18"/>
              </w:rPr>
            </w:pPr>
            <w:r w:rsidRPr="00DC5C7D">
              <w:rPr>
                <w:sz w:val="18"/>
                <w:szCs w:val="18"/>
              </w:rPr>
              <w:t>Some UE Impacts</w:t>
            </w:r>
          </w:p>
        </w:tc>
        <w:tc>
          <w:tcPr>
            <w:tcW w:w="3330" w:type="dxa"/>
          </w:tcPr>
          <w:p w:rsidR="00DC5C7D" w:rsidRPr="00DC5C7D" w:rsidRDefault="00DC5C7D" w:rsidP="00506219">
            <w:pPr>
              <w:rPr>
                <w:sz w:val="18"/>
                <w:szCs w:val="18"/>
              </w:rPr>
            </w:pPr>
            <w:r w:rsidRPr="00DC5C7D">
              <w:rPr>
                <w:sz w:val="18"/>
                <w:szCs w:val="18"/>
              </w:rPr>
              <w:t>Impacts on MME. E-SMLC and GMLC</w:t>
            </w:r>
          </w:p>
        </w:tc>
      </w:tr>
      <w:tr w:rsidR="00DC5C7D" w:rsidTr="00DC5C7D">
        <w:tc>
          <w:tcPr>
            <w:tcW w:w="461" w:type="dxa"/>
          </w:tcPr>
          <w:p w:rsidR="00DC5C7D" w:rsidRPr="00DC5C7D" w:rsidRDefault="00DC5C7D" w:rsidP="00506219">
            <w:pPr>
              <w:rPr>
                <w:sz w:val="18"/>
                <w:szCs w:val="18"/>
              </w:rPr>
            </w:pPr>
            <w:r w:rsidRPr="00DC5C7D">
              <w:rPr>
                <w:sz w:val="18"/>
                <w:szCs w:val="18"/>
              </w:rPr>
              <w:t>6</w:t>
            </w:r>
          </w:p>
        </w:tc>
        <w:tc>
          <w:tcPr>
            <w:tcW w:w="2414" w:type="dxa"/>
          </w:tcPr>
          <w:p w:rsidR="00DC5C7D" w:rsidRDefault="00DC5C7D" w:rsidP="00506219">
            <w:pPr>
              <w:rPr>
                <w:sz w:val="18"/>
                <w:szCs w:val="18"/>
              </w:rPr>
            </w:pPr>
            <w:r w:rsidRPr="00DC5C7D">
              <w:rPr>
                <w:sz w:val="18"/>
                <w:szCs w:val="18"/>
              </w:rPr>
              <w:t>Inter UE QoS for NB-IoT control plane optimization</w:t>
            </w:r>
          </w:p>
          <w:p w:rsidR="00756979" w:rsidRPr="00DC5C7D" w:rsidRDefault="00756979" w:rsidP="00506219">
            <w:pPr>
              <w:rPr>
                <w:sz w:val="18"/>
                <w:szCs w:val="18"/>
              </w:rPr>
            </w:pPr>
          </w:p>
        </w:tc>
        <w:tc>
          <w:tcPr>
            <w:tcW w:w="3150" w:type="dxa"/>
          </w:tcPr>
          <w:p w:rsidR="00DC5C7D" w:rsidRPr="00DC5C7D" w:rsidRDefault="00DC5C7D" w:rsidP="00506219">
            <w:pPr>
              <w:rPr>
                <w:sz w:val="18"/>
                <w:szCs w:val="18"/>
              </w:rPr>
            </w:pPr>
          </w:p>
        </w:tc>
        <w:tc>
          <w:tcPr>
            <w:tcW w:w="3330" w:type="dxa"/>
          </w:tcPr>
          <w:p w:rsidR="00DC5C7D" w:rsidRPr="00DC5C7D" w:rsidRDefault="00DC5C7D" w:rsidP="00756979">
            <w:pPr>
              <w:rPr>
                <w:sz w:val="18"/>
                <w:szCs w:val="18"/>
              </w:rPr>
            </w:pPr>
            <w:r w:rsidRPr="00DC5C7D">
              <w:rPr>
                <w:sz w:val="18"/>
                <w:szCs w:val="18"/>
              </w:rPr>
              <w:t>MME to define a new S1-AP procedure, RetrieveUEContextRequest/Response</w:t>
            </w:r>
          </w:p>
        </w:tc>
      </w:tr>
      <w:tr w:rsidR="00DC5C7D" w:rsidTr="00DC5C7D">
        <w:tc>
          <w:tcPr>
            <w:tcW w:w="461" w:type="dxa"/>
          </w:tcPr>
          <w:p w:rsidR="00DC5C7D" w:rsidRPr="00DC5C7D" w:rsidRDefault="00DC5C7D" w:rsidP="00506219">
            <w:pPr>
              <w:rPr>
                <w:sz w:val="18"/>
                <w:szCs w:val="18"/>
              </w:rPr>
            </w:pPr>
            <w:r w:rsidRPr="00DC5C7D">
              <w:rPr>
                <w:sz w:val="18"/>
                <w:szCs w:val="18"/>
              </w:rPr>
              <w:t>7</w:t>
            </w:r>
          </w:p>
        </w:tc>
        <w:tc>
          <w:tcPr>
            <w:tcW w:w="2414" w:type="dxa"/>
          </w:tcPr>
          <w:p w:rsidR="00DC5C7D" w:rsidRPr="00DC5C7D" w:rsidRDefault="00DC5C7D" w:rsidP="00506219">
            <w:pPr>
              <w:rPr>
                <w:sz w:val="18"/>
                <w:szCs w:val="18"/>
              </w:rPr>
            </w:pPr>
            <w:r w:rsidRPr="00DC5C7D">
              <w:rPr>
                <w:sz w:val="18"/>
                <w:szCs w:val="18"/>
              </w:rPr>
              <w:t>CN overload control for data transfer via control plane CIoT optimization</w:t>
            </w:r>
          </w:p>
          <w:p w:rsidR="00DC5C7D" w:rsidRPr="00DC5C7D" w:rsidRDefault="00DC5C7D" w:rsidP="00506219">
            <w:pPr>
              <w:rPr>
                <w:sz w:val="18"/>
                <w:szCs w:val="18"/>
              </w:rPr>
            </w:pPr>
          </w:p>
          <w:p w:rsidR="00DC5C7D" w:rsidRPr="00DC5C7D" w:rsidRDefault="00DC5C7D" w:rsidP="00506219">
            <w:pPr>
              <w:rPr>
                <w:sz w:val="18"/>
                <w:szCs w:val="18"/>
              </w:rPr>
            </w:pPr>
            <w:r w:rsidRPr="00DC5C7D">
              <w:rPr>
                <w:sz w:val="18"/>
                <w:szCs w:val="18"/>
              </w:rPr>
              <w:t>Solution 8 proposes a control plane data back-off timer</w:t>
            </w:r>
          </w:p>
          <w:p w:rsidR="00DC5C7D" w:rsidRPr="00DC5C7D" w:rsidRDefault="00DC5C7D" w:rsidP="00506219">
            <w:pPr>
              <w:rPr>
                <w:sz w:val="18"/>
                <w:szCs w:val="18"/>
              </w:rPr>
            </w:pPr>
          </w:p>
          <w:p w:rsidR="00DC5C7D" w:rsidRPr="00DC5C7D" w:rsidRDefault="00DC5C7D" w:rsidP="00506219">
            <w:pPr>
              <w:rPr>
                <w:sz w:val="18"/>
                <w:szCs w:val="18"/>
              </w:rPr>
            </w:pPr>
            <w:r w:rsidRPr="00DC5C7D">
              <w:rPr>
                <w:sz w:val="18"/>
                <w:szCs w:val="18"/>
                <w:lang w:eastAsia="zh-CN"/>
              </w:rPr>
              <w:t>Solution 9 proposes to use an Overload Start message</w:t>
            </w:r>
          </w:p>
        </w:tc>
        <w:tc>
          <w:tcPr>
            <w:tcW w:w="3150" w:type="dxa"/>
          </w:tcPr>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r w:rsidRPr="00DC5C7D">
              <w:rPr>
                <w:sz w:val="18"/>
                <w:szCs w:val="18"/>
              </w:rPr>
              <w:t>Impacts on UE NAS procedures</w:t>
            </w:r>
          </w:p>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r w:rsidRPr="00DC5C7D">
              <w:rPr>
                <w:sz w:val="18"/>
                <w:szCs w:val="18"/>
                <w:lang w:eastAsia="zh-CN"/>
              </w:rPr>
              <w:t>Potential impacts on UE to handle back-off timer from eNB</w:t>
            </w:r>
          </w:p>
        </w:tc>
        <w:tc>
          <w:tcPr>
            <w:tcW w:w="3330" w:type="dxa"/>
          </w:tcPr>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r w:rsidRPr="00DC5C7D">
              <w:rPr>
                <w:sz w:val="18"/>
                <w:szCs w:val="18"/>
              </w:rPr>
              <w:t>Impacts on MME</w:t>
            </w:r>
          </w:p>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p>
          <w:p w:rsidR="00DC5C7D" w:rsidRPr="00DC5C7D" w:rsidRDefault="00DC5C7D" w:rsidP="00506219">
            <w:pPr>
              <w:rPr>
                <w:sz w:val="18"/>
                <w:szCs w:val="18"/>
              </w:rPr>
            </w:pPr>
            <w:r w:rsidRPr="00DC5C7D">
              <w:rPr>
                <w:sz w:val="18"/>
                <w:szCs w:val="18"/>
                <w:lang w:eastAsia="zh-CN"/>
              </w:rPr>
              <w:t>Impacts to MME so that it can define a new Overload Start message</w:t>
            </w:r>
          </w:p>
        </w:tc>
      </w:tr>
      <w:tr w:rsidR="00DC5C7D" w:rsidTr="00DC5C7D">
        <w:tc>
          <w:tcPr>
            <w:tcW w:w="461" w:type="dxa"/>
          </w:tcPr>
          <w:p w:rsidR="00DC5C7D" w:rsidRDefault="00DC5C7D" w:rsidP="00506219"/>
        </w:tc>
        <w:tc>
          <w:tcPr>
            <w:tcW w:w="2414" w:type="dxa"/>
          </w:tcPr>
          <w:p w:rsidR="00DC5C7D" w:rsidRDefault="00DC5C7D" w:rsidP="00506219"/>
        </w:tc>
        <w:tc>
          <w:tcPr>
            <w:tcW w:w="3150" w:type="dxa"/>
          </w:tcPr>
          <w:p w:rsidR="00DC5C7D" w:rsidRDefault="00DC5C7D" w:rsidP="00506219"/>
        </w:tc>
        <w:tc>
          <w:tcPr>
            <w:tcW w:w="3330" w:type="dxa"/>
          </w:tcPr>
          <w:p w:rsidR="00DC5C7D" w:rsidRDefault="00DC5C7D" w:rsidP="00506219"/>
        </w:tc>
      </w:tr>
    </w:tbl>
    <w:p w:rsidR="00532FC2" w:rsidRDefault="00532FC2" w:rsidP="00506219"/>
    <w:p w:rsidR="00B91F93" w:rsidRDefault="00B91F93" w:rsidP="00506219"/>
    <w:p w:rsidR="00B91F93" w:rsidRDefault="00B91F93" w:rsidP="00506219"/>
    <w:p w:rsidR="00B91F93" w:rsidRDefault="00B91F93" w:rsidP="00506219"/>
    <w:p w:rsidR="00B91F93" w:rsidRDefault="00B91F93" w:rsidP="00B91F93">
      <w:pPr>
        <w:pStyle w:val="Heading1"/>
      </w:pPr>
      <w:r>
        <w:t>4 References</w:t>
      </w:r>
    </w:p>
    <w:p w:rsidR="00B91F93" w:rsidRPr="00B91F93" w:rsidRDefault="00B91F93" w:rsidP="00506219"/>
    <w:p w:rsidR="00B91F93" w:rsidRPr="00B91F93" w:rsidRDefault="00B91F93" w:rsidP="00B91F93">
      <w:pPr>
        <w:tabs>
          <w:tab w:val="left" w:pos="2127"/>
        </w:tabs>
        <w:ind w:left="2126" w:hanging="2126"/>
        <w:jc w:val="both"/>
        <w:outlineLvl w:val="0"/>
        <w:rPr>
          <w:rFonts w:eastAsia="Batang"/>
          <w:lang w:eastAsia="zh-CN"/>
        </w:rPr>
      </w:pPr>
      <w:r w:rsidRPr="00B91F93">
        <w:rPr>
          <w:lang w:eastAsia="ja-JP"/>
        </w:rPr>
        <w:t xml:space="preserve">1] S2-163133 </w:t>
      </w:r>
      <w:r w:rsidRPr="00B91F93">
        <w:rPr>
          <w:rFonts w:eastAsia="Batang"/>
          <w:lang w:eastAsia="zh-CN"/>
        </w:rPr>
        <w:t xml:space="preserve">New </w:t>
      </w:r>
      <w:r>
        <w:rPr>
          <w:rFonts w:eastAsia="Batang"/>
          <w:lang w:eastAsia="zh-CN"/>
        </w:rPr>
        <w:t>study</w:t>
      </w:r>
      <w:r w:rsidRPr="00B91F93">
        <w:rPr>
          <w:rFonts w:eastAsia="Batang"/>
          <w:lang w:eastAsia="zh-CN"/>
        </w:rPr>
        <w:t xml:space="preserve"> item on extended architecture support for Cellular Internet of Things </w:t>
      </w:r>
    </w:p>
    <w:p w:rsidR="00B91F93" w:rsidRPr="00B91F93" w:rsidRDefault="00B91F93" w:rsidP="00B91F93">
      <w:pPr>
        <w:tabs>
          <w:tab w:val="left" w:pos="2127"/>
        </w:tabs>
        <w:ind w:left="2126" w:hanging="2126"/>
        <w:jc w:val="both"/>
        <w:outlineLvl w:val="0"/>
        <w:rPr>
          <w:lang w:eastAsia="ja-JP"/>
        </w:rPr>
      </w:pPr>
      <w:r w:rsidRPr="00B91F93">
        <w:rPr>
          <w:rFonts w:eastAsia="Batang"/>
          <w:lang w:eastAsia="zh-CN"/>
        </w:rPr>
        <w:t xml:space="preserve">                        </w:t>
      </w:r>
      <w:r>
        <w:rPr>
          <w:rFonts w:eastAsia="Batang"/>
          <w:lang w:eastAsia="zh-CN"/>
        </w:rPr>
        <w:t xml:space="preserve">in SA2 </w:t>
      </w:r>
    </w:p>
    <w:p w:rsidR="00B91F93" w:rsidRPr="00B91F93" w:rsidRDefault="00B91F93" w:rsidP="00506219">
      <w:pPr>
        <w:rPr>
          <w:lang w:eastAsia="ja-JP"/>
        </w:rPr>
      </w:pPr>
    </w:p>
    <w:p w:rsidR="00B91F93" w:rsidRDefault="00B91F93" w:rsidP="00B91F93">
      <w:pPr>
        <w:pStyle w:val="ZT"/>
        <w:framePr w:wrap="auto" w:hAnchor="text" w:yAlign="inline"/>
        <w:jc w:val="left"/>
        <w:rPr>
          <w:rFonts w:ascii="Times New Roman" w:hAnsi="Times New Roman"/>
          <w:b w:val="0"/>
          <w:sz w:val="20"/>
        </w:rPr>
      </w:pPr>
      <w:r w:rsidRPr="00B91F93">
        <w:rPr>
          <w:rFonts w:ascii="Times New Roman" w:hAnsi="Times New Roman"/>
          <w:b w:val="0"/>
          <w:sz w:val="20"/>
          <w:lang w:eastAsia="ja-JP"/>
        </w:rPr>
        <w:t xml:space="preserve">2] TR 23.730 ver 1.2.0, </w:t>
      </w:r>
      <w:r w:rsidRPr="00B91F93">
        <w:rPr>
          <w:rFonts w:ascii="Times New Roman" w:hAnsi="Times New Roman"/>
          <w:b w:val="0"/>
          <w:sz w:val="20"/>
        </w:rPr>
        <w:t>Study on extended architecture support for</w:t>
      </w:r>
      <w:r>
        <w:rPr>
          <w:rFonts w:ascii="Times New Roman" w:hAnsi="Times New Roman"/>
          <w:b w:val="0"/>
          <w:sz w:val="20"/>
        </w:rPr>
        <w:t xml:space="preserve"> </w:t>
      </w:r>
      <w:r w:rsidRPr="00B91F93">
        <w:rPr>
          <w:rFonts w:ascii="Times New Roman" w:hAnsi="Times New Roman"/>
          <w:b w:val="0"/>
          <w:sz w:val="20"/>
        </w:rPr>
        <w:t>Cellular Internet of Things</w:t>
      </w:r>
      <w:r>
        <w:rPr>
          <w:rFonts w:ascii="Times New Roman" w:hAnsi="Times New Roman"/>
          <w:b w:val="0"/>
          <w:sz w:val="20"/>
        </w:rPr>
        <w:t xml:space="preserve"> </w:t>
      </w:r>
      <w:r w:rsidRPr="00B91F93">
        <w:rPr>
          <w:rFonts w:ascii="Times New Roman" w:hAnsi="Times New Roman"/>
          <w:b w:val="0"/>
          <w:sz w:val="20"/>
        </w:rPr>
        <w:t>(</w:t>
      </w:r>
      <w:r w:rsidRPr="00B91F93">
        <w:rPr>
          <w:rStyle w:val="ZGSM"/>
          <w:rFonts w:ascii="Times New Roman" w:hAnsi="Times New Roman"/>
          <w:b w:val="0"/>
          <w:sz w:val="20"/>
        </w:rPr>
        <w:t>Release 14</w:t>
      </w:r>
      <w:r w:rsidRPr="00B91F93">
        <w:rPr>
          <w:rFonts w:ascii="Times New Roman" w:hAnsi="Times New Roman"/>
          <w:b w:val="0"/>
          <w:sz w:val="20"/>
        </w:rPr>
        <w:t>)</w:t>
      </w:r>
    </w:p>
    <w:p w:rsidR="00B91F93" w:rsidRPr="00B91F93" w:rsidRDefault="00B91F93" w:rsidP="00B91F93">
      <w:pPr>
        <w:pStyle w:val="ZT"/>
        <w:framePr w:wrap="auto" w:hAnchor="text" w:yAlign="inline"/>
        <w:jc w:val="left"/>
        <w:rPr>
          <w:rFonts w:ascii="Times New Roman" w:hAnsi="Times New Roman"/>
          <w:b w:val="0"/>
          <w:sz w:val="20"/>
          <w:lang w:eastAsia="ja-JP"/>
        </w:rPr>
      </w:pPr>
    </w:p>
    <w:p w:rsidR="00B91F93" w:rsidRPr="00B91F93" w:rsidRDefault="00B91F93" w:rsidP="00B91F93">
      <w:pPr>
        <w:tabs>
          <w:tab w:val="left" w:pos="2127"/>
        </w:tabs>
        <w:ind w:left="2126" w:hanging="2126"/>
        <w:jc w:val="both"/>
        <w:outlineLvl w:val="0"/>
        <w:rPr>
          <w:rFonts w:eastAsia="Batang"/>
          <w:lang w:eastAsia="zh-CN"/>
        </w:rPr>
      </w:pPr>
      <w:r w:rsidRPr="00B91F93">
        <w:rPr>
          <w:lang w:eastAsia="ja-JP"/>
        </w:rPr>
        <w:t xml:space="preserve">3] SP-160732, </w:t>
      </w:r>
      <w:r w:rsidRPr="00B91F93">
        <w:rPr>
          <w:rFonts w:eastAsia="Batang"/>
          <w:lang w:eastAsia="zh-CN"/>
        </w:rPr>
        <w:t xml:space="preserve">New work item on extended architecture support for Cellular Internet of Things </w:t>
      </w:r>
    </w:p>
    <w:p w:rsidR="00B91F93" w:rsidRPr="00B91F93" w:rsidRDefault="00B91F93" w:rsidP="00B91F93">
      <w:pPr>
        <w:tabs>
          <w:tab w:val="left" w:pos="2127"/>
        </w:tabs>
        <w:ind w:left="2126" w:hanging="2126"/>
        <w:jc w:val="both"/>
        <w:outlineLvl w:val="0"/>
        <w:rPr>
          <w:rFonts w:eastAsia="Batang"/>
          <w:lang w:eastAsia="zh-CN"/>
        </w:rPr>
      </w:pPr>
      <w:r w:rsidRPr="00B91F93">
        <w:rPr>
          <w:rFonts w:eastAsia="Batang"/>
          <w:lang w:eastAsia="zh-CN"/>
        </w:rPr>
        <w:t xml:space="preserve">                        in SA2 approved at TSG SA #73</w:t>
      </w:r>
    </w:p>
    <w:p w:rsidR="00B91F93" w:rsidRPr="00B91F93" w:rsidRDefault="00B91F93" w:rsidP="00506219"/>
    <w:sectPr w:rsidR="00B91F93" w:rsidRPr="00B91F9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7A1D" w:rsidRDefault="00707A1D">
      <w:r>
        <w:separator/>
      </w:r>
    </w:p>
  </w:endnote>
  <w:endnote w:type="continuationSeparator" w:id="0">
    <w:p w:rsidR="00707A1D" w:rsidRDefault="00707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7A1D" w:rsidRDefault="00707A1D">
      <w:r>
        <w:separator/>
      </w:r>
    </w:p>
  </w:footnote>
  <w:footnote w:type="continuationSeparator" w:id="0">
    <w:p w:rsidR="00707A1D" w:rsidRDefault="00707A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8A1FDB"/>
    <w:multiLevelType w:val="hybridMultilevel"/>
    <w:tmpl w:val="9E92D588"/>
    <w:lvl w:ilvl="0" w:tplc="0EC2A5C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485B91"/>
    <w:multiLevelType w:val="hybridMultilevel"/>
    <w:tmpl w:val="1BA4DDC0"/>
    <w:lvl w:ilvl="0" w:tplc="0EC2A5C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A14DC1"/>
    <w:multiLevelType w:val="hybridMultilevel"/>
    <w:tmpl w:val="49607B1C"/>
    <w:lvl w:ilvl="0" w:tplc="0EC2A5C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6E55691"/>
    <w:multiLevelType w:val="hybridMultilevel"/>
    <w:tmpl w:val="2F009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8B3205B"/>
    <w:multiLevelType w:val="hybridMultilevel"/>
    <w:tmpl w:val="D4042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7F55297"/>
    <w:multiLevelType w:val="hybridMultilevel"/>
    <w:tmpl w:val="4A1448D0"/>
    <w:lvl w:ilvl="0" w:tplc="0EC2A5C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4A018F"/>
    <w:multiLevelType w:val="hybridMultilevel"/>
    <w:tmpl w:val="F8F6B5CA"/>
    <w:lvl w:ilvl="0" w:tplc="0EC2A5C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2"/>
  </w:num>
  <w:num w:numId="5">
    <w:abstractNumId w:val="2"/>
  </w:num>
  <w:num w:numId="6">
    <w:abstractNumId w:val="9"/>
  </w:num>
  <w:num w:numId="7">
    <w:abstractNumId w:val="1"/>
  </w:num>
  <w:num w:numId="8">
    <w:abstractNumId w:val="7"/>
  </w:num>
  <w:num w:numId="9">
    <w:abstractNumId w:val="0"/>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55CE"/>
    <w:rsid w:val="00024FC7"/>
    <w:rsid w:val="00026029"/>
    <w:rsid w:val="00034033"/>
    <w:rsid w:val="00055FA3"/>
    <w:rsid w:val="00056F79"/>
    <w:rsid w:val="00087FD8"/>
    <w:rsid w:val="000967F4"/>
    <w:rsid w:val="000B5B2E"/>
    <w:rsid w:val="000B721D"/>
    <w:rsid w:val="000F7B05"/>
    <w:rsid w:val="0010162C"/>
    <w:rsid w:val="001051DB"/>
    <w:rsid w:val="00127D4F"/>
    <w:rsid w:val="00135045"/>
    <w:rsid w:val="00143D2E"/>
    <w:rsid w:val="00144A2A"/>
    <w:rsid w:val="00152A5F"/>
    <w:rsid w:val="00155ECA"/>
    <w:rsid w:val="00166FE2"/>
    <w:rsid w:val="00180B7B"/>
    <w:rsid w:val="00193BFD"/>
    <w:rsid w:val="00197731"/>
    <w:rsid w:val="001A147D"/>
    <w:rsid w:val="001A4679"/>
    <w:rsid w:val="001B67F4"/>
    <w:rsid w:val="001C23E5"/>
    <w:rsid w:val="001D0354"/>
    <w:rsid w:val="001D0676"/>
    <w:rsid w:val="001E2D52"/>
    <w:rsid w:val="001E65AA"/>
    <w:rsid w:val="001F2939"/>
    <w:rsid w:val="002070CB"/>
    <w:rsid w:val="00226CBC"/>
    <w:rsid w:val="00236D1F"/>
    <w:rsid w:val="0025089E"/>
    <w:rsid w:val="00270022"/>
    <w:rsid w:val="00274CE0"/>
    <w:rsid w:val="002968F2"/>
    <w:rsid w:val="002B5361"/>
    <w:rsid w:val="002E54A0"/>
    <w:rsid w:val="003073CD"/>
    <w:rsid w:val="00314A9D"/>
    <w:rsid w:val="00325E33"/>
    <w:rsid w:val="00326E55"/>
    <w:rsid w:val="003420E4"/>
    <w:rsid w:val="00350F95"/>
    <w:rsid w:val="00362BFB"/>
    <w:rsid w:val="00375C49"/>
    <w:rsid w:val="003B23B5"/>
    <w:rsid w:val="003B2622"/>
    <w:rsid w:val="003B4116"/>
    <w:rsid w:val="003C4DFD"/>
    <w:rsid w:val="003D3398"/>
    <w:rsid w:val="003E5F93"/>
    <w:rsid w:val="003E604F"/>
    <w:rsid w:val="003F2A4B"/>
    <w:rsid w:val="00407ADA"/>
    <w:rsid w:val="00415D4E"/>
    <w:rsid w:val="00440C94"/>
    <w:rsid w:val="0045162D"/>
    <w:rsid w:val="004573AF"/>
    <w:rsid w:val="00461D67"/>
    <w:rsid w:val="004631B5"/>
    <w:rsid w:val="004665A3"/>
    <w:rsid w:val="00481D67"/>
    <w:rsid w:val="00485C07"/>
    <w:rsid w:val="004A1FA1"/>
    <w:rsid w:val="004A4AEC"/>
    <w:rsid w:val="004B55A2"/>
    <w:rsid w:val="004B5E72"/>
    <w:rsid w:val="004C08D8"/>
    <w:rsid w:val="004E149E"/>
    <w:rsid w:val="004F2B01"/>
    <w:rsid w:val="005024B7"/>
    <w:rsid w:val="00505310"/>
    <w:rsid w:val="00506219"/>
    <w:rsid w:val="00515E13"/>
    <w:rsid w:val="0052032E"/>
    <w:rsid w:val="005271B2"/>
    <w:rsid w:val="00530439"/>
    <w:rsid w:val="00532FC2"/>
    <w:rsid w:val="0053331D"/>
    <w:rsid w:val="0054598B"/>
    <w:rsid w:val="005556EA"/>
    <w:rsid w:val="00555B66"/>
    <w:rsid w:val="00556FE9"/>
    <w:rsid w:val="00567D6B"/>
    <w:rsid w:val="005738DC"/>
    <w:rsid w:val="00587973"/>
    <w:rsid w:val="005A18C5"/>
    <w:rsid w:val="005A25D4"/>
    <w:rsid w:val="005A6DF1"/>
    <w:rsid w:val="005C0FFC"/>
    <w:rsid w:val="005C3F71"/>
    <w:rsid w:val="005D6186"/>
    <w:rsid w:val="005D6E39"/>
    <w:rsid w:val="005D7C96"/>
    <w:rsid w:val="005E0CD0"/>
    <w:rsid w:val="005E7235"/>
    <w:rsid w:val="00602747"/>
    <w:rsid w:val="006474E6"/>
    <w:rsid w:val="00660354"/>
    <w:rsid w:val="00665B9B"/>
    <w:rsid w:val="00672963"/>
    <w:rsid w:val="006747CC"/>
    <w:rsid w:val="00674AFB"/>
    <w:rsid w:val="00695FD2"/>
    <w:rsid w:val="006A504F"/>
    <w:rsid w:val="006D1A9E"/>
    <w:rsid w:val="006D6475"/>
    <w:rsid w:val="006E478F"/>
    <w:rsid w:val="006F1ECB"/>
    <w:rsid w:val="007025BE"/>
    <w:rsid w:val="00707A1D"/>
    <w:rsid w:val="00707BF9"/>
    <w:rsid w:val="00715209"/>
    <w:rsid w:val="00744882"/>
    <w:rsid w:val="00744C06"/>
    <w:rsid w:val="00756979"/>
    <w:rsid w:val="00765F6E"/>
    <w:rsid w:val="00787383"/>
    <w:rsid w:val="0079245A"/>
    <w:rsid w:val="007A5B7E"/>
    <w:rsid w:val="007B764A"/>
    <w:rsid w:val="007F0D64"/>
    <w:rsid w:val="00807784"/>
    <w:rsid w:val="008267E8"/>
    <w:rsid w:val="00826E13"/>
    <w:rsid w:val="00841FE3"/>
    <w:rsid w:val="008519AF"/>
    <w:rsid w:val="008557F7"/>
    <w:rsid w:val="008753FC"/>
    <w:rsid w:val="008911CF"/>
    <w:rsid w:val="008A0E45"/>
    <w:rsid w:val="008A1B82"/>
    <w:rsid w:val="008B65EC"/>
    <w:rsid w:val="008B75C2"/>
    <w:rsid w:val="008D051F"/>
    <w:rsid w:val="00906672"/>
    <w:rsid w:val="0091399A"/>
    <w:rsid w:val="00920C29"/>
    <w:rsid w:val="0093427C"/>
    <w:rsid w:val="009563B4"/>
    <w:rsid w:val="00965448"/>
    <w:rsid w:val="0096716A"/>
    <w:rsid w:val="009768C3"/>
    <w:rsid w:val="00993F53"/>
    <w:rsid w:val="009945EC"/>
    <w:rsid w:val="00995924"/>
    <w:rsid w:val="009A3783"/>
    <w:rsid w:val="009A62E2"/>
    <w:rsid w:val="009C3478"/>
    <w:rsid w:val="009D0909"/>
    <w:rsid w:val="00A10ADB"/>
    <w:rsid w:val="00A16A9B"/>
    <w:rsid w:val="00A24BDF"/>
    <w:rsid w:val="00A334A1"/>
    <w:rsid w:val="00A463FB"/>
    <w:rsid w:val="00A468D5"/>
    <w:rsid w:val="00A57FF6"/>
    <w:rsid w:val="00A67235"/>
    <w:rsid w:val="00A82FCC"/>
    <w:rsid w:val="00AB08B3"/>
    <w:rsid w:val="00AB6377"/>
    <w:rsid w:val="00AD5B51"/>
    <w:rsid w:val="00B13C6C"/>
    <w:rsid w:val="00B22048"/>
    <w:rsid w:val="00B22660"/>
    <w:rsid w:val="00B368C1"/>
    <w:rsid w:val="00B403FC"/>
    <w:rsid w:val="00B774BC"/>
    <w:rsid w:val="00B847B1"/>
    <w:rsid w:val="00B85641"/>
    <w:rsid w:val="00B91F93"/>
    <w:rsid w:val="00BA435F"/>
    <w:rsid w:val="00BB5224"/>
    <w:rsid w:val="00BC41B0"/>
    <w:rsid w:val="00BC56DD"/>
    <w:rsid w:val="00BE6D4F"/>
    <w:rsid w:val="00BF0A84"/>
    <w:rsid w:val="00BF648C"/>
    <w:rsid w:val="00C006C6"/>
    <w:rsid w:val="00C03706"/>
    <w:rsid w:val="00C16BAF"/>
    <w:rsid w:val="00C218FF"/>
    <w:rsid w:val="00C22F59"/>
    <w:rsid w:val="00C231A5"/>
    <w:rsid w:val="00C42176"/>
    <w:rsid w:val="00C44980"/>
    <w:rsid w:val="00C50BBF"/>
    <w:rsid w:val="00C553DC"/>
    <w:rsid w:val="00C74FFB"/>
    <w:rsid w:val="00C770D3"/>
    <w:rsid w:val="00C92A90"/>
    <w:rsid w:val="00CC2523"/>
    <w:rsid w:val="00CE6B2B"/>
    <w:rsid w:val="00D0300C"/>
    <w:rsid w:val="00D04FFE"/>
    <w:rsid w:val="00D072EC"/>
    <w:rsid w:val="00D165A5"/>
    <w:rsid w:val="00D40F5C"/>
    <w:rsid w:val="00D44A74"/>
    <w:rsid w:val="00D45429"/>
    <w:rsid w:val="00D57E66"/>
    <w:rsid w:val="00D70C0A"/>
    <w:rsid w:val="00D71DF2"/>
    <w:rsid w:val="00D76449"/>
    <w:rsid w:val="00D8756E"/>
    <w:rsid w:val="00D925F4"/>
    <w:rsid w:val="00DA2CEA"/>
    <w:rsid w:val="00DA6178"/>
    <w:rsid w:val="00DC5C7D"/>
    <w:rsid w:val="00DE72A5"/>
    <w:rsid w:val="00DF1DED"/>
    <w:rsid w:val="00DF4A33"/>
    <w:rsid w:val="00E014A8"/>
    <w:rsid w:val="00E01A50"/>
    <w:rsid w:val="00E237F8"/>
    <w:rsid w:val="00E304A4"/>
    <w:rsid w:val="00E363A9"/>
    <w:rsid w:val="00E47693"/>
    <w:rsid w:val="00E755D2"/>
    <w:rsid w:val="00E77AAC"/>
    <w:rsid w:val="00E858DC"/>
    <w:rsid w:val="00E90686"/>
    <w:rsid w:val="00E97344"/>
    <w:rsid w:val="00EB7788"/>
    <w:rsid w:val="00EB7D56"/>
    <w:rsid w:val="00ED333C"/>
    <w:rsid w:val="00ED35F3"/>
    <w:rsid w:val="00ED3D1F"/>
    <w:rsid w:val="00F32C8D"/>
    <w:rsid w:val="00F35453"/>
    <w:rsid w:val="00F466B0"/>
    <w:rsid w:val="00F50CF3"/>
    <w:rsid w:val="00F5344B"/>
    <w:rsid w:val="00F56F18"/>
    <w:rsid w:val="00F8593F"/>
    <w:rsid w:val="00F85DCD"/>
    <w:rsid w:val="00F9716A"/>
    <w:rsid w:val="00FA01B8"/>
    <w:rsid w:val="00FA2392"/>
    <w:rsid w:val="00FA57F9"/>
    <w:rsid w:val="00FC7675"/>
    <w:rsid w:val="00FD351A"/>
    <w:rsid w:val="00FE20E8"/>
    <w:rsid w:val="00FE5FB7"/>
    <w:rsid w:val="00FE7077"/>
    <w:rsid w:val="00FF15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2DF3E06-7688-42BB-B0B9-E300304A5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rsid w:val="00D40F5C"/>
    <w:pPr>
      <w:keepNext/>
      <w:ind w:right="284"/>
      <w:outlineLvl w:val="1"/>
    </w:pPr>
    <w:rPr>
      <w:rFonts w:ascii="Arial" w:hAnsi="Arial"/>
      <w:u w:val="single"/>
      <w:lang w:eastAsia="zh-CN"/>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character" w:styleId="Hyperlink">
    <w:name w:val="Hyperlink"/>
    <w:rsid w:val="00715209"/>
    <w:rPr>
      <w:color w:val="0000FF"/>
      <w:u w:val="single"/>
    </w:rPr>
  </w:style>
  <w:style w:type="character" w:styleId="CommentReference">
    <w:name w:val="annotation reference"/>
    <w:semiHidden/>
    <w:rsid w:val="00715209"/>
    <w:rPr>
      <w:sz w:val="16"/>
    </w:rPr>
  </w:style>
  <w:style w:type="paragraph" w:customStyle="1" w:styleId="TF">
    <w:name w:val="TF"/>
    <w:basedOn w:val="Normal"/>
    <w:link w:val="TFChar"/>
    <w:rsid w:val="00765F6E"/>
    <w:pPr>
      <w:keepLines/>
      <w:spacing w:after="240"/>
      <w:jc w:val="center"/>
    </w:pPr>
    <w:rPr>
      <w:rFonts w:ascii="Arial" w:hAnsi="Arial"/>
      <w:b/>
      <w:lang w:val="x-none"/>
    </w:rPr>
  </w:style>
  <w:style w:type="character" w:customStyle="1" w:styleId="TFChar">
    <w:name w:val="TF Char"/>
    <w:link w:val="TF"/>
    <w:rsid w:val="00765F6E"/>
    <w:rPr>
      <w:rFonts w:ascii="Arial" w:hAnsi="Arial"/>
      <w:b/>
      <w:lang w:val="x-none"/>
    </w:rPr>
  </w:style>
  <w:style w:type="paragraph" w:styleId="CommentSubject">
    <w:name w:val="annotation subject"/>
    <w:basedOn w:val="CommentText"/>
    <w:next w:val="CommentText"/>
    <w:link w:val="CommentSubjectChar"/>
    <w:rsid w:val="005738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738DC"/>
    <w:rPr>
      <w:rFonts w:ascii="Arial" w:hAnsi="Arial"/>
      <w:lang w:val="en-GB"/>
    </w:rPr>
  </w:style>
  <w:style w:type="character" w:customStyle="1" w:styleId="CommentSubjectChar">
    <w:name w:val="Comment Subject Char"/>
    <w:link w:val="CommentSubject"/>
    <w:rsid w:val="005738DC"/>
    <w:rPr>
      <w:rFonts w:ascii="Arial" w:hAnsi="Arial"/>
      <w:b/>
      <w:bCs/>
      <w:lang w:val="en-GB"/>
    </w:rPr>
  </w:style>
  <w:style w:type="paragraph" w:styleId="BalloonText">
    <w:name w:val="Balloon Text"/>
    <w:basedOn w:val="Normal"/>
    <w:link w:val="BalloonTextChar"/>
    <w:rsid w:val="005738DC"/>
    <w:rPr>
      <w:rFonts w:ascii="Segoe UI" w:hAnsi="Segoe UI" w:cs="Segoe UI"/>
      <w:sz w:val="18"/>
      <w:szCs w:val="18"/>
    </w:rPr>
  </w:style>
  <w:style w:type="character" w:customStyle="1" w:styleId="BalloonTextChar">
    <w:name w:val="Balloon Text Char"/>
    <w:link w:val="BalloonText"/>
    <w:rsid w:val="005738DC"/>
    <w:rPr>
      <w:rFonts w:ascii="Segoe UI" w:hAnsi="Segoe UI" w:cs="Segoe UI"/>
      <w:sz w:val="18"/>
      <w:szCs w:val="18"/>
      <w:lang w:val="en-GB"/>
    </w:rPr>
  </w:style>
  <w:style w:type="character" w:customStyle="1" w:styleId="B1Char">
    <w:name w:val="B1 Char"/>
    <w:link w:val="B1"/>
    <w:rsid w:val="00A334A1"/>
    <w:rPr>
      <w:rFonts w:ascii="Arial" w:hAnsi="Arial"/>
      <w:lang w:val="en-GB"/>
    </w:rPr>
  </w:style>
  <w:style w:type="paragraph" w:styleId="ListParagraph">
    <w:name w:val="List Paragraph"/>
    <w:basedOn w:val="Normal"/>
    <w:uiPriority w:val="34"/>
    <w:qFormat/>
    <w:rsid w:val="00FD351A"/>
    <w:pPr>
      <w:ind w:left="720"/>
      <w:contextualSpacing/>
    </w:pPr>
  </w:style>
  <w:style w:type="table" w:styleId="TableGrid">
    <w:name w:val="Table Grid"/>
    <w:basedOn w:val="TableNormal"/>
    <w:rsid w:val="00532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B91F93"/>
  </w:style>
  <w:style w:type="paragraph" w:customStyle="1" w:styleId="ZT">
    <w:name w:val="ZT"/>
    <w:rsid w:val="00B91F93"/>
    <w:pPr>
      <w:framePr w:wrap="notBeside" w:hAnchor="margin" w:yAlign="center"/>
      <w:widowControl w:val="0"/>
      <w:spacing w:line="240" w:lineRule="atLeast"/>
      <w:jc w:val="right"/>
    </w:pPr>
    <w:rPr>
      <w:rFonts w:ascii="Arial" w:eastAsia="Batang"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2240</Words>
  <Characters>10945</Characters>
  <Application>Microsoft Office Word</Application>
  <DocSecurity>0</DocSecurity>
  <Lines>297</Lines>
  <Paragraphs>86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CTPClassification=CTP_PUBLIC:VisualMarkings=</cp:keywords>
  <dc:description/>
  <cp:lastModifiedBy>Editor3</cp:lastModifiedBy>
  <cp:revision>2</cp:revision>
  <cp:lastPrinted>2001-04-23T19:30:00Z</cp:lastPrinted>
  <dcterms:created xsi:type="dcterms:W3CDTF">2016-11-10T18:35:00Z</dcterms:created>
  <dcterms:modified xsi:type="dcterms:W3CDTF">2016-11-10T18:35:00Z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1f1cabe5-bfeb-4bcb-83ef-ff3cd0430fa0</vt:lpwstr>
  </property>
  <property fmtid="{D5CDD505-2E9C-101B-9397-08002B2CF9AE}" pid="3" name="CTP_TimeStamp">
    <vt:lpwstr>2016-11-10 18:35:03Z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