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3C526C">
        <w:rPr>
          <w:rFonts w:ascii="Arial" w:hAnsi="Arial" w:cs="Arial"/>
          <w:b/>
          <w:bCs/>
          <w:sz w:val="24"/>
          <w:szCs w:val="24"/>
        </w:rPr>
        <w:t>5294</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EB3B07" w:rsidP="00651712">
            <w:pPr>
              <w:pStyle w:val="CRCoverPage"/>
              <w:spacing w:after="0"/>
              <w:rPr>
                <w:b/>
                <w:noProof/>
                <w:sz w:val="28"/>
              </w:rPr>
            </w:pPr>
            <w:r>
              <w:rPr>
                <w:b/>
                <w:noProof/>
                <w:sz w:val="28"/>
              </w:rPr>
              <w:t>29.219</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880366" w:rsidP="00651712">
            <w:pPr>
              <w:pStyle w:val="CRCoverPage"/>
              <w:spacing w:after="0"/>
              <w:rPr>
                <w:noProof/>
              </w:rPr>
            </w:pPr>
            <w:r>
              <w:rPr>
                <w:b/>
                <w:noProof/>
                <w:sz w:val="28"/>
              </w:rPr>
              <w:t>0041</w:t>
            </w:r>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3C526C" w:rsidP="00651712">
            <w:pPr>
              <w:pStyle w:val="CRCoverPage"/>
              <w:spacing w:after="0"/>
              <w:jc w:val="center"/>
              <w:rPr>
                <w:b/>
                <w:noProof/>
              </w:rPr>
            </w:pPr>
            <w:r>
              <w:rPr>
                <w:b/>
                <w:noProof/>
                <w:sz w:val="32"/>
              </w:rPr>
              <w:t>1</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E652A0" w:rsidP="00651712">
            <w:pPr>
              <w:pStyle w:val="CRCoverPage"/>
              <w:spacing w:after="0"/>
              <w:jc w:val="center"/>
              <w:rPr>
                <w:noProof/>
              </w:rPr>
            </w:pPr>
            <w:r>
              <w:rPr>
                <w:b/>
                <w:noProof/>
                <w:sz w:val="32"/>
              </w:rPr>
              <w:t>13.1</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5"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6"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53336E" w:rsidP="00651712">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C46336">
              <w:rPr>
                <w:noProof/>
              </w:rPr>
              <w:t>, Huawei</w:t>
            </w:r>
            <w:r w:rsidR="003C526C">
              <w:rPr>
                <w:noProof/>
              </w:rPr>
              <w:t>, ZTE</w:t>
            </w:r>
            <w:bookmarkStart w:id="1" w:name="_GoBack"/>
            <w:bookmarkEnd w:id="1"/>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D971B1"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BD7E77"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7"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8010E" w:rsidP="00651712">
            <w:pPr>
              <w:pStyle w:val="CRCoverPage"/>
              <w:spacing w:after="0"/>
              <w:ind w:left="100"/>
              <w:rPr>
                <w:noProof/>
              </w:rPr>
            </w:pPr>
            <w:r>
              <w:rPr>
                <w:noProof/>
              </w:rPr>
              <w:t>2; 5.4</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EB3B07" w:rsidRPr="00EB3B07" w:rsidRDefault="00EB3B07" w:rsidP="00EB3B07">
      <w:pPr>
        <w:keepNext/>
        <w:keepLines/>
        <w:pBdr>
          <w:top w:val="single" w:sz="12" w:space="3" w:color="auto"/>
        </w:pBdr>
        <w:spacing w:before="240"/>
        <w:ind w:left="1134" w:hanging="1134"/>
        <w:outlineLvl w:val="0"/>
        <w:rPr>
          <w:rFonts w:ascii="Arial" w:hAnsi="Arial"/>
          <w:sz w:val="36"/>
        </w:rPr>
      </w:pPr>
      <w:bookmarkStart w:id="3" w:name="_Toc423418552"/>
      <w:r w:rsidRPr="00EB3B07">
        <w:rPr>
          <w:rFonts w:ascii="Arial" w:hAnsi="Arial"/>
          <w:sz w:val="36"/>
        </w:rPr>
        <w:t>2</w:t>
      </w:r>
      <w:r w:rsidRPr="00EB3B07">
        <w:rPr>
          <w:rFonts w:ascii="Arial" w:hAnsi="Arial"/>
          <w:sz w:val="36"/>
        </w:rPr>
        <w:tab/>
        <w:t>References</w:t>
      </w:r>
      <w:bookmarkEnd w:id="3"/>
    </w:p>
    <w:p w:rsidR="00EB3B07" w:rsidRDefault="00EB3B07" w:rsidP="00EB3B07">
      <w:r>
        <w:t>The following documents contain provisions which, through reference in this text, constitute provisions of the present document.</w:t>
      </w:r>
    </w:p>
    <w:p w:rsidR="00EB3B07" w:rsidRDefault="00EB3B07" w:rsidP="00EB3B07">
      <w:pPr>
        <w:pStyle w:val="B1"/>
      </w:pPr>
      <w:r>
        <w:t>-</w:t>
      </w:r>
      <w:r>
        <w:tab/>
        <w:t>References are either specific (identified by date of publication, edition number, version number, etc.) or non</w:t>
      </w:r>
      <w:r>
        <w:noBreakHyphen/>
        <w:t>specific.</w:t>
      </w:r>
    </w:p>
    <w:p w:rsidR="00EB3B07" w:rsidRDefault="00EB3B07" w:rsidP="00EB3B07">
      <w:pPr>
        <w:pStyle w:val="B1"/>
      </w:pPr>
      <w:r>
        <w:t>-</w:t>
      </w:r>
      <w:r>
        <w:tab/>
        <w:t>For a specific reference, subsequent revisions do not apply.</w:t>
      </w:r>
    </w:p>
    <w:p w:rsidR="00EB3B07" w:rsidRDefault="00EB3B07" w:rsidP="00EB3B0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B3B07" w:rsidRDefault="00EB3B07" w:rsidP="00EB3B07">
      <w:pPr>
        <w:pStyle w:val="EX"/>
      </w:pPr>
      <w:r>
        <w:t>[1]</w:t>
      </w:r>
      <w:r>
        <w:tab/>
        <w:t>3GPP TR 21.905: "Vocabulary for 3GPP Specifications".</w:t>
      </w:r>
    </w:p>
    <w:p w:rsidR="00EB3B07" w:rsidRDefault="00EB3B07" w:rsidP="00EB3B07">
      <w:pPr>
        <w:pStyle w:val="EX"/>
        <w:rPr>
          <w:lang w:eastAsia="en-GB"/>
        </w:rPr>
      </w:pPr>
      <w:r>
        <w:rPr>
          <w:lang w:eastAsia="en-GB"/>
        </w:rPr>
        <w:t>[</w:t>
      </w:r>
      <w:r>
        <w:rPr>
          <w:lang w:eastAsia="zh-CN"/>
        </w:rPr>
        <w:t>2</w:t>
      </w:r>
      <w:r>
        <w:rPr>
          <w:lang w:eastAsia="en-GB"/>
        </w:rPr>
        <w:t>]</w:t>
      </w:r>
      <w:r>
        <w:rPr>
          <w:lang w:eastAsia="en-GB"/>
        </w:rPr>
        <w:tab/>
        <w:t xml:space="preserve">3GPP TS 23.203: "Policy Control and </w:t>
      </w:r>
      <w:proofErr w:type="gramStart"/>
      <w:r>
        <w:rPr>
          <w:lang w:eastAsia="en-GB"/>
        </w:rPr>
        <w:t>Charging</w:t>
      </w:r>
      <w:proofErr w:type="gramEnd"/>
      <w:r>
        <w:rPr>
          <w:lang w:eastAsia="en-GB"/>
        </w:rPr>
        <w:t xml:space="preserve"> architecture".</w:t>
      </w:r>
    </w:p>
    <w:p w:rsidR="00EB3B07" w:rsidRDefault="00EB3B07" w:rsidP="00EB3B07">
      <w:pPr>
        <w:pStyle w:val="EX"/>
        <w:rPr>
          <w:lang w:val="it-IT"/>
        </w:rPr>
      </w:pPr>
      <w:r>
        <w:rPr>
          <w:lang w:val="it-IT"/>
        </w:rPr>
        <w:t>[3]</w:t>
      </w:r>
      <w:r>
        <w:rPr>
          <w:lang w:val="it-IT"/>
        </w:rPr>
        <w:tab/>
        <w:t>IETF RFC 3588: "Diameter Base Protocol".</w:t>
      </w:r>
    </w:p>
    <w:p w:rsidR="00EB3B07" w:rsidRDefault="00EB3B07" w:rsidP="00EB3B07">
      <w:pPr>
        <w:pStyle w:val="EX"/>
      </w:pPr>
      <w:r>
        <w:t>[4]</w:t>
      </w:r>
      <w:r>
        <w:tab/>
        <w:t>IETF RFC 4005: "Diameter Network Access Server Application"</w:t>
      </w:r>
    </w:p>
    <w:p w:rsidR="00EB3B07" w:rsidRDefault="00EB3B07" w:rsidP="00EB3B07">
      <w:pPr>
        <w:pStyle w:val="EX"/>
      </w:pPr>
      <w:r>
        <w:rPr>
          <w:lang w:eastAsia="en-GB"/>
        </w:rPr>
        <w:t>[5]</w:t>
      </w:r>
      <w:r>
        <w:tab/>
        <w:t>IETF RFC 4006: "Diameter Credit Control Application".</w:t>
      </w:r>
    </w:p>
    <w:p w:rsidR="00EB3B07" w:rsidRDefault="00EB3B07" w:rsidP="00EB3B07">
      <w:pPr>
        <w:pStyle w:val="EX"/>
      </w:pPr>
      <w:r>
        <w:t>[6]</w:t>
      </w:r>
      <w:r>
        <w:tab/>
        <w:t>IETF RFC 5719: "Updated IANA Considerations for Diameter Command Code Allocations”</w:t>
      </w:r>
    </w:p>
    <w:p w:rsidR="00EB3B07" w:rsidRDefault="00EB3B07" w:rsidP="00EB3B07">
      <w:pPr>
        <w:pStyle w:val="EX"/>
        <w:rPr>
          <w:lang w:eastAsia="zh-CN"/>
        </w:rPr>
      </w:pPr>
      <w:r>
        <w:rPr>
          <w:lang w:val="en-US" w:eastAsia="zh-CN"/>
        </w:rPr>
        <w:t>[7]</w:t>
      </w:r>
      <w:r>
        <w:tab/>
        <w:t>IETF RFC 2234: "Augmented BNF for syntax specifications"</w:t>
      </w:r>
      <w:r>
        <w:rPr>
          <w:lang w:eastAsia="zh-CN"/>
        </w:rPr>
        <w:t>.</w:t>
      </w:r>
    </w:p>
    <w:p w:rsidR="00EB3B07" w:rsidRDefault="00EB3B07" w:rsidP="00EB3B07">
      <w:pPr>
        <w:pStyle w:val="EX"/>
        <w:rPr>
          <w:lang w:eastAsia="zh-CN"/>
        </w:rPr>
      </w:pPr>
      <w:r>
        <w:rPr>
          <w:lang w:eastAsia="en-GB"/>
        </w:rPr>
        <w:t>[</w:t>
      </w:r>
      <w:r>
        <w:rPr>
          <w:lang w:eastAsia="zh-CN"/>
        </w:rPr>
        <w:t>8</w:t>
      </w:r>
      <w:r>
        <w:rPr>
          <w:lang w:eastAsia="en-GB"/>
        </w:rPr>
        <w:t>]</w:t>
      </w:r>
      <w:r>
        <w:rPr>
          <w:lang w:eastAsia="en-GB"/>
        </w:rPr>
        <w:tab/>
        <w:t>3GPP TS 29.213: "</w:t>
      </w:r>
      <w:r>
        <w:t>Policy and charging control signalling flows and Quality of Service (</w:t>
      </w:r>
      <w:proofErr w:type="spellStart"/>
      <w:r>
        <w:t>QoS</w:t>
      </w:r>
      <w:proofErr w:type="spellEnd"/>
      <w:r>
        <w:t>) parameter mapping</w:t>
      </w:r>
      <w:r>
        <w:rPr>
          <w:lang w:eastAsia="en-GB"/>
        </w:rPr>
        <w:t>".</w:t>
      </w:r>
    </w:p>
    <w:p w:rsidR="00EB3B07" w:rsidRDefault="00EB3B07" w:rsidP="00EB3B07">
      <w:pPr>
        <w:pStyle w:val="EX"/>
        <w:rPr>
          <w:lang w:eastAsia="zh-CN"/>
        </w:rPr>
      </w:pPr>
      <w:r>
        <w:rPr>
          <w:lang w:eastAsia="zh-CN"/>
        </w:rPr>
        <w:t>[9]</w:t>
      </w:r>
      <w:r>
        <w:rPr>
          <w:lang w:eastAsia="zh-CN"/>
        </w:rPr>
        <w:tab/>
        <w:t>3GPP TS 23.335: "User Data Convergence (UDC); Technical realization and information flows; Stage 2".</w:t>
      </w:r>
    </w:p>
    <w:p w:rsidR="00EB3B07" w:rsidRDefault="00EB3B07" w:rsidP="00EB3B07">
      <w:pPr>
        <w:pStyle w:val="EX"/>
        <w:rPr>
          <w:lang w:eastAsia="zh-CN"/>
        </w:rPr>
      </w:pPr>
      <w:r>
        <w:rPr>
          <w:lang w:eastAsia="zh-CN"/>
        </w:rPr>
        <w:t>[10]</w:t>
      </w:r>
      <w:r>
        <w:rPr>
          <w:lang w:eastAsia="zh-CN"/>
        </w:rPr>
        <w:tab/>
        <w:t xml:space="preserve">3GPP TS 29.335: "User Data Convergence (UDC); User Data Repository Access Protocol over the </w:t>
      </w:r>
      <w:proofErr w:type="spellStart"/>
      <w:r>
        <w:rPr>
          <w:lang w:eastAsia="zh-CN"/>
        </w:rPr>
        <w:t>Ud</w:t>
      </w:r>
      <w:proofErr w:type="spellEnd"/>
      <w:r>
        <w:rPr>
          <w:lang w:eastAsia="zh-CN"/>
        </w:rPr>
        <w:t xml:space="preserve"> interface; Stage 3".</w:t>
      </w:r>
    </w:p>
    <w:p w:rsidR="00EB3B07" w:rsidRDefault="00EB3B07" w:rsidP="00EB3B07">
      <w:pPr>
        <w:pStyle w:val="EX"/>
      </w:pPr>
      <w:r>
        <w:t>[11]</w:t>
      </w:r>
      <w:r>
        <w:tab/>
      </w:r>
      <w:r>
        <w:rPr>
          <w:lang w:eastAsia="zh-CN"/>
        </w:rPr>
        <w:t>Void</w:t>
      </w:r>
      <w:r>
        <w:t>.</w:t>
      </w:r>
    </w:p>
    <w:p w:rsidR="00EB3B07" w:rsidRDefault="00EB3B07" w:rsidP="00EB3B07">
      <w:pPr>
        <w:pStyle w:val="EX"/>
        <w:rPr>
          <w:lang w:eastAsia="zh-CN"/>
        </w:rPr>
      </w:pPr>
      <w:r>
        <w:t>[</w:t>
      </w:r>
      <w:r>
        <w:rPr>
          <w:lang w:eastAsia="zh-CN"/>
        </w:rPr>
        <w:t>12</w:t>
      </w:r>
      <w:r>
        <w:t>]</w:t>
      </w:r>
      <w:r>
        <w:tab/>
        <w:t>Void.</w:t>
      </w:r>
    </w:p>
    <w:p w:rsidR="00EB3B07" w:rsidRDefault="00EB3B07" w:rsidP="00EB3B07">
      <w:pPr>
        <w:pStyle w:val="EX"/>
      </w:pPr>
      <w:r>
        <w:t>[13]</w:t>
      </w:r>
      <w:r>
        <w:tab/>
        <w:t>IETF RFC 791: "Transmission Control Protocol".</w:t>
      </w:r>
    </w:p>
    <w:p w:rsidR="00EB3B07" w:rsidRDefault="00EB3B07" w:rsidP="00EB3B07">
      <w:pPr>
        <w:pStyle w:val="EX"/>
      </w:pPr>
      <w:r>
        <w:t>[14]</w:t>
      </w:r>
      <w:r>
        <w:tab/>
        <w:t>IETF RFC 4960: "Stream Control Transmission Protocol".</w:t>
      </w:r>
    </w:p>
    <w:p w:rsidR="00EB3B07" w:rsidRDefault="00EB3B07" w:rsidP="00EB3B07">
      <w:pPr>
        <w:pStyle w:val="EX"/>
        <w:rPr>
          <w:lang w:eastAsia="zh-CN"/>
        </w:rPr>
      </w:pPr>
      <w:r>
        <w:t>[15]</w:t>
      </w:r>
      <w:r>
        <w:tab/>
        <w:t>3GPP TS 29.229: "</w:t>
      </w:r>
      <w:proofErr w:type="spellStart"/>
      <w:r>
        <w:t>Cx</w:t>
      </w:r>
      <w:proofErr w:type="spellEnd"/>
      <w:r>
        <w:t xml:space="preserve"> and </w:t>
      </w:r>
      <w:proofErr w:type="spellStart"/>
      <w:r>
        <w:t>Dx</w:t>
      </w:r>
      <w:proofErr w:type="spellEnd"/>
      <w:r>
        <w:t xml:space="preserve"> interfaces based on the Diameter protocol".</w:t>
      </w:r>
    </w:p>
    <w:p w:rsidR="00EB3B07" w:rsidRDefault="00EB3B07" w:rsidP="00EB3B07">
      <w:pPr>
        <w:pStyle w:val="EX"/>
        <w:rPr>
          <w:lang w:eastAsia="zh-CN"/>
        </w:rPr>
      </w:pPr>
      <w:r>
        <w:rPr>
          <w:rFonts w:eastAsia="Batang"/>
          <w:lang w:eastAsia="zh-CN"/>
        </w:rPr>
        <w:t>[</w:t>
      </w:r>
      <w:r>
        <w:rPr>
          <w:lang w:eastAsia="zh-CN"/>
        </w:rPr>
        <w:t>16</w:t>
      </w:r>
      <w:r>
        <w:rPr>
          <w:rFonts w:eastAsia="Batang"/>
          <w:lang w:eastAsia="zh-CN"/>
        </w:rPr>
        <w:t>]</w:t>
      </w:r>
      <w:r>
        <w:rPr>
          <w:rFonts w:eastAsia="Batang"/>
          <w:lang w:eastAsia="zh-CN"/>
        </w:rPr>
        <w:tab/>
      </w:r>
      <w:r>
        <w:rPr>
          <w:lang w:eastAsia="zh-CN"/>
        </w:rPr>
        <w:t>3GPP TS 32.296: "Telecommunication management; charging management; Online Charging System (OCS) applications and interfaces".</w:t>
      </w:r>
    </w:p>
    <w:p w:rsidR="00EB3B07" w:rsidRDefault="00EB3B07" w:rsidP="00EB3B07">
      <w:pPr>
        <w:pStyle w:val="EX"/>
        <w:rPr>
          <w:lang w:eastAsia="zh-CN"/>
        </w:rPr>
      </w:pPr>
      <w:r>
        <w:rPr>
          <w:lang w:eastAsia="zh-CN"/>
        </w:rPr>
        <w:t>[17]</w:t>
      </w:r>
      <w:r>
        <w:rPr>
          <w:lang w:eastAsia="zh-CN"/>
        </w:rPr>
        <w:tab/>
      </w:r>
      <w:r>
        <w:t>ETSI</w:t>
      </w:r>
      <w:r>
        <w:rPr>
          <w:lang w:val="en-US"/>
        </w:rPr>
        <w:t> </w:t>
      </w:r>
      <w:r>
        <w:t>TS</w:t>
      </w:r>
      <w:r>
        <w:rPr>
          <w:lang w:val="en-US"/>
        </w:rPr>
        <w:t> </w:t>
      </w:r>
      <w:r>
        <w:t>283 034 v2.2.0: "Telecommunications and Internet converged Services and Protocols for Advanced Networking (TISPAN); Network Attachment Sub-System (NASS); e4 interface based on the DIAMETER protocol".</w:t>
      </w:r>
    </w:p>
    <w:p w:rsidR="00EB3B07" w:rsidRDefault="00EB3B07" w:rsidP="00EB3B07">
      <w:pPr>
        <w:pStyle w:val="EX"/>
        <w:rPr>
          <w:lang w:eastAsia="zh-CN"/>
        </w:rPr>
      </w:pPr>
      <w:r>
        <w:rPr>
          <w:lang w:eastAsia="zh-CN"/>
        </w:rPr>
        <w:t>[18]</w:t>
      </w:r>
      <w:r>
        <w:rPr>
          <w:lang w:eastAsia="zh-CN"/>
        </w:rPr>
        <w:tab/>
      </w:r>
      <w:r>
        <w:t>IETF RFC 3046: "DHCP Relay Agent Information Option".</w:t>
      </w:r>
    </w:p>
    <w:p w:rsidR="00EB3B07" w:rsidRDefault="00EB3B07" w:rsidP="00EB3B07">
      <w:pPr>
        <w:pStyle w:val="EX"/>
        <w:rPr>
          <w:lang w:eastAsia="zh-CN"/>
        </w:rPr>
      </w:pPr>
      <w:r>
        <w:rPr>
          <w:lang w:eastAsia="zh-CN"/>
        </w:rPr>
        <w:t>[19]</w:t>
      </w:r>
      <w:r>
        <w:rPr>
          <w:lang w:eastAsia="zh-CN"/>
        </w:rPr>
        <w:tab/>
      </w:r>
      <w:r>
        <w:t>3GPP TS 29.</w:t>
      </w:r>
      <w:r>
        <w:rPr>
          <w:lang w:eastAsia="zh-CN"/>
        </w:rPr>
        <w:t>212</w:t>
      </w:r>
      <w:r>
        <w:t>: "</w:t>
      </w:r>
      <w:r>
        <w:rPr>
          <w:lang w:eastAsia="zh-CN"/>
        </w:rPr>
        <w:t>Policy and Charging Control (PCC); Reference points</w:t>
      </w:r>
      <w:r>
        <w:t>".</w:t>
      </w:r>
    </w:p>
    <w:p w:rsidR="00EB3B07" w:rsidRDefault="00EB3B07" w:rsidP="00EB3B07">
      <w:pPr>
        <w:pStyle w:val="EX"/>
        <w:rPr>
          <w:lang w:eastAsia="zh-CN"/>
        </w:rPr>
      </w:pPr>
      <w:r>
        <w:rPr>
          <w:lang w:eastAsia="zh-CN"/>
        </w:rPr>
        <w:t>[20]</w:t>
      </w:r>
      <w:r>
        <w:rPr>
          <w:lang w:eastAsia="zh-CN"/>
        </w:rPr>
        <w:tab/>
        <w:t>IETF </w:t>
      </w:r>
      <w:del w:id="4" w:author="Ericsson User" w:date="2015-10-30T11:00:00Z">
        <w:r w:rsidDel="00EB3B07">
          <w:rPr>
            <w:lang w:eastAsia="zh-CN"/>
          </w:rPr>
          <w:delText>draft-ietf-dime-ovli-02</w:delText>
        </w:r>
      </w:del>
      <w:ins w:id="5" w:author="Ericsson User" w:date="2015-10-30T11:00:00Z">
        <w:r>
          <w:rPr>
            <w:lang w:eastAsia="zh-CN"/>
          </w:rPr>
          <w:t>RFC 7683</w:t>
        </w:r>
      </w:ins>
      <w:r>
        <w:rPr>
          <w:lang w:eastAsia="zh-CN"/>
        </w:rPr>
        <w:t>: "Diameter Overload Indication Conveyance".</w:t>
      </w:r>
    </w:p>
    <w:p w:rsidR="00EB3B07" w:rsidRPr="00EB3B07" w:rsidDel="00EB3B07" w:rsidRDefault="00EB3B07" w:rsidP="00EB3B07">
      <w:pPr>
        <w:pStyle w:val="EditorsNote"/>
        <w:rPr>
          <w:del w:id="6" w:author="Ericsson User" w:date="2015-10-30T10:59:00Z"/>
          <w:rFonts w:ascii="Times New Roman" w:hAnsi="Times New Roman" w:cs="Times New Roman"/>
          <w:sz w:val="20"/>
          <w:szCs w:val="20"/>
        </w:rPr>
      </w:pPr>
      <w:del w:id="7" w:author="Ericsson User" w:date="2015-10-30T10:59:00Z">
        <w:r w:rsidRPr="00EB3B07" w:rsidDel="00EB3B07">
          <w:rPr>
            <w:rFonts w:ascii="Times New Roman" w:hAnsi="Times New Roman" w:cs="Times New Roman"/>
            <w:sz w:val="20"/>
            <w:szCs w:val="20"/>
          </w:rPr>
          <w:lastRenderedPageBreak/>
          <w:delText>Editor's note:  The above document cannot be formally referenced until it is published as an RFC.</w:delText>
        </w:r>
      </w:del>
    </w:p>
    <w:p w:rsidR="00E652A0" w:rsidRDefault="00E652A0" w:rsidP="00E652A0"/>
    <w:p w:rsidR="00E652A0" w:rsidRPr="003063C3" w:rsidRDefault="00E652A0" w:rsidP="00E65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EB3B07" w:rsidRPr="00EB3B07" w:rsidRDefault="00EB3B07" w:rsidP="00EB3B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423418593"/>
      <w:r w:rsidRPr="00EB3B07">
        <w:rPr>
          <w:rFonts w:ascii="Arial" w:eastAsia="Times New Roman" w:hAnsi="Arial"/>
          <w:sz w:val="32"/>
          <w:lang w:eastAsia="ja-JP"/>
        </w:rPr>
        <w:t>5.4</w:t>
      </w:r>
      <w:r w:rsidRPr="00EB3B07">
        <w:rPr>
          <w:rFonts w:ascii="Arial" w:eastAsia="Times New Roman" w:hAnsi="Arial"/>
          <w:sz w:val="32"/>
          <w:lang w:eastAsia="ja-JP"/>
        </w:rPr>
        <w:tab/>
      </w:r>
      <w:proofErr w:type="spellStart"/>
      <w:r w:rsidRPr="00EB3B07">
        <w:rPr>
          <w:rFonts w:ascii="Arial" w:eastAsia="Times New Roman" w:hAnsi="Arial"/>
          <w:sz w:val="32"/>
          <w:lang w:eastAsia="ja-JP"/>
        </w:rPr>
        <w:t>Sy</w:t>
      </w:r>
      <w:proofErr w:type="spellEnd"/>
      <w:r w:rsidRPr="00EB3B07">
        <w:rPr>
          <w:rFonts w:ascii="Arial" w:eastAsia="Times New Roman" w:hAnsi="Arial"/>
          <w:sz w:val="32"/>
          <w:lang w:eastAsia="ja-JP"/>
        </w:rPr>
        <w:t xml:space="preserve"> re-used AVPs</w:t>
      </w:r>
      <w:bookmarkEnd w:id="8"/>
    </w:p>
    <w:p w:rsidR="00EB3B07" w:rsidRPr="00EB3B07" w:rsidRDefault="00EB3B07" w:rsidP="00EB3B07">
      <w:r w:rsidRPr="00EB3B07">
        <w:t xml:space="preserve">Table 5.4 lists the Diameter AVPs re-used by the </w:t>
      </w:r>
      <w:proofErr w:type="spellStart"/>
      <w:r w:rsidRPr="00EB3B07">
        <w:t>Sy</w:t>
      </w:r>
      <w:proofErr w:type="spellEnd"/>
      <w:r w:rsidRPr="00EB3B07">
        <w:t xml:space="preserve"> reference point from existing Diameter Applications, reference to their respective specifications and a short description of their usage within the </w:t>
      </w:r>
      <w:proofErr w:type="spellStart"/>
      <w:r w:rsidRPr="00EB3B07">
        <w:t>Sy</w:t>
      </w:r>
      <w:proofErr w:type="spellEnd"/>
      <w:r w:rsidRPr="00EB3B07">
        <w:t xml:space="preserve"> reference point. Other AVPs from existing Diameter Applications, except for the AVPs from Diameter base protocol, do not need to be supported. The AVPs from Diameter base protocol are not included in table 5.4, but they are re-used for the </w:t>
      </w:r>
      <w:proofErr w:type="spellStart"/>
      <w:r w:rsidRPr="00EB3B07">
        <w:t>Sy</w:t>
      </w:r>
      <w:proofErr w:type="spellEnd"/>
      <w:r w:rsidRPr="00EB3B07">
        <w:t xml:space="preserve"> reference point. Unless otherwise stated, re-used AVPs shall maintain their 'M', 'P' and 'V' flag settings. Where 3GPP Radius VSAs are re-used, unless otherwise stated, they shall be translated to Diameter AVPs as described in RFC 4005 [4] with the exception that the 'M' flag shall be set and the 'P' flag may be set.</w:t>
      </w:r>
    </w:p>
    <w:p w:rsidR="00EB3B07" w:rsidRPr="00EB3B07" w:rsidRDefault="00EB3B07" w:rsidP="00EB3B07">
      <w:pPr>
        <w:keepNext/>
        <w:keepLines/>
        <w:spacing w:before="60"/>
        <w:jc w:val="center"/>
        <w:rPr>
          <w:rFonts w:ascii="Arial" w:eastAsiaTheme="minorHAnsi" w:hAnsi="Arial" w:cs="Arial"/>
          <w:b/>
          <w:sz w:val="22"/>
          <w:szCs w:val="22"/>
        </w:rPr>
      </w:pPr>
      <w:r w:rsidRPr="00EB3B07">
        <w:rPr>
          <w:rFonts w:ascii="Arial" w:eastAsiaTheme="minorHAnsi" w:hAnsi="Arial" w:cs="Arial"/>
          <w:b/>
          <w:sz w:val="22"/>
          <w:szCs w:val="22"/>
        </w:rPr>
        <w:t xml:space="preserve">Table 5.4: </w:t>
      </w:r>
      <w:proofErr w:type="spellStart"/>
      <w:r w:rsidRPr="00EB3B07">
        <w:rPr>
          <w:rFonts w:ascii="Arial" w:eastAsiaTheme="minorHAnsi" w:hAnsi="Arial" w:cs="Arial"/>
          <w:b/>
          <w:sz w:val="22"/>
          <w:szCs w:val="22"/>
        </w:rPr>
        <w:t>Sy</w:t>
      </w:r>
      <w:proofErr w:type="spellEnd"/>
      <w:r w:rsidRPr="00EB3B07">
        <w:rPr>
          <w:rFonts w:ascii="Arial" w:eastAsiaTheme="minorHAnsi" w:hAnsi="Arial" w:cs="Arial"/>
          <w:b/>
          <w:sz w:val="22"/>
          <w:szCs w:val="22"/>
        </w:rPr>
        <w:t xml:space="preserve">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31"/>
        <w:gridCol w:w="1878"/>
        <w:gridCol w:w="35"/>
        <w:gridCol w:w="1883"/>
        <w:gridCol w:w="31"/>
        <w:gridCol w:w="4150"/>
        <w:gridCol w:w="32"/>
      </w:tblGrid>
      <w:tr w:rsidR="00EB3B07" w:rsidRPr="00EB3B07" w:rsidTr="00EB3B07">
        <w:trPr>
          <w:gridAfter w:val="1"/>
          <w:wAfter w:w="32" w:type="dxa"/>
          <w:tblHeader/>
          <w:jc w:val="center"/>
        </w:trPr>
        <w:tc>
          <w:tcPr>
            <w:tcW w:w="1909" w:type="dxa"/>
            <w:gridSpan w:val="2"/>
            <w:tcBorders>
              <w:top w:val="single" w:sz="12" w:space="0" w:color="auto"/>
              <w:left w:val="single" w:sz="12" w:space="0" w:color="auto"/>
              <w:bottom w:val="single" w:sz="12" w:space="0" w:color="auto"/>
              <w:right w:val="single" w:sz="4" w:space="0" w:color="auto"/>
            </w:tcBorders>
            <w:hideMark/>
          </w:tcPr>
          <w:p w:rsidR="00EB3B07" w:rsidRPr="00EB3B07" w:rsidRDefault="00EB3B07" w:rsidP="00EB3B07">
            <w:pPr>
              <w:keepNext/>
              <w:keepLines/>
              <w:spacing w:after="0"/>
              <w:jc w:val="center"/>
              <w:rPr>
                <w:rFonts w:ascii="Arial" w:eastAsiaTheme="minorHAnsi" w:hAnsi="Arial" w:cs="Arial"/>
                <w:b/>
                <w:sz w:val="18"/>
                <w:szCs w:val="22"/>
              </w:rPr>
            </w:pPr>
            <w:r w:rsidRPr="00EB3B07">
              <w:rPr>
                <w:rFonts w:ascii="Arial" w:eastAsiaTheme="minorHAnsi" w:hAnsi="Arial" w:cs="Arial"/>
                <w:b/>
                <w:sz w:val="18"/>
                <w:szCs w:val="22"/>
              </w:rPr>
              <w:t>Attribute Name</w:t>
            </w:r>
          </w:p>
        </w:tc>
        <w:tc>
          <w:tcPr>
            <w:tcW w:w="1918" w:type="dxa"/>
            <w:gridSpan w:val="2"/>
            <w:tcBorders>
              <w:top w:val="single" w:sz="12" w:space="0" w:color="auto"/>
              <w:left w:val="single" w:sz="4" w:space="0" w:color="auto"/>
              <w:bottom w:val="single" w:sz="12" w:space="0" w:color="auto"/>
              <w:right w:val="single" w:sz="4" w:space="0" w:color="auto"/>
            </w:tcBorders>
            <w:hideMark/>
          </w:tcPr>
          <w:p w:rsidR="00EB3B07" w:rsidRPr="00EB3B07" w:rsidRDefault="00EB3B07" w:rsidP="00EB3B07">
            <w:pPr>
              <w:keepNext/>
              <w:keepLines/>
              <w:spacing w:after="0"/>
              <w:jc w:val="center"/>
              <w:rPr>
                <w:rFonts w:ascii="Arial" w:eastAsiaTheme="minorHAnsi" w:hAnsi="Arial" w:cs="Arial"/>
                <w:b/>
                <w:sz w:val="18"/>
                <w:szCs w:val="22"/>
              </w:rPr>
            </w:pPr>
            <w:r w:rsidRPr="00EB3B07">
              <w:rPr>
                <w:rFonts w:ascii="Arial" w:eastAsiaTheme="minorHAnsi" w:hAnsi="Arial" w:cs="Arial"/>
                <w:b/>
                <w:sz w:val="18"/>
                <w:szCs w:val="22"/>
              </w:rPr>
              <w:t>Reference</w:t>
            </w:r>
          </w:p>
        </w:tc>
        <w:tc>
          <w:tcPr>
            <w:tcW w:w="4181" w:type="dxa"/>
            <w:gridSpan w:val="2"/>
            <w:tcBorders>
              <w:top w:val="single" w:sz="12" w:space="0" w:color="auto"/>
              <w:left w:val="single" w:sz="4" w:space="0" w:color="auto"/>
              <w:bottom w:val="single" w:sz="12" w:space="0" w:color="auto"/>
              <w:right w:val="single" w:sz="12" w:space="0" w:color="auto"/>
            </w:tcBorders>
            <w:hideMark/>
          </w:tcPr>
          <w:p w:rsidR="00EB3B07" w:rsidRPr="00EB3B07" w:rsidRDefault="00EB3B07" w:rsidP="00EB3B07">
            <w:pPr>
              <w:keepNext/>
              <w:keepLines/>
              <w:spacing w:after="0"/>
              <w:jc w:val="center"/>
              <w:rPr>
                <w:rFonts w:ascii="Arial" w:eastAsiaTheme="minorHAnsi" w:hAnsi="Arial" w:cs="Arial"/>
                <w:b/>
                <w:sz w:val="18"/>
                <w:szCs w:val="22"/>
              </w:rPr>
            </w:pPr>
            <w:r w:rsidRPr="00EB3B07">
              <w:rPr>
                <w:rFonts w:ascii="Arial" w:eastAsiaTheme="minorHAnsi" w:hAnsi="Arial" w:cs="Arial"/>
                <w:b/>
                <w:sz w:val="18"/>
                <w:szCs w:val="22"/>
              </w:rPr>
              <w:t>Description</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rPr>
            </w:pPr>
            <w:r w:rsidRPr="00EB3B07">
              <w:rPr>
                <w:rFonts w:ascii="Arial" w:eastAsiaTheme="minorHAnsi" w:hAnsi="Arial" w:cs="Arial"/>
                <w:noProof/>
                <w:sz w:val="18"/>
                <w:szCs w:val="18"/>
              </w:rPr>
              <w:t>Subscription-Id</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IETF RFC 4006 [5]</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 xml:space="preserve">The identification of the subscription (IMSI, MSISDN, </w:t>
            </w:r>
            <w:proofErr w:type="spellStart"/>
            <w:r w:rsidRPr="00EB3B07">
              <w:rPr>
                <w:rFonts w:ascii="Arial" w:eastAsiaTheme="minorHAnsi" w:hAnsi="Arial" w:cs="Arial"/>
                <w:sz w:val="18"/>
                <w:szCs w:val="22"/>
              </w:rPr>
              <w:t>etc</w:t>
            </w:r>
            <w:proofErr w:type="spellEnd"/>
            <w:r w:rsidRPr="00EB3B07">
              <w:rPr>
                <w:rFonts w:ascii="Arial" w:eastAsiaTheme="minorHAnsi" w:hAnsi="Arial" w:cs="Arial"/>
                <w:sz w:val="18"/>
                <w:szCs w:val="22"/>
              </w:rPr>
              <w:t>)</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noProof/>
                <w:sz w:val="18"/>
                <w:szCs w:val="18"/>
                <w:lang w:eastAsia="zh-CN"/>
              </w:rPr>
              <w:t>Logical-Access-ID</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ETSI</w:t>
            </w:r>
            <w:r w:rsidRPr="00EB3B07">
              <w:rPr>
                <w:rFonts w:ascii="Arial" w:eastAsiaTheme="minorHAnsi" w:hAnsi="Arial" w:cs="Arial"/>
                <w:sz w:val="18"/>
                <w:szCs w:val="22"/>
                <w:lang w:val="en-US"/>
              </w:rPr>
              <w:t> </w:t>
            </w:r>
            <w:r w:rsidRPr="00EB3B07">
              <w:rPr>
                <w:rFonts w:ascii="Arial" w:eastAsiaTheme="minorHAnsi" w:hAnsi="Arial" w:cs="Arial"/>
                <w:sz w:val="18"/>
                <w:szCs w:val="22"/>
              </w:rPr>
              <w:t>TS</w:t>
            </w:r>
            <w:r w:rsidRPr="00EB3B07">
              <w:rPr>
                <w:rFonts w:ascii="Arial" w:eastAsiaTheme="minorHAnsi" w:hAnsi="Arial" w:cs="Arial"/>
                <w:sz w:val="18"/>
                <w:szCs w:val="22"/>
                <w:lang w:val="en-US"/>
              </w:rPr>
              <w:t> </w:t>
            </w:r>
            <w:r w:rsidRPr="00EB3B07">
              <w:rPr>
                <w:rFonts w:ascii="Arial" w:eastAsiaTheme="minorHAnsi" w:hAnsi="Arial" w:cs="Arial"/>
                <w:sz w:val="18"/>
                <w:szCs w:val="22"/>
              </w:rPr>
              <w:t>283</w:t>
            </w:r>
            <w:r w:rsidRPr="00EB3B07">
              <w:rPr>
                <w:rFonts w:ascii="Arial" w:eastAsiaTheme="minorHAnsi" w:hAnsi="Arial" w:cs="Arial"/>
                <w:sz w:val="18"/>
                <w:szCs w:val="22"/>
                <w:lang w:val="en-US"/>
              </w:rPr>
              <w:t> </w:t>
            </w:r>
            <w:r w:rsidRPr="00EB3B07">
              <w:rPr>
                <w:rFonts w:ascii="Arial" w:eastAsiaTheme="minorHAnsi" w:hAnsi="Arial" w:cs="Arial"/>
                <w:sz w:val="18"/>
                <w:szCs w:val="22"/>
              </w:rPr>
              <w:t>034</w:t>
            </w:r>
            <w:r w:rsidRPr="00EB3B07">
              <w:rPr>
                <w:rFonts w:ascii="Arial" w:eastAsiaTheme="minorHAnsi" w:hAnsi="Arial" w:cs="Arial"/>
                <w:sz w:val="18"/>
                <w:szCs w:val="22"/>
                <w:lang w:val="en-US"/>
              </w:rPr>
              <w:t> [</w:t>
            </w:r>
            <w:r w:rsidRPr="00EB3B07">
              <w:rPr>
                <w:rFonts w:ascii="Arial" w:eastAsiaTheme="minorHAnsi" w:hAnsi="Arial" w:cs="Arial"/>
                <w:sz w:val="18"/>
                <w:szCs w:val="22"/>
                <w:lang w:eastAsia="zh-CN"/>
              </w:rPr>
              <w:t>17</w:t>
            </w:r>
            <w:r w:rsidRPr="00EB3B07">
              <w:rPr>
                <w:rFonts w:ascii="Arial" w:eastAsiaTheme="minorHAnsi" w:hAnsi="Arial" w:cs="Arial"/>
                <w:sz w:val="18"/>
                <w:szCs w:val="22"/>
              </w:rPr>
              <w:t>]</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Contains a Circuit</w:t>
            </w:r>
            <w:r w:rsidRPr="00EB3B07">
              <w:rPr>
                <w:rFonts w:ascii="Arial" w:eastAsiaTheme="minorHAnsi" w:hAnsi="Arial" w:cs="Arial"/>
                <w:sz w:val="18"/>
                <w:szCs w:val="22"/>
              </w:rPr>
              <w:noBreakHyphen/>
              <w:t xml:space="preserve">ID (as defined in </w:t>
            </w:r>
            <w:r w:rsidRPr="00EB3B07">
              <w:rPr>
                <w:rFonts w:ascii="Arial" w:eastAsiaTheme="minorHAnsi" w:hAnsi="Arial" w:cs="Arial"/>
                <w:sz w:val="18"/>
                <w:szCs w:val="22"/>
                <w:lang w:eastAsia="zh-CN"/>
              </w:rPr>
              <w:t>IETF RFC </w:t>
            </w:r>
            <w:r w:rsidRPr="00EB3B07">
              <w:rPr>
                <w:rFonts w:ascii="Arial" w:eastAsiaTheme="minorHAnsi" w:hAnsi="Arial" w:cs="Arial"/>
                <w:sz w:val="18"/>
                <w:szCs w:val="22"/>
              </w:rPr>
              <w:t>3046</w:t>
            </w:r>
            <w:r w:rsidRPr="00EB3B07">
              <w:rPr>
                <w:rFonts w:ascii="Arial" w:eastAsiaTheme="minorHAnsi" w:hAnsi="Arial" w:cs="Arial"/>
                <w:sz w:val="18"/>
                <w:szCs w:val="22"/>
                <w:lang w:val="en-US"/>
              </w:rPr>
              <w:t> [</w:t>
            </w:r>
            <w:r w:rsidRPr="00EB3B07">
              <w:rPr>
                <w:rFonts w:ascii="Arial" w:eastAsiaTheme="minorHAnsi" w:hAnsi="Arial" w:cs="Arial"/>
                <w:sz w:val="18"/>
                <w:szCs w:val="22"/>
                <w:lang w:eastAsia="zh-CN"/>
              </w:rPr>
              <w:t>18</w:t>
            </w:r>
            <w:r w:rsidRPr="00EB3B07">
              <w:rPr>
                <w:rFonts w:ascii="Arial" w:eastAsiaTheme="minorHAnsi" w:hAnsi="Arial" w:cs="Arial"/>
                <w:sz w:val="18"/>
                <w:szCs w:val="22"/>
              </w:rPr>
              <w:t>]). The Logical Access ID may explicitly contain the identity of the Virtual Path and Virtual Channel carrying the traffic.</w:t>
            </w:r>
            <w:r w:rsidRPr="00EB3B07">
              <w:rPr>
                <w:rFonts w:ascii="Arial" w:eastAsiaTheme="minorHAnsi" w:hAnsi="Arial" w:cs="Arial"/>
                <w:sz w:val="18"/>
                <w:szCs w:val="22"/>
                <w:lang w:eastAsia="zh-CN"/>
              </w:rPr>
              <w:t xml:space="preserve"> Applicable only for Fixed Broadband Access network convergence as defined in annex A.</w:t>
            </w:r>
          </w:p>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This AVP shall have the ‘M’ bit cleared.</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sz w:val="18"/>
                <w:szCs w:val="22"/>
              </w:rPr>
              <w:t>OC-OLR</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lang w:eastAsia="zh-CN"/>
              </w:rPr>
              <w:t>IETF</w:t>
            </w:r>
            <w:r w:rsidRPr="00EB3B07">
              <w:rPr>
                <w:rFonts w:ascii="Arial" w:eastAsiaTheme="minorHAnsi" w:hAnsi="Arial" w:cs="Arial"/>
                <w:sz w:val="18"/>
                <w:szCs w:val="22"/>
                <w:lang w:val="en-US" w:eastAsia="zh-CN"/>
              </w:rPr>
              <w:t> </w:t>
            </w:r>
            <w:del w:id="9" w:author="Ericsson User" w:date="2015-10-30T11:00:00Z">
              <w:r w:rsidRPr="00EB3B07" w:rsidDel="00EB3B07">
                <w:rPr>
                  <w:rFonts w:ascii="Arial" w:eastAsiaTheme="minorHAnsi" w:hAnsi="Arial" w:cs="Arial"/>
                  <w:sz w:val="18"/>
                  <w:szCs w:val="22"/>
                  <w:lang w:eastAsia="zh-CN"/>
                </w:rPr>
                <w:delText>draft</w:delText>
              </w:r>
              <w:r w:rsidRPr="00EB3B07" w:rsidDel="00EB3B07">
                <w:rPr>
                  <w:rFonts w:ascii="Arial" w:eastAsiaTheme="minorHAnsi" w:hAnsi="Arial" w:cs="Arial"/>
                  <w:sz w:val="18"/>
                  <w:szCs w:val="22"/>
                </w:rPr>
                <w:delText>-ietf-dime-ovli-0</w:delText>
              </w:r>
              <w:r w:rsidRPr="00EB3B07" w:rsidDel="00EB3B07">
                <w:rPr>
                  <w:rFonts w:ascii="Arial" w:eastAsiaTheme="minorHAnsi" w:hAnsi="Arial" w:cs="Arial"/>
                  <w:sz w:val="18"/>
                  <w:szCs w:val="22"/>
                  <w:lang w:eastAsia="zh-CN"/>
                </w:rPr>
                <w:delText>2</w:delText>
              </w:r>
            </w:del>
            <w:ins w:id="10" w:author="Ericsson User" w:date="2015-10-30T11:00:00Z">
              <w:r>
                <w:rPr>
                  <w:rFonts w:ascii="Arial" w:eastAsiaTheme="minorHAnsi" w:hAnsi="Arial" w:cs="Arial"/>
                  <w:sz w:val="18"/>
                  <w:szCs w:val="22"/>
                  <w:lang w:eastAsia="zh-CN"/>
                </w:rPr>
                <w:t>7683</w:t>
              </w:r>
            </w:ins>
            <w:r w:rsidRPr="00EB3B07">
              <w:rPr>
                <w:rFonts w:ascii="Arial" w:eastAsiaTheme="minorHAnsi" w:hAnsi="Arial" w:cs="Arial"/>
                <w:sz w:val="18"/>
                <w:szCs w:val="22"/>
                <w:lang w:val="en-US" w:eastAsia="zh-CN"/>
              </w:rPr>
              <w:t> </w:t>
            </w:r>
            <w:r w:rsidRPr="00EB3B07">
              <w:rPr>
                <w:rFonts w:ascii="Arial" w:eastAsiaTheme="minorHAnsi" w:hAnsi="Arial" w:cs="Arial"/>
                <w:sz w:val="18"/>
                <w:szCs w:val="22"/>
                <w:lang w:eastAsia="zh-CN"/>
              </w:rPr>
              <w:t>[20]</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noProof/>
                <w:sz w:val="18"/>
                <w:szCs w:val="22"/>
                <w:lang w:eastAsia="zh-CN"/>
              </w:rPr>
              <w:t>Contains the necessary information to convey an overload report.</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4"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sz w:val="18"/>
                <w:szCs w:val="22"/>
              </w:rPr>
              <w:t>OC-Supported-Features</w:t>
            </w:r>
          </w:p>
        </w:tc>
        <w:tc>
          <w:tcPr>
            <w:tcW w:w="1914" w:type="dxa"/>
            <w:gridSpan w:val="2"/>
            <w:tcBorders>
              <w:top w:val="single" w:sz="4" w:space="0" w:color="auto"/>
              <w:left w:val="single" w:sz="4" w:space="0" w:color="auto"/>
              <w:bottom w:val="single" w:sz="4"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lang w:eastAsia="zh-CN"/>
              </w:rPr>
              <w:t>IETF</w:t>
            </w:r>
            <w:r w:rsidRPr="00EB3B07">
              <w:rPr>
                <w:rFonts w:ascii="Arial" w:eastAsiaTheme="minorHAnsi" w:hAnsi="Arial" w:cs="Arial"/>
                <w:sz w:val="18"/>
                <w:szCs w:val="22"/>
                <w:lang w:val="en-US" w:eastAsia="zh-CN"/>
              </w:rPr>
              <w:t> </w:t>
            </w:r>
            <w:del w:id="11" w:author="Ericsson User" w:date="2015-10-30T11:01:00Z">
              <w:r w:rsidRPr="00EB3B07" w:rsidDel="00EB3B07">
                <w:rPr>
                  <w:rFonts w:ascii="Arial" w:eastAsiaTheme="minorHAnsi" w:hAnsi="Arial" w:cs="Arial"/>
                  <w:sz w:val="18"/>
                  <w:szCs w:val="22"/>
                  <w:lang w:eastAsia="zh-CN"/>
                </w:rPr>
                <w:delText>draft-ietf-dime-</w:delText>
              </w:r>
              <w:r w:rsidRPr="00EB3B07" w:rsidDel="00EB3B07">
                <w:rPr>
                  <w:rFonts w:ascii="Arial" w:eastAsiaTheme="minorHAnsi" w:hAnsi="Arial" w:cs="Arial"/>
                  <w:sz w:val="18"/>
                  <w:szCs w:val="22"/>
                </w:rPr>
                <w:delText xml:space="preserve"> ovli-0</w:delText>
              </w:r>
              <w:r w:rsidRPr="00EB3B07" w:rsidDel="00EB3B07">
                <w:rPr>
                  <w:rFonts w:ascii="Arial" w:eastAsiaTheme="minorHAnsi" w:hAnsi="Arial" w:cs="Arial"/>
                  <w:sz w:val="18"/>
                  <w:szCs w:val="22"/>
                  <w:lang w:eastAsia="zh-CN"/>
                </w:rPr>
                <w:delText>2</w:delText>
              </w:r>
            </w:del>
            <w:ins w:id="12" w:author="Ericsson User" w:date="2015-10-30T11:01:00Z">
              <w:r>
                <w:rPr>
                  <w:rFonts w:ascii="Arial" w:eastAsiaTheme="minorHAnsi" w:hAnsi="Arial" w:cs="Arial"/>
                  <w:sz w:val="18"/>
                  <w:szCs w:val="22"/>
                  <w:lang w:eastAsia="zh-CN"/>
                </w:rPr>
                <w:t>7683</w:t>
              </w:r>
            </w:ins>
            <w:r w:rsidRPr="00EB3B07">
              <w:rPr>
                <w:rFonts w:ascii="Arial" w:eastAsiaTheme="minorHAnsi" w:hAnsi="Arial" w:cs="Arial"/>
                <w:sz w:val="18"/>
                <w:szCs w:val="22"/>
                <w:lang w:val="en-US" w:eastAsia="zh-CN"/>
              </w:rPr>
              <w:t> </w:t>
            </w:r>
            <w:r w:rsidRPr="00EB3B07">
              <w:rPr>
                <w:rFonts w:ascii="Arial" w:eastAsiaTheme="minorHAnsi" w:hAnsi="Arial" w:cs="Arial"/>
                <w:sz w:val="18"/>
                <w:szCs w:val="22"/>
                <w:lang w:eastAsia="zh-CN"/>
              </w:rPr>
              <w:t>[20]</w:t>
            </w:r>
          </w:p>
        </w:tc>
        <w:tc>
          <w:tcPr>
            <w:tcW w:w="4182" w:type="dxa"/>
            <w:gridSpan w:val="2"/>
            <w:tcBorders>
              <w:top w:val="single" w:sz="4" w:space="0" w:color="auto"/>
              <w:left w:val="single" w:sz="4" w:space="0" w:color="auto"/>
              <w:bottom w:val="single" w:sz="4"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noProof/>
                <w:sz w:val="18"/>
                <w:szCs w:val="22"/>
                <w:lang w:eastAsia="zh-CN"/>
              </w:rPr>
              <w:t>Defines the support for the Diameter overload indication conveyence by the sending node.</w:t>
            </w:r>
          </w:p>
        </w:tc>
      </w:tr>
      <w:tr w:rsidR="00EB3B07" w:rsidRPr="00EB3B07" w:rsidTr="00EB3B07">
        <w:trPr>
          <w:gridBefore w:val="1"/>
          <w:wBefore w:w="31" w:type="dxa"/>
          <w:cantSplit/>
          <w:jc w:val="center"/>
        </w:trPr>
        <w:tc>
          <w:tcPr>
            <w:tcW w:w="1913" w:type="dxa"/>
            <w:gridSpan w:val="2"/>
            <w:tcBorders>
              <w:top w:val="single" w:sz="4" w:space="0" w:color="auto"/>
              <w:left w:val="single" w:sz="12" w:space="0" w:color="auto"/>
              <w:bottom w:val="single" w:sz="12" w:space="0" w:color="auto"/>
              <w:right w:val="single" w:sz="4" w:space="0" w:color="auto"/>
            </w:tcBorders>
            <w:vAlign w:val="center"/>
            <w:hideMark/>
          </w:tcPr>
          <w:p w:rsidR="00EB3B07" w:rsidRPr="00EB3B07" w:rsidRDefault="00EB3B07" w:rsidP="00EB3B07">
            <w:pPr>
              <w:keepNext/>
              <w:keepLines/>
              <w:spacing w:after="0"/>
              <w:rPr>
                <w:rFonts w:ascii="Arial" w:eastAsiaTheme="minorHAnsi" w:hAnsi="Arial" w:cs="Arial"/>
                <w:noProof/>
                <w:sz w:val="18"/>
                <w:szCs w:val="18"/>
                <w:lang w:eastAsia="zh-CN"/>
              </w:rPr>
            </w:pPr>
            <w:r w:rsidRPr="00EB3B07">
              <w:rPr>
                <w:rFonts w:ascii="Arial" w:eastAsiaTheme="minorHAnsi" w:hAnsi="Arial" w:cs="Arial"/>
                <w:noProof/>
                <w:sz w:val="18"/>
                <w:szCs w:val="18"/>
                <w:lang w:eastAsia="zh-CN"/>
              </w:rPr>
              <w:t>Physical-Access-ID</w:t>
            </w:r>
          </w:p>
        </w:tc>
        <w:tc>
          <w:tcPr>
            <w:tcW w:w="1914" w:type="dxa"/>
            <w:gridSpan w:val="2"/>
            <w:tcBorders>
              <w:top w:val="single" w:sz="4" w:space="0" w:color="auto"/>
              <w:left w:val="single" w:sz="4" w:space="0" w:color="auto"/>
              <w:bottom w:val="single" w:sz="12" w:space="0" w:color="auto"/>
              <w:right w:val="single" w:sz="4" w:space="0" w:color="auto"/>
            </w:tcBorders>
            <w:hideMark/>
          </w:tcPr>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ETSI</w:t>
            </w:r>
            <w:r w:rsidRPr="00EB3B07">
              <w:rPr>
                <w:rFonts w:ascii="Arial" w:eastAsiaTheme="minorHAnsi" w:hAnsi="Arial" w:cs="Arial"/>
                <w:sz w:val="18"/>
                <w:szCs w:val="22"/>
                <w:lang w:val="en-US"/>
              </w:rPr>
              <w:t> </w:t>
            </w:r>
            <w:r w:rsidRPr="00EB3B07">
              <w:rPr>
                <w:rFonts w:ascii="Arial" w:eastAsiaTheme="minorHAnsi" w:hAnsi="Arial" w:cs="Arial"/>
                <w:sz w:val="18"/>
                <w:szCs w:val="22"/>
              </w:rPr>
              <w:t>TS</w:t>
            </w:r>
            <w:r w:rsidRPr="00EB3B07">
              <w:rPr>
                <w:rFonts w:ascii="Arial" w:eastAsiaTheme="minorHAnsi" w:hAnsi="Arial" w:cs="Arial"/>
                <w:sz w:val="18"/>
                <w:szCs w:val="22"/>
                <w:lang w:val="en-US"/>
              </w:rPr>
              <w:t> </w:t>
            </w:r>
            <w:r w:rsidRPr="00EB3B07">
              <w:rPr>
                <w:rFonts w:ascii="Arial" w:eastAsiaTheme="minorHAnsi" w:hAnsi="Arial" w:cs="Arial"/>
                <w:sz w:val="18"/>
                <w:szCs w:val="22"/>
              </w:rPr>
              <w:t>283</w:t>
            </w:r>
            <w:r w:rsidRPr="00EB3B07">
              <w:rPr>
                <w:rFonts w:ascii="Arial" w:eastAsiaTheme="minorHAnsi" w:hAnsi="Arial" w:cs="Arial"/>
                <w:sz w:val="18"/>
                <w:szCs w:val="22"/>
                <w:lang w:val="en-US"/>
              </w:rPr>
              <w:t> </w:t>
            </w:r>
            <w:r w:rsidRPr="00EB3B07">
              <w:rPr>
                <w:rFonts w:ascii="Arial" w:eastAsiaTheme="minorHAnsi" w:hAnsi="Arial" w:cs="Arial"/>
                <w:sz w:val="18"/>
                <w:szCs w:val="22"/>
              </w:rPr>
              <w:t>034</w:t>
            </w:r>
            <w:r w:rsidRPr="00EB3B07">
              <w:rPr>
                <w:rFonts w:ascii="Arial" w:eastAsiaTheme="minorHAnsi" w:hAnsi="Arial" w:cs="Arial"/>
                <w:sz w:val="18"/>
                <w:szCs w:val="22"/>
                <w:lang w:val="en-US"/>
              </w:rPr>
              <w:t> [</w:t>
            </w:r>
            <w:r w:rsidRPr="00EB3B07">
              <w:rPr>
                <w:rFonts w:ascii="Arial" w:eastAsiaTheme="minorHAnsi" w:hAnsi="Arial" w:cs="Arial"/>
                <w:sz w:val="18"/>
                <w:szCs w:val="22"/>
                <w:lang w:eastAsia="zh-CN"/>
              </w:rPr>
              <w:t>17</w:t>
            </w:r>
            <w:r w:rsidRPr="00EB3B07">
              <w:rPr>
                <w:rFonts w:ascii="Arial" w:eastAsiaTheme="minorHAnsi" w:hAnsi="Arial" w:cs="Arial"/>
                <w:sz w:val="18"/>
                <w:szCs w:val="22"/>
              </w:rPr>
              <w:t>]</w:t>
            </w:r>
          </w:p>
        </w:tc>
        <w:tc>
          <w:tcPr>
            <w:tcW w:w="4182" w:type="dxa"/>
            <w:gridSpan w:val="2"/>
            <w:tcBorders>
              <w:top w:val="single" w:sz="4" w:space="0" w:color="auto"/>
              <w:left w:val="single" w:sz="4" w:space="0" w:color="auto"/>
              <w:bottom w:val="single" w:sz="12" w:space="0" w:color="auto"/>
              <w:right w:val="single" w:sz="12" w:space="0" w:color="auto"/>
            </w:tcBorders>
            <w:hideMark/>
          </w:tcPr>
          <w:p w:rsidR="00EB3B07" w:rsidRPr="00EB3B07" w:rsidRDefault="00EB3B07" w:rsidP="00EB3B07">
            <w:pPr>
              <w:keepNext/>
              <w:keepLines/>
              <w:spacing w:after="0"/>
              <w:rPr>
                <w:rFonts w:ascii="Arial" w:eastAsiaTheme="minorHAnsi" w:hAnsi="Arial" w:cs="Arial"/>
                <w:sz w:val="18"/>
                <w:szCs w:val="22"/>
                <w:lang w:eastAsia="zh-CN"/>
              </w:rPr>
            </w:pPr>
            <w:r w:rsidRPr="00EB3B07">
              <w:rPr>
                <w:rFonts w:ascii="Arial" w:eastAsiaTheme="minorHAnsi" w:hAnsi="Arial" w:cs="Arial"/>
                <w:sz w:val="18"/>
                <w:szCs w:val="22"/>
              </w:rPr>
              <w:t>Identifies the physical access to which the user equipment is connected. Includes a port identifier and the identity of the access node where the port resides.</w:t>
            </w:r>
            <w:r w:rsidRPr="00EB3B07">
              <w:rPr>
                <w:rFonts w:ascii="Arial" w:eastAsiaTheme="minorHAnsi" w:hAnsi="Arial" w:cs="Arial"/>
                <w:sz w:val="18"/>
                <w:szCs w:val="22"/>
                <w:lang w:eastAsia="zh-CN"/>
              </w:rPr>
              <w:t xml:space="preserve"> Applicable only for Fixed Broadband Access network convergence as defined in annex A.</w:t>
            </w:r>
          </w:p>
          <w:p w:rsidR="00EB3B07" w:rsidRPr="00EB3B07" w:rsidRDefault="00EB3B07" w:rsidP="00EB3B07">
            <w:pPr>
              <w:keepNext/>
              <w:keepLines/>
              <w:spacing w:after="0"/>
              <w:rPr>
                <w:rFonts w:ascii="Arial" w:eastAsiaTheme="minorHAnsi" w:hAnsi="Arial" w:cs="Arial"/>
                <w:sz w:val="18"/>
                <w:szCs w:val="22"/>
              </w:rPr>
            </w:pPr>
            <w:r w:rsidRPr="00EB3B07">
              <w:rPr>
                <w:rFonts w:ascii="Arial" w:eastAsiaTheme="minorHAnsi" w:hAnsi="Arial" w:cs="Arial"/>
                <w:sz w:val="18"/>
                <w:szCs w:val="22"/>
              </w:rPr>
              <w:t>This AVP shall have the ‘M’ bit cleared.</w:t>
            </w:r>
          </w:p>
        </w:tc>
      </w:tr>
    </w:tbl>
    <w:p w:rsidR="00EB3B07" w:rsidRPr="00EB3B07" w:rsidRDefault="00EB3B07" w:rsidP="00EB3B07">
      <w:pPr>
        <w:rPr>
          <w:lang w:eastAsia="zh-CN"/>
        </w:rPr>
      </w:pPr>
    </w:p>
    <w:p w:rsidR="00E652A0" w:rsidRPr="00E652A0" w:rsidRDefault="00E652A0"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246D6E"/>
    <w:rsid w:val="00322AB7"/>
    <w:rsid w:val="003C526C"/>
    <w:rsid w:val="00412B47"/>
    <w:rsid w:val="0053336E"/>
    <w:rsid w:val="005371F7"/>
    <w:rsid w:val="005E7649"/>
    <w:rsid w:val="0064101B"/>
    <w:rsid w:val="006A355E"/>
    <w:rsid w:val="0078371C"/>
    <w:rsid w:val="007F24FD"/>
    <w:rsid w:val="00840451"/>
    <w:rsid w:val="00880366"/>
    <w:rsid w:val="008D2412"/>
    <w:rsid w:val="0093044D"/>
    <w:rsid w:val="0098010E"/>
    <w:rsid w:val="00B07DF4"/>
    <w:rsid w:val="00B55D8D"/>
    <w:rsid w:val="00BD7E77"/>
    <w:rsid w:val="00C46336"/>
    <w:rsid w:val="00D31095"/>
    <w:rsid w:val="00D971B1"/>
    <w:rsid w:val="00E30766"/>
    <w:rsid w:val="00E41ABE"/>
    <w:rsid w:val="00E652A0"/>
    <w:rsid w:val="00EA0969"/>
    <w:rsid w:val="00EB3B07"/>
    <w:rsid w:val="00F76C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372">
      <w:bodyDiv w:val="1"/>
      <w:marLeft w:val="0"/>
      <w:marRight w:val="0"/>
      <w:marTop w:val="0"/>
      <w:marBottom w:val="0"/>
      <w:divBdr>
        <w:top w:val="none" w:sz="0" w:space="0" w:color="auto"/>
        <w:left w:val="none" w:sz="0" w:space="0" w:color="auto"/>
        <w:bottom w:val="none" w:sz="0" w:space="0" w:color="auto"/>
        <w:right w:val="none" w:sz="0" w:space="0" w:color="auto"/>
      </w:divBdr>
    </w:div>
    <w:div w:id="671448957">
      <w:bodyDiv w:val="1"/>
      <w:marLeft w:val="0"/>
      <w:marRight w:val="0"/>
      <w:marTop w:val="0"/>
      <w:marBottom w:val="0"/>
      <w:divBdr>
        <w:top w:val="none" w:sz="0" w:space="0" w:color="auto"/>
        <w:left w:val="none" w:sz="0" w:space="0" w:color="auto"/>
        <w:bottom w:val="none" w:sz="0" w:space="0" w:color="auto"/>
        <w:right w:val="none" w:sz="0" w:space="0" w:color="auto"/>
      </w:divBdr>
    </w:div>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064454891">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346396905">
      <w:bodyDiv w:val="1"/>
      <w:marLeft w:val="0"/>
      <w:marRight w:val="0"/>
      <w:marTop w:val="0"/>
      <w:marBottom w:val="0"/>
      <w:divBdr>
        <w:top w:val="none" w:sz="0" w:space="0" w:color="auto"/>
        <w:left w:val="none" w:sz="0" w:space="0" w:color="auto"/>
        <w:bottom w:val="none" w:sz="0" w:space="0" w:color="auto"/>
        <w:right w:val="none" w:sz="0" w:space="0" w:color="auto"/>
      </w:divBdr>
    </w:div>
    <w:div w:id="1460415335">
      <w:bodyDiv w:val="1"/>
      <w:marLeft w:val="0"/>
      <w:marRight w:val="0"/>
      <w:marTop w:val="0"/>
      <w:marBottom w:val="0"/>
      <w:divBdr>
        <w:top w:val="none" w:sz="0" w:space="0" w:color="auto"/>
        <w:left w:val="none" w:sz="0" w:space="0" w:color="auto"/>
        <w:bottom w:val="none" w:sz="0" w:space="0" w:color="auto"/>
        <w:right w:val="none" w:sz="0" w:space="0" w:color="auto"/>
      </w:divBdr>
    </w:div>
    <w:div w:id="1575358872">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926</Words>
  <Characters>5097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2</cp:lastModifiedBy>
  <cp:revision>2</cp:revision>
  <dcterms:created xsi:type="dcterms:W3CDTF">2015-11-18T02:20:00Z</dcterms:created>
  <dcterms:modified xsi:type="dcterms:W3CDTF">2015-11-18T02:20:00Z</dcterms:modified>
</cp:coreProperties>
</file>