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A16B24">
        <w:rPr>
          <w:b/>
          <w:noProof/>
          <w:sz w:val="24"/>
        </w:rPr>
        <w:t>068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A16B24" w:rsidRPr="00A16B24">
        <w:rPr>
          <w:rFonts w:ascii="Arial" w:hAnsi="Arial" w:cs="Arial"/>
          <w:b/>
          <w:bCs/>
        </w:rPr>
        <w:t>PARLOS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58"/>
        <w:gridCol w:w="663"/>
        <w:gridCol w:w="663"/>
        <w:gridCol w:w="1301"/>
        <w:gridCol w:w="474"/>
        <w:gridCol w:w="685"/>
        <w:gridCol w:w="750"/>
        <w:gridCol w:w="1159"/>
        <w:gridCol w:w="1004"/>
        <w:gridCol w:w="1104"/>
        <w:gridCol w:w="688"/>
      </w:tblGrid>
      <w:tr w:rsidR="00A16B24" w:rsidRPr="00A16B24" w:rsidTr="00A16B24">
        <w:trPr>
          <w:trHeight w:val="450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structure in Annex O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C1-194084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O.3.3.1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for UICC less case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6349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R-URI of RLOS INVITE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C1-194886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L.3.1.7.3.2, L.3.2.8.3.2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24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3244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abnormal case handling in case of attach for access to RLOS not accepted by the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C1-195133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5.5.1.2.5C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handling of equivalent PLMNs list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C1-194906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3265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handling of timer T3418 or T3420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C1-194907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112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integrity and authentication handling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C1-194908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MediaTek Inc, Ericsson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4.4.4.3, 5.4.2.6, 5.5.3.2.3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6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PDU session type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C1-194611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6.5.1.2, 6.5.1.3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storage of EMM information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C1-194612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Annex C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90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3269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Types of EMM procedures for RLOS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C1-194909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1575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Initiating attach for RLOS in ATTEMPTING-TO-ATTACH substate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C1-194671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6B24" w:rsidRPr="00A16B24" w:rsidTr="00A16B24">
        <w:trPr>
          <w:trHeight w:val="1350"/>
        </w:trPr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PSM handling for UE attached for RLOS services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B24" w:rsidRPr="00A16B24" w:rsidRDefault="00A16B24" w:rsidP="00A16B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6B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375" w:rsidRDefault="00C72375">
      <w:r>
        <w:separator/>
      </w:r>
    </w:p>
  </w:endnote>
  <w:endnote w:type="continuationSeparator" w:id="0">
    <w:p w:rsidR="00C72375" w:rsidRDefault="00C7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375" w:rsidRDefault="00C72375">
      <w:r>
        <w:separator/>
      </w:r>
    </w:p>
  </w:footnote>
  <w:footnote w:type="continuationSeparator" w:id="0">
    <w:p w:rsidR="00C72375" w:rsidRDefault="00C7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6B24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2375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006667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2019-09-05T14:30:00Z</dcterms:modified>
</cp:coreProperties>
</file>