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48973" w14:textId="3CC2180C" w:rsidR="00EA1EBD" w:rsidRDefault="00EA1EBD" w:rsidP="00EA1EBD">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Pr>
          <w:b/>
          <w:noProof/>
          <w:sz w:val="24"/>
        </w:rPr>
        <w:t>094</w:t>
      </w:r>
    </w:p>
    <w:p w14:paraId="006A022F" w14:textId="77777777" w:rsidR="00EA1EBD" w:rsidRDefault="00EA1EBD" w:rsidP="00EA1EBD">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7DE26CDC" w14:textId="77777777" w:rsidR="00EA1EBD" w:rsidRPr="000F4E43" w:rsidRDefault="00EA1EBD" w:rsidP="00EA1EBD">
      <w:pPr>
        <w:pStyle w:val="Header"/>
        <w:pBdr>
          <w:bottom w:val="single" w:sz="4" w:space="1" w:color="auto"/>
        </w:pBdr>
        <w:tabs>
          <w:tab w:val="right" w:pos="9639"/>
        </w:tabs>
        <w:rPr>
          <w:rFonts w:cs="Arial"/>
          <w:b w:val="0"/>
          <w:bCs/>
          <w:sz w:val="24"/>
          <w:szCs w:val="24"/>
        </w:rPr>
      </w:pPr>
    </w:p>
    <w:p w14:paraId="37374B55" w14:textId="69725E06" w:rsidR="000F7ECB" w:rsidRPr="005155C6" w:rsidRDefault="005575A8" w:rsidP="005575A8">
      <w:pPr>
        <w:pStyle w:val="Header"/>
        <w:tabs>
          <w:tab w:val="right" w:pos="9498"/>
        </w:tabs>
        <w:rPr>
          <w:rFonts w:cs="Arial"/>
          <w:bCs/>
          <w:sz w:val="22"/>
        </w:rPr>
      </w:pPr>
      <w:r w:rsidRPr="005575A8">
        <w:rPr>
          <w:rFonts w:cs="Arial"/>
          <w:bCs/>
          <w:sz w:val="22"/>
        </w:rPr>
        <w:tab/>
        <w:t xml:space="preserve"> </w:t>
      </w:r>
      <w:r w:rsidR="000F7ECB" w:rsidRPr="005155C6">
        <w:rPr>
          <w:rFonts w:cs="Arial"/>
          <w:bCs/>
          <w:sz w:val="22"/>
        </w:rPr>
        <w:br/>
      </w:r>
    </w:p>
    <w:p w14:paraId="5F51CADA" w14:textId="04839811" w:rsidR="000F7ECB" w:rsidRPr="005155C6" w:rsidRDefault="000F7ECB" w:rsidP="000F7ECB">
      <w:pPr>
        <w:spacing w:after="60"/>
        <w:ind w:left="1985" w:hanging="1985"/>
        <w:rPr>
          <w:rFonts w:ascii="Arial" w:hAnsi="Arial" w:cs="Arial"/>
          <w:b/>
        </w:rPr>
      </w:pPr>
      <w:r w:rsidRPr="005155C6">
        <w:rPr>
          <w:rFonts w:ascii="Arial" w:hAnsi="Arial" w:cs="Arial"/>
          <w:b/>
        </w:rPr>
        <w:t>Title:</w:t>
      </w:r>
      <w:r w:rsidRPr="005155C6">
        <w:rPr>
          <w:rFonts w:ascii="Arial" w:hAnsi="Arial" w:cs="Arial"/>
          <w:b/>
        </w:rPr>
        <w:tab/>
        <w:t xml:space="preserve">Presentation of </w:t>
      </w:r>
      <w:r w:rsidR="00222D66" w:rsidRPr="005155C6">
        <w:rPr>
          <w:rFonts w:ascii="Arial" w:hAnsi="Arial" w:cs="Arial"/>
          <w:b/>
        </w:rPr>
        <w:t>Specification to TSG:</w:t>
      </w:r>
      <w:r w:rsidR="00222D66" w:rsidRPr="005155C6">
        <w:rPr>
          <w:rFonts w:ascii="Arial" w:hAnsi="Arial" w:cs="Arial"/>
          <w:b/>
        </w:rPr>
        <w:br/>
      </w:r>
      <w:r w:rsidR="005575A8" w:rsidRPr="005155C6">
        <w:rPr>
          <w:rFonts w:ascii="Arial" w:hAnsi="Arial" w:cs="Arial"/>
          <w:b/>
        </w:rPr>
        <w:t>TS 31.</w:t>
      </w:r>
      <w:r w:rsidR="005155C6" w:rsidRPr="005155C6">
        <w:rPr>
          <w:rFonts w:ascii="Arial" w:hAnsi="Arial" w:cs="Arial"/>
          <w:b/>
        </w:rPr>
        <w:t>127</w:t>
      </w:r>
      <w:r w:rsidR="00222D66" w:rsidRPr="005155C6">
        <w:rPr>
          <w:rFonts w:ascii="Arial" w:hAnsi="Arial" w:cs="Arial"/>
          <w:b/>
        </w:rPr>
        <w:t xml:space="preserve">, Version </w:t>
      </w:r>
      <w:r w:rsidR="005155C6" w:rsidRPr="005155C6">
        <w:rPr>
          <w:rFonts w:ascii="Arial" w:hAnsi="Arial" w:cs="Arial"/>
          <w:b/>
        </w:rPr>
        <w:t>2</w:t>
      </w:r>
      <w:r w:rsidR="005575A8" w:rsidRPr="005155C6">
        <w:rPr>
          <w:rFonts w:ascii="Arial" w:hAnsi="Arial" w:cs="Arial"/>
          <w:b/>
        </w:rPr>
        <w:t>.</w:t>
      </w:r>
      <w:r w:rsidR="005155C6" w:rsidRPr="005155C6">
        <w:rPr>
          <w:rFonts w:ascii="Arial" w:hAnsi="Arial" w:cs="Arial"/>
          <w:b/>
        </w:rPr>
        <w:t>0</w:t>
      </w:r>
      <w:r w:rsidR="005575A8" w:rsidRPr="005155C6">
        <w:rPr>
          <w:rFonts w:ascii="Arial" w:hAnsi="Arial" w:cs="Arial"/>
          <w:b/>
        </w:rPr>
        <w:t>.</w:t>
      </w:r>
      <w:r w:rsidR="00EA1EBD">
        <w:rPr>
          <w:rFonts w:ascii="Arial" w:hAnsi="Arial" w:cs="Arial"/>
          <w:b/>
        </w:rPr>
        <w:t>1</w:t>
      </w:r>
      <w:r w:rsidR="00222D66" w:rsidRPr="005155C6">
        <w:rPr>
          <w:rFonts w:ascii="Arial" w:hAnsi="Arial" w:cs="Arial"/>
          <w:b/>
        </w:rPr>
        <w:br/>
      </w:r>
    </w:p>
    <w:p w14:paraId="5FDFF844" w14:textId="4CE2EBEC"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403B66" w:rsidRPr="00403B66">
        <w:rPr>
          <w:rFonts w:ascii="Arial" w:hAnsi="Arial" w:cs="Arial"/>
          <w:b/>
        </w:rPr>
        <w:t>CT6</w:t>
      </w:r>
      <w:r w:rsidR="00201520" w:rsidRPr="00CC358C">
        <w:rPr>
          <w:rFonts w:ascii="Arial" w:hAnsi="Arial" w:cs="Arial"/>
          <w:b/>
          <w:color w:val="2F5496"/>
        </w:rPr>
        <w:br/>
      </w:r>
    </w:p>
    <w:p w14:paraId="2E443833" w14:textId="6A85B825"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974DB1">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565F8BBA" w14:textId="6C180960" w:rsidR="005155C6" w:rsidRPr="00641943" w:rsidRDefault="00974DB1" w:rsidP="005155C6">
      <w:pPr>
        <w:overflowPunct w:val="0"/>
        <w:autoSpaceDE w:val="0"/>
        <w:autoSpaceDN w:val="0"/>
        <w:adjustRightInd w:val="0"/>
        <w:textAlignment w:val="baseline"/>
      </w:pPr>
      <w:r>
        <w:t xml:space="preserve">The document defines the </w:t>
      </w:r>
      <w:r w:rsidR="005155C6" w:rsidRPr="00641943">
        <w:rPr>
          <w:rFonts w:eastAsia="TimesNewRoman"/>
          <w:lang w:eastAsia="en-GB"/>
        </w:rPr>
        <w:t xml:space="preserve">application behavioural tests for a UE </w:t>
      </w:r>
      <w:r w:rsidR="00A72867">
        <w:rPr>
          <w:rFonts w:eastAsia="TimesNewRoman"/>
          <w:lang w:eastAsia="en-GB"/>
        </w:rPr>
        <w:t>for</w:t>
      </w:r>
      <w:r w:rsidR="005155C6" w:rsidRPr="00641943">
        <w:rPr>
          <w:rFonts w:eastAsia="TimesNewRoman"/>
          <w:lang w:eastAsia="en-GB"/>
        </w:rPr>
        <w:t xml:space="preserve"> </w:t>
      </w:r>
      <w:r w:rsidR="005155C6" w:rsidRPr="00641943">
        <w:t xml:space="preserve">interoperability with dedicated 3GPP network operations. Where there </w:t>
      </w:r>
      <w:r w:rsidR="005155C6">
        <w:t>are</w:t>
      </w:r>
      <w:r w:rsidR="005155C6" w:rsidRPr="00641943">
        <w:t xml:space="preserve"> description</w:t>
      </w:r>
      <w:r w:rsidR="00291DC3">
        <w:t>s</w:t>
      </w:r>
      <w:r w:rsidR="005155C6" w:rsidRPr="00641943">
        <w:t xml:space="preserve"> for each compliant implementation including:</w:t>
      </w:r>
    </w:p>
    <w:p w14:paraId="2A80350A" w14:textId="77777777" w:rsidR="005155C6" w:rsidRPr="00641943" w:rsidRDefault="005155C6" w:rsidP="005155C6">
      <w:pPr>
        <w:overflowPunct w:val="0"/>
        <w:autoSpaceDE w:val="0"/>
        <w:autoSpaceDN w:val="0"/>
        <w:adjustRightInd w:val="0"/>
        <w:textAlignment w:val="baseline"/>
      </w:pPr>
      <w:r w:rsidRPr="00641943">
        <w:t>- the test case specific setting of the USIM;</w:t>
      </w:r>
    </w:p>
    <w:p w14:paraId="137F8BA4" w14:textId="77777777" w:rsidR="005155C6" w:rsidRPr="00641943" w:rsidRDefault="005155C6" w:rsidP="005155C6">
      <w:pPr>
        <w:overflowPunct w:val="0"/>
        <w:autoSpaceDE w:val="0"/>
        <w:autoSpaceDN w:val="0"/>
        <w:adjustRightInd w:val="0"/>
        <w:textAlignment w:val="baseline"/>
      </w:pPr>
      <w:r w:rsidRPr="00641943">
        <w:t>- the applicability of each test case;</w:t>
      </w:r>
    </w:p>
    <w:p w14:paraId="1F1CBF3D" w14:textId="77777777" w:rsidR="005155C6" w:rsidRPr="00641943" w:rsidRDefault="005155C6" w:rsidP="005155C6">
      <w:pPr>
        <w:overflowPunct w:val="0"/>
        <w:autoSpaceDE w:val="0"/>
        <w:autoSpaceDN w:val="0"/>
        <w:adjustRightInd w:val="0"/>
        <w:textAlignment w:val="baseline"/>
      </w:pPr>
      <w:r w:rsidRPr="00641943">
        <w:t>- the test configurations;</w:t>
      </w:r>
    </w:p>
    <w:p w14:paraId="2CE14487" w14:textId="77777777" w:rsidR="005155C6" w:rsidRPr="00641943" w:rsidRDefault="005155C6" w:rsidP="005155C6">
      <w:pPr>
        <w:overflowPunct w:val="0"/>
        <w:autoSpaceDE w:val="0"/>
        <w:autoSpaceDN w:val="0"/>
        <w:adjustRightInd w:val="0"/>
        <w:textAlignment w:val="baseline"/>
      </w:pPr>
      <w:r w:rsidRPr="00641943">
        <w:t>- the conformance requirement(s) and reference(s) to the related core specifications;</w:t>
      </w:r>
    </w:p>
    <w:p w14:paraId="590EBFD1" w14:textId="77777777" w:rsidR="005155C6" w:rsidRPr="00641943" w:rsidRDefault="005155C6" w:rsidP="005155C6">
      <w:pPr>
        <w:overflowPunct w:val="0"/>
        <w:autoSpaceDE w:val="0"/>
        <w:autoSpaceDN w:val="0"/>
        <w:adjustRightInd w:val="0"/>
        <w:textAlignment w:val="baseline"/>
      </w:pPr>
      <w:r w:rsidRPr="00641943">
        <w:t>- the test purposes; and</w:t>
      </w:r>
    </w:p>
    <w:p w14:paraId="25E1876C" w14:textId="77777777" w:rsidR="005155C6" w:rsidRPr="00641943" w:rsidRDefault="005155C6" w:rsidP="005155C6">
      <w:pPr>
        <w:overflowPunct w:val="0"/>
        <w:autoSpaceDE w:val="0"/>
        <w:autoSpaceDN w:val="0"/>
        <w:adjustRightInd w:val="0"/>
        <w:textAlignment w:val="baseline"/>
      </w:pPr>
      <w:r w:rsidRPr="00641943">
        <w:t>- a brief description of the test procedure and the specific acceptance criteria.</w:t>
      </w:r>
    </w:p>
    <w:p w14:paraId="5815138C" w14:textId="2247F07D" w:rsidR="005155C6" w:rsidRPr="00641943" w:rsidRDefault="005155C6" w:rsidP="005155C6">
      <w:pPr>
        <w:overflowPunct w:val="0"/>
        <w:autoSpaceDE w:val="0"/>
        <w:autoSpaceDN w:val="0"/>
        <w:adjustRightInd w:val="0"/>
        <w:textAlignment w:val="baseline"/>
      </w:pPr>
      <w:r w:rsidRPr="00641943">
        <w:t xml:space="preserve">The document </w:t>
      </w:r>
      <w:r>
        <w:t>will be</w:t>
      </w:r>
      <w:r w:rsidRPr="00641943">
        <w:t xml:space="preserve"> applicable for MEs supporting a non-removable UICC only. MEs that allow access to the physical card interface as defined in ETSI TS 102 221 </w:t>
      </w:r>
      <w:r w:rsidRPr="00641943">
        <w:fldChar w:fldCharType="begin"/>
      </w:r>
      <w:r w:rsidRPr="00641943">
        <w:instrText xml:space="preserve"> REF _Ref72137167 \n \h </w:instrText>
      </w:r>
      <w:r w:rsidRPr="00641943">
        <w:fldChar w:fldCharType="separate"/>
      </w:r>
      <w:r>
        <w:t>[8]</w:t>
      </w:r>
      <w:r w:rsidRPr="00641943">
        <w:fldChar w:fldCharType="end"/>
      </w:r>
      <w:r w:rsidRPr="00641943">
        <w:t xml:space="preserve"> or ETSI TS 102 671 </w:t>
      </w:r>
      <w:r w:rsidRPr="00641943">
        <w:fldChar w:fldCharType="begin"/>
      </w:r>
      <w:r w:rsidRPr="00641943">
        <w:instrText xml:space="preserve"> REF _Ref72225768 \r \h </w:instrText>
      </w:r>
      <w:r w:rsidRPr="00641943">
        <w:fldChar w:fldCharType="separate"/>
      </w:r>
      <w:r>
        <w:t>[29]</w:t>
      </w:r>
      <w:r w:rsidRPr="00641943">
        <w:fldChar w:fldCharType="end"/>
      </w:r>
      <w:r w:rsidRPr="00641943">
        <w:t xml:space="preserve"> shall be tested in accordance to TS 31.121 </w:t>
      </w:r>
      <w:r w:rsidRPr="00641943">
        <w:fldChar w:fldCharType="begin"/>
      </w:r>
      <w:r w:rsidRPr="00641943">
        <w:instrText xml:space="preserve"> REF _Ref62645896 \n \h </w:instrText>
      </w:r>
      <w:r w:rsidRPr="00641943">
        <w:fldChar w:fldCharType="separate"/>
      </w:r>
      <w:r>
        <w:t>[2]</w:t>
      </w:r>
      <w:r w:rsidRPr="00641943">
        <w:fldChar w:fldCharType="end"/>
      </w:r>
      <w:r w:rsidRPr="00641943">
        <w:t>.</w:t>
      </w:r>
      <w:r>
        <w:t xml:space="preserve"> </w:t>
      </w:r>
    </w:p>
    <w:p w14:paraId="3B9BCF7B" w14:textId="71D84701" w:rsidR="005155C6" w:rsidRPr="00641943" w:rsidRDefault="005155C6" w:rsidP="005155C6">
      <w:pPr>
        <w:overflowPunct w:val="0"/>
        <w:autoSpaceDE w:val="0"/>
        <w:autoSpaceDN w:val="0"/>
        <w:adjustRightInd w:val="0"/>
        <w:textAlignment w:val="baseline"/>
      </w:pPr>
      <w:r w:rsidRPr="00641943">
        <w:t xml:space="preserve">This document </w:t>
      </w:r>
      <w:r>
        <w:t xml:space="preserve">will be </w:t>
      </w:r>
      <w:r w:rsidRPr="00641943">
        <w:t>provid</w:t>
      </w:r>
      <w:r>
        <w:t>ing</w:t>
      </w:r>
      <w:r w:rsidRPr="00641943">
        <w:t xml:space="preserve"> alternative verification and testing approaches for test cases initially defined in TS 31.121 </w:t>
      </w:r>
      <w:r w:rsidRPr="00641943">
        <w:fldChar w:fldCharType="begin"/>
      </w:r>
      <w:r w:rsidRPr="00641943">
        <w:instrText xml:space="preserve"> REF _Ref62645896 \r \h </w:instrText>
      </w:r>
      <w:r w:rsidRPr="00641943">
        <w:fldChar w:fldCharType="separate"/>
      </w:r>
      <w:r>
        <w:t>[2]</w:t>
      </w:r>
      <w:r w:rsidRPr="00641943">
        <w:fldChar w:fldCharType="end"/>
      </w:r>
      <w:r w:rsidRPr="00641943">
        <w:t>. If no ETSI or 3GPP defined alternative method to verify an existing requirement is available or if the result generated by the proposed verification method is less reliable, this has to be clearly stated in the test description.</w:t>
      </w:r>
    </w:p>
    <w:p w14:paraId="6373718E" w14:textId="77777777" w:rsidR="005155C6" w:rsidRPr="00641943" w:rsidRDefault="005155C6" w:rsidP="005155C6">
      <w:pPr>
        <w:overflowPunct w:val="0"/>
        <w:autoSpaceDE w:val="0"/>
        <w:autoSpaceDN w:val="0"/>
        <w:adjustRightInd w:val="0"/>
        <w:textAlignment w:val="baseline"/>
      </w:pPr>
      <w:r w:rsidRPr="00641943">
        <w:t>Due to possible limitations in profile handling and updating it is not intended to use the test case defined within this document with 2G only MEs</w:t>
      </w:r>
      <w:r>
        <w:t xml:space="preserve"> or MEs implemented in accordance to Rel-12 or earlier</w:t>
      </w:r>
      <w:r w:rsidRPr="00641943">
        <w:t>.</w:t>
      </w:r>
    </w:p>
    <w:p w14:paraId="5ED8468D" w14:textId="77777777" w:rsidR="005155C6" w:rsidRPr="00641943" w:rsidRDefault="005155C6" w:rsidP="005155C6">
      <w:pPr>
        <w:overflowPunct w:val="0"/>
        <w:autoSpaceDE w:val="0"/>
        <w:autoSpaceDN w:val="0"/>
        <w:adjustRightInd w:val="0"/>
        <w:textAlignment w:val="baseline"/>
      </w:pPr>
      <w:r w:rsidRPr="00641943">
        <w:t>A 3GPP ME may support functionality that is not required by 3GPP, but the requirements to do so are outside of the scope of 3GPP. The present document does not contain tests for features that are out of scope of 3GPP.</w:t>
      </w:r>
    </w:p>
    <w:p w14:paraId="2A1773A1" w14:textId="77777777" w:rsidR="005155C6" w:rsidRPr="004D3578" w:rsidRDefault="005155C6" w:rsidP="005155C6">
      <w:pPr>
        <w:overflowPunct w:val="0"/>
        <w:autoSpaceDE w:val="0"/>
        <w:autoSpaceDN w:val="0"/>
        <w:adjustRightInd w:val="0"/>
        <w:textAlignment w:val="baseline"/>
      </w:pPr>
      <w:r w:rsidRPr="00641943">
        <w:t>In the present document, unless explicitly stated otherwise, for Rel-13 onwards the term E-UTRAN implicitly refers to E-UTRAN in WB-S1 mode. E-UTRAN in NB-S1 mode is always explicitly referred to as NB-IoT.</w:t>
      </w:r>
    </w:p>
    <w:p w14:paraId="3CBC6B85" w14:textId="65B470FD" w:rsidR="0045428D" w:rsidRDefault="0045428D" w:rsidP="005155C6">
      <w:pPr>
        <w:rPr>
          <w:b/>
          <w:sz w:val="24"/>
        </w:rPr>
      </w:pPr>
      <w:r>
        <w:rPr>
          <w:b/>
          <w:sz w:val="24"/>
        </w:rPr>
        <w:t xml:space="preserve">Changes since last presentation to </w:t>
      </w:r>
      <w:r w:rsidRPr="00974DB1">
        <w:rPr>
          <w:b/>
          <w:sz w:val="24"/>
        </w:rPr>
        <w:t>TSG</w:t>
      </w:r>
      <w:r>
        <w:rPr>
          <w:b/>
          <w:color w:val="0000FF"/>
          <w:sz w:val="24"/>
        </w:rPr>
        <w:t xml:space="preserve"> </w:t>
      </w:r>
      <w:r>
        <w:rPr>
          <w:b/>
          <w:sz w:val="24"/>
        </w:rPr>
        <w:t>Meeting:</w:t>
      </w:r>
    </w:p>
    <w:p w14:paraId="027B0071" w14:textId="2B267D80" w:rsidR="00974DB1" w:rsidRDefault="005155C6" w:rsidP="00974DB1">
      <w:pPr>
        <w:tabs>
          <w:tab w:val="left" w:pos="3119"/>
        </w:tabs>
      </w:pPr>
      <w:r>
        <w:t>Various test cases were added, the specific UICC configurations to be used for testing became independent of TS 31.121, The wording and the structure used in test cases are aligned</w:t>
      </w:r>
    </w:p>
    <w:p w14:paraId="74AE6EC9" w14:textId="77777777" w:rsidR="0045428D" w:rsidRDefault="0045428D">
      <w:pPr>
        <w:pBdr>
          <w:top w:val="single" w:sz="4" w:space="1" w:color="auto"/>
        </w:pBdr>
        <w:tabs>
          <w:tab w:val="left" w:pos="3119"/>
        </w:tabs>
        <w:rPr>
          <w:b/>
          <w:sz w:val="24"/>
        </w:rPr>
      </w:pPr>
      <w:r>
        <w:rPr>
          <w:b/>
          <w:sz w:val="24"/>
        </w:rPr>
        <w:t>Outstanding Issues:</w:t>
      </w:r>
    </w:p>
    <w:p w14:paraId="476594A6" w14:textId="4405739F" w:rsidR="00974DB1" w:rsidRDefault="005155C6" w:rsidP="00974DB1">
      <w:r>
        <w:t xml:space="preserve">SMS related test cases </w:t>
      </w:r>
      <w:r w:rsidR="00953780">
        <w:t>might be needed to be defined if there is a demand from customers</w:t>
      </w:r>
      <w:r w:rsidR="00974DB1">
        <w:t>.</w:t>
      </w:r>
    </w:p>
    <w:p w14:paraId="54A6D2EC" w14:textId="77777777" w:rsidR="0045428D" w:rsidRDefault="0045428D">
      <w:pPr>
        <w:pBdr>
          <w:top w:val="single" w:sz="4" w:space="1" w:color="auto"/>
        </w:pBdr>
        <w:tabs>
          <w:tab w:val="left" w:pos="3119"/>
        </w:tabs>
        <w:rPr>
          <w:b/>
          <w:sz w:val="24"/>
        </w:rPr>
      </w:pPr>
      <w:r>
        <w:rPr>
          <w:b/>
          <w:sz w:val="24"/>
        </w:rPr>
        <w:t>Contentious Issues:</w:t>
      </w:r>
    </w:p>
    <w:p w14:paraId="54FF8CB3" w14:textId="77777777" w:rsidR="00974DB1" w:rsidRDefault="00974DB1" w:rsidP="00974DB1">
      <w:r>
        <w:t>None.</w:t>
      </w:r>
    </w:p>
    <w:p w14:paraId="71D895F1" w14:textId="77777777" w:rsidR="0045428D" w:rsidRDefault="0045428D">
      <w:pPr>
        <w:tabs>
          <w:tab w:val="left" w:pos="3119"/>
        </w:tabs>
        <w:rPr>
          <w:b/>
          <w:sz w:val="24"/>
        </w:rPr>
      </w:pPr>
    </w:p>
    <w:p w14:paraId="78D37599" w14:textId="77777777" w:rsidR="005F7124" w:rsidRDefault="005F7124" w:rsidP="005F7124">
      <w:pPr>
        <w:tabs>
          <w:tab w:val="left" w:pos="3119"/>
        </w:tabs>
        <w:spacing w:after="0"/>
        <w:rPr>
          <w:sz w:val="16"/>
          <w:szCs w:val="16"/>
          <w:u w:val="single"/>
        </w:rPr>
      </w:pPr>
      <w:r>
        <w:rPr>
          <w:sz w:val="16"/>
          <w:szCs w:val="16"/>
          <w:u w:val="single"/>
        </w:rPr>
        <w:lastRenderedPageBreak/>
        <w:t>Change history of this document:</w:t>
      </w:r>
    </w:p>
    <w:p w14:paraId="63535934" w14:textId="77777777" w:rsidR="005F7124" w:rsidRDefault="005F7124" w:rsidP="005F7124">
      <w:pPr>
        <w:tabs>
          <w:tab w:val="left" w:pos="3119"/>
        </w:tabs>
        <w:spacing w:after="0"/>
        <w:rPr>
          <w:sz w:val="16"/>
          <w:szCs w:val="16"/>
        </w:rPr>
      </w:pPr>
      <w:r>
        <w:rPr>
          <w:sz w:val="16"/>
          <w:szCs w:val="16"/>
        </w:rPr>
        <w:t>1999-11-17: original issue</w:t>
      </w:r>
    </w:p>
    <w:p w14:paraId="0F920C04" w14:textId="77777777" w:rsidR="005F7124" w:rsidRDefault="005F7124" w:rsidP="005F7124">
      <w:pPr>
        <w:tabs>
          <w:tab w:val="left" w:pos="3119"/>
        </w:tabs>
        <w:spacing w:after="0"/>
        <w:rPr>
          <w:sz w:val="16"/>
          <w:szCs w:val="16"/>
        </w:rPr>
      </w:pPr>
      <w:r>
        <w:rPr>
          <w:sz w:val="16"/>
          <w:szCs w:val="16"/>
        </w:rPr>
        <w:t>2007-09-06: removal of references to Working Groups; bring names of TSGs up to date; correction of typo</w:t>
      </w:r>
    </w:p>
    <w:p w14:paraId="70E3AD0C" w14:textId="77777777" w:rsidR="005F7124" w:rsidRDefault="005F7124" w:rsidP="005F7124">
      <w:pPr>
        <w:tabs>
          <w:tab w:val="left" w:pos="3119"/>
        </w:tabs>
        <w:spacing w:after="0"/>
        <w:rPr>
          <w:sz w:val="16"/>
          <w:szCs w:val="16"/>
        </w:rPr>
      </w:pPr>
      <w:r>
        <w:rPr>
          <w:sz w:val="16"/>
          <w:szCs w:val="16"/>
        </w:rPr>
        <w:t>2015-01-06: adds tdoc header &amp; removes redundant information below</w:t>
      </w:r>
    </w:p>
    <w:p w14:paraId="1896F4C9" w14:textId="16DD95E2" w:rsidR="000F7ECB" w:rsidRPr="0045428D" w:rsidRDefault="000F7ECB" w:rsidP="0045428D">
      <w:pPr>
        <w:tabs>
          <w:tab w:val="left" w:pos="3119"/>
        </w:tabs>
        <w:spacing w:after="0"/>
        <w:rPr>
          <w:sz w:val="16"/>
          <w:szCs w:val="16"/>
        </w:rPr>
      </w:pPr>
    </w:p>
    <w:sectPr w:rsidR="000F7ECB" w:rsidRPr="0045428D">
      <w:headerReference w:type="even" r:id="rId7"/>
      <w:headerReference w:type="default" r:id="rId8"/>
      <w:footerReference w:type="even" r:id="rId9"/>
      <w:footerReference w:type="default" r:id="rId10"/>
      <w:headerReference w:type="first" r:id="rId11"/>
      <w:footerReference w:type="first" r:id="rId1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C8D3B" w14:textId="77777777" w:rsidR="00625C94" w:rsidRDefault="00625C94" w:rsidP="0076621A">
      <w:pPr>
        <w:spacing w:after="0"/>
      </w:pPr>
      <w:r>
        <w:separator/>
      </w:r>
    </w:p>
  </w:endnote>
  <w:endnote w:type="continuationSeparator" w:id="0">
    <w:p w14:paraId="5F2FAB8B" w14:textId="77777777" w:rsidR="00625C94" w:rsidRDefault="00625C94" w:rsidP="00766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C10C4" w14:textId="77777777" w:rsidR="0076621A" w:rsidRDefault="00766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8CE8" w14:textId="349A0D0E" w:rsidR="0076621A" w:rsidRDefault="00766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1CBF5" w14:textId="77777777" w:rsidR="0076621A" w:rsidRDefault="00766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76F12" w14:textId="77777777" w:rsidR="00625C94" w:rsidRDefault="00625C94" w:rsidP="0076621A">
      <w:pPr>
        <w:spacing w:after="0"/>
      </w:pPr>
      <w:r>
        <w:separator/>
      </w:r>
    </w:p>
  </w:footnote>
  <w:footnote w:type="continuationSeparator" w:id="0">
    <w:p w14:paraId="6D87ABAC" w14:textId="77777777" w:rsidR="00625C94" w:rsidRDefault="00625C94" w:rsidP="007662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4E71" w14:textId="77777777" w:rsidR="0076621A" w:rsidRDefault="00766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51015" w14:textId="77777777" w:rsidR="0076621A" w:rsidRDefault="00766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A252F" w14:textId="77777777" w:rsidR="0076621A" w:rsidRDefault="00766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296831078">
    <w:abstractNumId w:val="0"/>
  </w:num>
  <w:num w:numId="2" w16cid:durableId="1866362822">
    <w:abstractNumId w:val="4"/>
  </w:num>
  <w:num w:numId="3" w16cid:durableId="1959405430">
    <w:abstractNumId w:val="3"/>
  </w:num>
  <w:num w:numId="4" w16cid:durableId="1046490558">
    <w:abstractNumId w:val="5"/>
  </w:num>
  <w:num w:numId="5" w16cid:durableId="885751511">
    <w:abstractNumId w:val="6"/>
  </w:num>
  <w:num w:numId="6" w16cid:durableId="968392335">
    <w:abstractNumId w:val="2"/>
  </w:num>
  <w:num w:numId="7" w16cid:durableId="849638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201520"/>
    <w:rsid w:val="00222D66"/>
    <w:rsid w:val="00291DC3"/>
    <w:rsid w:val="002B09A1"/>
    <w:rsid w:val="00403B66"/>
    <w:rsid w:val="0045428D"/>
    <w:rsid w:val="005155C6"/>
    <w:rsid w:val="005575A8"/>
    <w:rsid w:val="00560390"/>
    <w:rsid w:val="005B4293"/>
    <w:rsid w:val="005F7124"/>
    <w:rsid w:val="00625C94"/>
    <w:rsid w:val="0076621A"/>
    <w:rsid w:val="00953780"/>
    <w:rsid w:val="00974DB1"/>
    <w:rsid w:val="009F47B8"/>
    <w:rsid w:val="00A72867"/>
    <w:rsid w:val="00CC358C"/>
    <w:rsid w:val="00DC278D"/>
    <w:rsid w:val="00DE7E49"/>
    <w:rsid w:val="00E54CB4"/>
    <w:rsid w:val="00EA1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5575A8"/>
    <w:pPr>
      <w:spacing w:after="120"/>
    </w:pPr>
    <w:rPr>
      <w:rFonts w:ascii="Arial" w:hAnsi="Arial"/>
      <w:lang w:eastAsia="en-US"/>
    </w:rPr>
  </w:style>
  <w:style w:type="character" w:customStyle="1" w:styleId="B1Char1">
    <w:name w:val="B1 Char1"/>
    <w:link w:val="B1"/>
    <w:qFormat/>
    <w:locked/>
    <w:rsid w:val="00974DB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663891">
      <w:bodyDiv w:val="1"/>
      <w:marLeft w:val="0"/>
      <w:marRight w:val="0"/>
      <w:marTop w:val="0"/>
      <w:marBottom w:val="0"/>
      <w:divBdr>
        <w:top w:val="none" w:sz="0" w:space="0" w:color="auto"/>
        <w:left w:val="none" w:sz="0" w:space="0" w:color="auto"/>
        <w:bottom w:val="none" w:sz="0" w:space="0" w:color="auto"/>
        <w:right w:val="none" w:sz="0" w:space="0" w:color="auto"/>
      </w:divBdr>
    </w:div>
    <w:div w:id="697854587">
      <w:bodyDiv w:val="1"/>
      <w:marLeft w:val="0"/>
      <w:marRight w:val="0"/>
      <w:marTop w:val="0"/>
      <w:marBottom w:val="0"/>
      <w:divBdr>
        <w:top w:val="none" w:sz="0" w:space="0" w:color="auto"/>
        <w:left w:val="none" w:sz="0" w:space="0" w:color="auto"/>
        <w:bottom w:val="none" w:sz="0" w:space="0" w:color="auto"/>
        <w:right w:val="none" w:sz="0" w:space="0" w:color="auto"/>
      </w:divBdr>
    </w:div>
    <w:div w:id="1019427019">
      <w:bodyDiv w:val="1"/>
      <w:marLeft w:val="0"/>
      <w:marRight w:val="0"/>
      <w:marTop w:val="0"/>
      <w:marBottom w:val="0"/>
      <w:divBdr>
        <w:top w:val="none" w:sz="0" w:space="0" w:color="auto"/>
        <w:left w:val="none" w:sz="0" w:space="0" w:color="auto"/>
        <w:bottom w:val="none" w:sz="0" w:space="0" w:color="auto"/>
        <w:right w:val="none" w:sz="0" w:space="0" w:color="auto"/>
      </w:divBdr>
    </w:div>
    <w:div w:id="162184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KK/MCC</cp:lastModifiedBy>
  <cp:revision>2</cp:revision>
  <dcterms:created xsi:type="dcterms:W3CDTF">2023-11-30T06:48:00Z</dcterms:created>
  <dcterms:modified xsi:type="dcterms:W3CDTF">2023-11-30T06:48:00Z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2023-11-16T14:05:26Z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6c0cd23a-c63f-4972-b9f1-1acf4878cabf</vt:lpwstr>
  </property>
  <property fmtid="{D5CDD505-2E9C-101B-9397-08002B2CF9AE}" pid="8" name="MSIP_Label_cf20372f-9ab3-4551-9149-9f9b12e2c27e_ContentBits">
    <vt:lpwstr>0</vt:lpwstr>
  </property>
  <property fmtid="{D5CDD505-2E9C-101B-9397-08002B2CF9AE}" pid="9" name="MSIP_Label_5f8610cf-4e4f-4168-a9a0-556235a89a9b_Enabled">
    <vt:lpwstr>true</vt:lpwstr>
  </property>
  <property fmtid="{D5CDD505-2E9C-101B-9397-08002B2CF9AE}" pid="10" name="MSIP_Label_5f8610cf-4e4f-4168-a9a0-556235a89a9b_SetDate">
    <vt:lpwstr>2023-11-16T22:55:50Z</vt:lpwstr>
  </property>
  <property fmtid="{D5CDD505-2E9C-101B-9397-08002B2CF9AE}" pid="11" name="MSIP_Label_5f8610cf-4e4f-4168-a9a0-556235a89a9b_Method">
    <vt:lpwstr>Standard</vt:lpwstr>
  </property>
  <property fmtid="{D5CDD505-2E9C-101B-9397-08002B2CF9AE}" pid="12" name="MSIP_Label_5f8610cf-4e4f-4168-a9a0-556235a89a9b_Name">
    <vt:lpwstr>Unclassified</vt:lpwstr>
  </property>
  <property fmtid="{D5CDD505-2E9C-101B-9397-08002B2CF9AE}" pid="13" name="MSIP_Label_5f8610cf-4e4f-4168-a9a0-556235a89a9b_SiteId">
    <vt:lpwstr>7694d41c-5504-43d9-9e40-cb254ad755ec</vt:lpwstr>
  </property>
  <property fmtid="{D5CDD505-2E9C-101B-9397-08002B2CF9AE}" pid="14" name="MSIP_Label_5f8610cf-4e4f-4168-a9a0-556235a89a9b_ActionId">
    <vt:lpwstr>59753417-6971-4a6c-8d33-5f583b0accfc</vt:lpwstr>
  </property>
  <property fmtid="{D5CDD505-2E9C-101B-9397-08002B2CF9AE}" pid="15" name="MSIP_Label_5f8610cf-4e4f-4168-a9a0-556235a89a9b_ContentBits">
    <vt:lpwstr>0</vt:lpwstr>
  </property>
</Properties>
</file>