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2BAD5F12"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811F72">
        <w:rPr>
          <w:rFonts w:ascii="Arial" w:hAnsi="Arial" w:cs="Arial"/>
          <w:b/>
        </w:rPr>
        <w:t>65</w:t>
      </w:r>
      <w:r>
        <w:rPr>
          <w:rFonts w:ascii="Arial" w:hAnsi="Arial" w:cs="Arial"/>
          <w:b/>
        </w:rPr>
        <w:tab/>
      </w:r>
      <w:r w:rsidR="00FA539F" w:rsidRPr="005C3DB0">
        <w:rPr>
          <w:rFonts w:ascii="Arial" w:hAnsi="Arial" w:cs="Arial"/>
          <w:b/>
        </w:rPr>
        <w:t>S6-25</w:t>
      </w:r>
      <w:r w:rsidR="00FA539F">
        <w:rPr>
          <w:rFonts w:ascii="Arial" w:hAnsi="Arial" w:cs="Arial"/>
          <w:b/>
        </w:rPr>
        <w:t>05</w:t>
      </w:r>
      <w:r w:rsidR="00DC3510">
        <w:rPr>
          <w:rFonts w:ascii="Arial" w:hAnsi="Arial" w:cs="Arial"/>
          <w:b/>
        </w:rPr>
        <w:t>36</w:t>
      </w:r>
    </w:p>
    <w:p w14:paraId="11C88A41" w14:textId="4CBEB350" w:rsidR="001E489F" w:rsidRPr="00410BAC" w:rsidRDefault="00811F72" w:rsidP="00410BAC">
      <w:pPr>
        <w:pBdr>
          <w:bottom w:val="single" w:sz="4" w:space="1" w:color="auto"/>
        </w:pBdr>
        <w:tabs>
          <w:tab w:val="right" w:pos="9214"/>
        </w:tabs>
        <w:rPr>
          <w:rFonts w:ascii="Arial" w:hAnsi="Arial" w:cs="Arial"/>
          <w:b/>
        </w:rPr>
      </w:pPr>
      <w:r w:rsidRPr="00811F72">
        <w:rPr>
          <w:rFonts w:ascii="Arial" w:hAnsi="Arial" w:cs="Arial"/>
          <w:b/>
        </w:rPr>
        <w:t>Athens</w:t>
      </w:r>
      <w:r w:rsidR="00FF44E4" w:rsidRPr="00811F72">
        <w:rPr>
          <w:rFonts w:ascii="Arial" w:hAnsi="Arial" w:cs="Arial"/>
          <w:b/>
        </w:rPr>
        <w:t xml:space="preserve">, </w:t>
      </w:r>
      <w:r w:rsidRPr="00811F72">
        <w:rPr>
          <w:rFonts w:ascii="Arial" w:hAnsi="Arial" w:cs="Arial"/>
          <w:b/>
        </w:rPr>
        <w:t>Greece</w:t>
      </w:r>
      <w:r w:rsidR="00FF44E4" w:rsidRPr="00811F72">
        <w:rPr>
          <w:rFonts w:ascii="Arial" w:hAnsi="Arial" w:cs="Arial"/>
          <w:b/>
        </w:rPr>
        <w:t>,</w:t>
      </w:r>
      <w:r w:rsidR="00410BAC" w:rsidRPr="00811F72">
        <w:rPr>
          <w:rFonts w:ascii="Arial" w:hAnsi="Arial" w:cs="Arial"/>
          <w:b/>
        </w:rPr>
        <w:t xml:space="preserve"> </w:t>
      </w:r>
      <w:r w:rsidRPr="00811F72">
        <w:rPr>
          <w:rFonts w:ascii="Arial" w:hAnsi="Arial" w:cs="Arial"/>
          <w:b/>
        </w:rPr>
        <w:t>17</w:t>
      </w:r>
      <w:r w:rsidR="00410BAC" w:rsidRPr="00811F72">
        <w:rPr>
          <w:rFonts w:ascii="Arial" w:hAnsi="Arial" w:cs="Arial"/>
          <w:b/>
          <w:vertAlign w:val="superscript"/>
        </w:rPr>
        <w:t>th</w:t>
      </w:r>
      <w:r w:rsidR="00410BAC" w:rsidRPr="00811F72">
        <w:rPr>
          <w:rFonts w:ascii="Arial" w:hAnsi="Arial" w:cs="Arial"/>
          <w:b/>
        </w:rPr>
        <w:t xml:space="preserve"> – </w:t>
      </w:r>
      <w:r w:rsidRPr="00811F72">
        <w:rPr>
          <w:rFonts w:ascii="Arial" w:hAnsi="Arial" w:cs="Arial"/>
          <w:b/>
        </w:rPr>
        <w:t>21</w:t>
      </w:r>
      <w:r w:rsidRPr="00811F72">
        <w:rPr>
          <w:rFonts w:ascii="Arial" w:hAnsi="Arial" w:cs="Arial"/>
          <w:b/>
          <w:vertAlign w:val="superscript"/>
        </w:rPr>
        <w:t>st</w:t>
      </w:r>
      <w:r w:rsidRPr="00811F72">
        <w:rPr>
          <w:rFonts w:ascii="Arial" w:hAnsi="Arial" w:cs="Arial"/>
          <w:b/>
        </w:rPr>
        <w:t xml:space="preserve"> Feb</w:t>
      </w:r>
      <w:r w:rsidR="00410BAC" w:rsidRPr="00811F72">
        <w:rPr>
          <w:rFonts w:ascii="Arial" w:hAnsi="Arial" w:cs="Arial"/>
          <w:b/>
        </w:rPr>
        <w:t xml:space="preserve"> 202</w:t>
      </w:r>
      <w:r w:rsidR="00C613C7" w:rsidRPr="00811F72">
        <w:rPr>
          <w:rFonts w:ascii="Arial" w:hAnsi="Arial" w:cs="Arial"/>
          <w:b/>
        </w:rPr>
        <w:t>5</w:t>
      </w:r>
      <w:r w:rsidR="00410BAC">
        <w:rPr>
          <w:rFonts w:ascii="Arial" w:hAnsi="Arial" w:cs="Arial"/>
          <w:b/>
        </w:rPr>
        <w:tab/>
      </w:r>
      <w:r w:rsidR="0090660B">
        <w:rPr>
          <w:rFonts w:ascii="Arial" w:hAnsi="Arial" w:cs="Arial"/>
          <w:b/>
        </w:rPr>
        <w:t>(revision of S6-250236</w:t>
      </w:r>
      <w:r w:rsidR="00FA539F">
        <w:rPr>
          <w:rFonts w:ascii="Arial" w:hAnsi="Arial" w:cs="Arial"/>
          <w:b/>
        </w:rPr>
        <w:t>,</w:t>
      </w:r>
      <w:r w:rsidR="00FA539F" w:rsidRPr="00FA539F">
        <w:rPr>
          <w:rFonts w:ascii="Arial" w:hAnsi="Arial" w:cs="Arial"/>
          <w:b/>
        </w:rPr>
        <w:t xml:space="preserve"> </w:t>
      </w:r>
      <w:r w:rsidR="00FA539F" w:rsidRPr="005C3DB0">
        <w:rPr>
          <w:rFonts w:ascii="Arial" w:hAnsi="Arial" w:cs="Arial"/>
          <w:b/>
        </w:rPr>
        <w:t>S6-25</w:t>
      </w:r>
      <w:r w:rsidR="00FA539F">
        <w:rPr>
          <w:rFonts w:ascii="Arial" w:hAnsi="Arial" w:cs="Arial"/>
          <w:b/>
        </w:rPr>
        <w:t>0420</w:t>
      </w:r>
      <w:r w:rsidR="00DC3510">
        <w:rPr>
          <w:rFonts w:ascii="Arial" w:hAnsi="Arial" w:cs="Arial"/>
          <w:b/>
        </w:rPr>
        <w:t>,</w:t>
      </w:r>
      <w:r w:rsidR="00DC3510" w:rsidRPr="005C3DB0">
        <w:rPr>
          <w:rFonts w:ascii="Arial" w:hAnsi="Arial" w:cs="Arial"/>
          <w:b/>
        </w:rPr>
        <w:t>S6-25</w:t>
      </w:r>
      <w:r w:rsidR="00DC3510">
        <w:rPr>
          <w:rFonts w:ascii="Arial" w:hAnsi="Arial" w:cs="Arial"/>
          <w:b/>
        </w:rPr>
        <w:t>0505</w:t>
      </w:r>
      <w:r w:rsidR="0090660B">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DA47CC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613C7">
        <w:rPr>
          <w:rFonts w:ascii="Arial" w:eastAsia="Batang" w:hAnsi="Arial"/>
          <w:b/>
          <w:sz w:val="24"/>
          <w:szCs w:val="24"/>
          <w:lang w:val="en-US" w:eastAsia="zh-CN"/>
        </w:rPr>
        <w:t>SA6</w:t>
      </w:r>
    </w:p>
    <w:p w14:paraId="49D92DA3" w14:textId="3F36A6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1D53">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E96ECD" w:rsidRPr="00E96ECD">
        <w:rPr>
          <w:rFonts w:ascii="Arial" w:eastAsia="Batang" w:hAnsi="Arial" w:cs="Arial"/>
          <w:b/>
          <w:sz w:val="24"/>
          <w:szCs w:val="24"/>
          <w:lang w:eastAsia="zh-CN"/>
        </w:rPr>
        <w:t xml:space="preserve">application enablement layer </w:t>
      </w:r>
      <w:r w:rsidR="005267B3">
        <w:rPr>
          <w:rFonts w:ascii="Arial" w:eastAsia="Batang" w:hAnsi="Arial" w:cs="Arial"/>
          <w:b/>
          <w:sz w:val="24"/>
          <w:szCs w:val="24"/>
          <w:lang w:eastAsia="zh-CN"/>
        </w:rPr>
        <w:t>consolidation</w:t>
      </w:r>
      <w:r w:rsidR="00E96ECD" w:rsidRPr="00E96ECD">
        <w:rPr>
          <w:rFonts w:ascii="Arial" w:eastAsia="Batang" w:hAnsi="Arial" w:cs="Arial"/>
          <w:b/>
          <w:sz w:val="24"/>
          <w:szCs w:val="24"/>
          <w:lang w:eastAsia="zh-CN"/>
        </w:rPr>
        <w:t xml:space="preserve"> for IoT</w:t>
      </w:r>
    </w:p>
    <w:p w14:paraId="66ACF610" w14:textId="761546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A40AD">
        <w:rPr>
          <w:rFonts w:ascii="Arial" w:eastAsia="Batang" w:hAnsi="Arial"/>
          <w:b/>
          <w:sz w:val="24"/>
          <w:szCs w:val="24"/>
          <w:lang w:val="en-US" w:eastAsia="zh-CN"/>
        </w:rPr>
        <w:t>Agreement</w:t>
      </w:r>
    </w:p>
    <w:p w14:paraId="1468BC60" w14:textId="6EC9A0D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246" w:rsidRPr="00460C99">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2E83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FA539F">
        <w:rPr>
          <w:rFonts w:ascii="Arial" w:eastAsia="Times New Roman" w:hAnsi="Arial" w:cs="Times New Roman"/>
          <w:color w:val="auto"/>
          <w:sz w:val="36"/>
          <w:szCs w:val="20"/>
          <w:lang w:eastAsia="ja-JP"/>
        </w:rPr>
        <w:t>A</w:t>
      </w:r>
      <w:r w:rsidR="00DB000B">
        <w:rPr>
          <w:rFonts w:ascii="Arial" w:eastAsia="Times New Roman" w:hAnsi="Arial" w:cs="Times New Roman"/>
          <w:color w:val="auto"/>
          <w:sz w:val="36"/>
          <w:szCs w:val="20"/>
          <w:lang w:eastAsia="ja-JP"/>
        </w:rPr>
        <w:t xml:space="preserve">pplication </w:t>
      </w:r>
      <w:r w:rsidR="005652BD">
        <w:rPr>
          <w:rFonts w:ascii="Arial" w:eastAsia="Times New Roman" w:hAnsi="Arial" w:cs="Times New Roman"/>
          <w:color w:val="auto"/>
          <w:sz w:val="36"/>
          <w:szCs w:val="20"/>
          <w:lang w:eastAsia="ja-JP"/>
        </w:rPr>
        <w:t xml:space="preserve">enablement </w:t>
      </w:r>
      <w:r w:rsidR="00DB000B">
        <w:rPr>
          <w:rFonts w:ascii="Arial" w:eastAsia="Times New Roman" w:hAnsi="Arial" w:cs="Times New Roman"/>
          <w:color w:val="auto"/>
          <w:sz w:val="36"/>
          <w:szCs w:val="20"/>
          <w:lang w:eastAsia="ja-JP"/>
        </w:rPr>
        <w:t xml:space="preserve">layer </w:t>
      </w:r>
      <w:r w:rsidR="005267B3">
        <w:rPr>
          <w:rFonts w:ascii="Arial" w:eastAsia="Times New Roman" w:hAnsi="Arial" w:cs="Times New Roman"/>
          <w:color w:val="auto"/>
          <w:sz w:val="36"/>
          <w:szCs w:val="20"/>
          <w:lang w:eastAsia="ja-JP"/>
        </w:rPr>
        <w:t xml:space="preserve">consolidation </w:t>
      </w:r>
      <w:r w:rsidR="008856F6">
        <w:rPr>
          <w:rFonts w:ascii="Arial" w:eastAsia="Times New Roman" w:hAnsi="Arial" w:cs="Times New Roman"/>
          <w:color w:val="auto"/>
          <w:sz w:val="36"/>
          <w:szCs w:val="20"/>
          <w:lang w:eastAsia="ja-JP"/>
        </w:rPr>
        <w:t>for IoT</w:t>
      </w:r>
    </w:p>
    <w:p w14:paraId="1845B441" w14:textId="6C947270" w:rsidR="001E489F" w:rsidRPr="00BA3A53" w:rsidRDefault="001E489F" w:rsidP="001E489F">
      <w:pPr>
        <w:pStyle w:val="Guidance"/>
      </w:pPr>
    </w:p>
    <w:p w14:paraId="4520DCE2" w14:textId="23B931DA" w:rsidR="001E489F" w:rsidRPr="005267B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267B3">
        <w:rPr>
          <w:rFonts w:ascii="Arial" w:eastAsia="Times New Roman" w:hAnsi="Arial" w:cs="Times New Roman"/>
          <w:color w:val="auto"/>
          <w:sz w:val="36"/>
          <w:szCs w:val="20"/>
          <w:lang w:val="en-US" w:eastAsia="ja-JP"/>
        </w:rPr>
        <w:t>Acronym:</w:t>
      </w:r>
      <w:r w:rsidRPr="005267B3">
        <w:rPr>
          <w:rFonts w:ascii="Arial" w:eastAsia="Times New Roman" w:hAnsi="Arial" w:cs="Times New Roman"/>
          <w:color w:val="auto"/>
          <w:sz w:val="36"/>
          <w:szCs w:val="20"/>
          <w:lang w:val="en-US" w:eastAsia="ja-JP"/>
        </w:rPr>
        <w:tab/>
      </w:r>
      <w:r w:rsidR="00875BDF" w:rsidRPr="005267B3">
        <w:rPr>
          <w:rFonts w:ascii="Arial" w:eastAsia="Times New Roman" w:hAnsi="Arial" w:cs="Times New Roman"/>
          <w:color w:val="auto"/>
          <w:sz w:val="36"/>
          <w:szCs w:val="20"/>
          <w:lang w:val="en-US" w:eastAsia="ja-JP"/>
        </w:rPr>
        <w:t>FS_</w:t>
      </w:r>
      <w:r w:rsidR="00612445" w:rsidRPr="005267B3">
        <w:rPr>
          <w:rFonts w:ascii="Arial" w:eastAsia="Times New Roman" w:hAnsi="Arial" w:cs="Times New Roman"/>
          <w:color w:val="auto"/>
          <w:sz w:val="36"/>
          <w:szCs w:val="20"/>
          <w:lang w:val="en-US" w:eastAsia="ja-JP"/>
        </w:rPr>
        <w:t>IOT</w:t>
      </w:r>
      <w:r w:rsidR="006E36DE" w:rsidRPr="005267B3">
        <w:rPr>
          <w:rFonts w:ascii="Arial" w:eastAsia="Times New Roman" w:hAnsi="Arial" w:cs="Times New Roman"/>
          <w:color w:val="auto"/>
          <w:sz w:val="36"/>
          <w:szCs w:val="20"/>
          <w:lang w:val="en-US" w:eastAsia="ja-JP"/>
        </w:rPr>
        <w:t>_</w:t>
      </w:r>
      <w:r w:rsidR="00612445" w:rsidRPr="005267B3">
        <w:rPr>
          <w:rFonts w:ascii="Arial" w:eastAsia="Times New Roman" w:hAnsi="Arial" w:cs="Times New Roman"/>
          <w:color w:val="auto"/>
          <w:sz w:val="36"/>
          <w:szCs w:val="20"/>
          <w:lang w:val="en-US" w:eastAsia="ja-JP"/>
        </w:rPr>
        <w:t>APP</w:t>
      </w:r>
    </w:p>
    <w:p w14:paraId="18C69795" w14:textId="21083269" w:rsidR="001E489F" w:rsidRPr="005267B3" w:rsidRDefault="001E489F" w:rsidP="001E489F">
      <w:pPr>
        <w:pStyle w:val="Guidance"/>
        <w:rPr>
          <w:lang w:val="en-US"/>
        </w:rPr>
      </w:pPr>
    </w:p>
    <w:p w14:paraId="15B1DB90" w14:textId="1B11DDE3" w:rsidR="001E489F" w:rsidRPr="005267B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267B3">
        <w:rPr>
          <w:rFonts w:ascii="Arial" w:eastAsia="Times New Roman" w:hAnsi="Arial" w:cs="Times New Roman"/>
          <w:color w:val="auto"/>
          <w:sz w:val="36"/>
          <w:szCs w:val="20"/>
          <w:lang w:val="en-US" w:eastAsia="ja-JP"/>
        </w:rPr>
        <w:t>Unique identifier:</w:t>
      </w:r>
      <w:r w:rsidRPr="005267B3">
        <w:rPr>
          <w:rFonts w:ascii="Arial" w:eastAsia="Times New Roman" w:hAnsi="Arial" w:cs="Times New Roman"/>
          <w:color w:val="auto"/>
          <w:sz w:val="36"/>
          <w:szCs w:val="20"/>
          <w:lang w:val="en-US" w:eastAsia="ja-JP"/>
        </w:rPr>
        <w:tab/>
      </w:r>
      <w:r w:rsidR="006E36DE" w:rsidRPr="005267B3">
        <w:rPr>
          <w:rFonts w:ascii="Arial" w:eastAsia="Times New Roman" w:hAnsi="Arial" w:cs="Times New Roman"/>
          <w:color w:val="auto"/>
          <w:sz w:val="36"/>
          <w:szCs w:val="20"/>
          <w:lang w:val="en-US" w:eastAsia="ja-JP"/>
        </w:rPr>
        <w:t>TBI</w:t>
      </w:r>
    </w:p>
    <w:p w14:paraId="6340F223" w14:textId="28685F29" w:rsidR="001E489F" w:rsidRPr="005267B3" w:rsidRDefault="001E489F" w:rsidP="001E489F">
      <w:pPr>
        <w:pStyle w:val="Guidance"/>
        <w:rPr>
          <w:lang w:val="en-US"/>
        </w:rPr>
      </w:pPr>
    </w:p>
    <w:p w14:paraId="4D9605DA" w14:textId="1A8A49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25F6">
        <w:rPr>
          <w:rFonts w:ascii="Arial" w:eastAsia="Times New Roman" w:hAnsi="Arial" w:cs="Times New Roman"/>
          <w:color w:val="auto"/>
          <w:sz w:val="36"/>
          <w:szCs w:val="20"/>
          <w:lang w:eastAsia="ja-JP"/>
        </w:rPr>
        <w:t>20</w:t>
      </w:r>
    </w:p>
    <w:p w14:paraId="0F6B4D92" w14:textId="462440C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12943F" w:rsidR="001E489F" w:rsidRDefault="00396FF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ECEF42F" w:rsidR="001E489F" w:rsidRDefault="00250066" w:rsidP="005875D6">
            <w:pPr>
              <w:pStyle w:val="TAC"/>
            </w:pPr>
            <w:r w:rsidRPr="005267B3">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7BDC3F0" w:rsidR="001E489F" w:rsidRDefault="00396FFA"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2379366" w:rsidR="001E489F" w:rsidRDefault="00FC52D8" w:rsidP="005875D6">
            <w:pPr>
              <w:pStyle w:val="TAC"/>
            </w:pPr>
            <w:r>
              <w:t>X</w:t>
            </w:r>
          </w:p>
        </w:tc>
        <w:tc>
          <w:tcPr>
            <w:tcW w:w="851" w:type="dxa"/>
          </w:tcPr>
          <w:p w14:paraId="02A432F3" w14:textId="60FA5655"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91E64F5" w:rsidR="001E489F" w:rsidRDefault="00FC52D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19D7B9" w:rsidR="007861B8" w:rsidRDefault="00892BB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w:t>
      </w:r>
      <w:r w:rsidRPr="005267B3">
        <w:t>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848071" w:rsidR="001E489F" w:rsidRDefault="00B26CA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2F7C43">
              <w:t>Other related Work /Study Items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B81714">
        <w:trPr>
          <w:cantSplit/>
          <w:jc w:val="center"/>
        </w:trPr>
        <w:tc>
          <w:tcPr>
            <w:tcW w:w="1101" w:type="dxa"/>
            <w:shd w:val="clear" w:color="auto" w:fill="auto"/>
          </w:tcPr>
          <w:p w14:paraId="2A3B29D4" w14:textId="6D7D2C1A" w:rsidR="001E489F" w:rsidRPr="000B6FDF" w:rsidRDefault="00B81714" w:rsidP="00591752">
            <w:pPr>
              <w:rPr>
                <w:rFonts w:ascii="Arial" w:hAnsi="Arial" w:cs="Arial"/>
                <w:sz w:val="18"/>
                <w:szCs w:val="18"/>
                <w:lang w:val="en-US"/>
              </w:rPr>
            </w:pPr>
            <w:r w:rsidRPr="000B6FDF">
              <w:rPr>
                <w:rFonts w:ascii="Arial" w:hAnsi="Arial" w:cs="Arial"/>
                <w:sz w:val="18"/>
                <w:szCs w:val="18"/>
                <w:lang w:val="en-US"/>
              </w:rPr>
              <w:t>720005</w:t>
            </w:r>
          </w:p>
        </w:tc>
        <w:tc>
          <w:tcPr>
            <w:tcW w:w="3326" w:type="dxa"/>
            <w:shd w:val="clear" w:color="auto" w:fill="auto"/>
          </w:tcPr>
          <w:p w14:paraId="3AC061FD" w14:textId="46713E46" w:rsidR="001E489F" w:rsidRPr="000B6FDF" w:rsidRDefault="0078158F" w:rsidP="00591752">
            <w:pPr>
              <w:rPr>
                <w:rFonts w:ascii="Arial" w:hAnsi="Arial" w:cs="Arial"/>
                <w:sz w:val="18"/>
                <w:szCs w:val="18"/>
                <w:lang w:val="en-US"/>
              </w:rPr>
            </w:pPr>
            <w:r w:rsidRPr="0078158F">
              <w:rPr>
                <w:rFonts w:ascii="Arial" w:hAnsi="Arial" w:cs="Arial"/>
                <w:sz w:val="18"/>
                <w:szCs w:val="18"/>
                <w:lang w:val="en-US"/>
              </w:rPr>
              <w:t>Services and Markets Technology Enablers</w:t>
            </w:r>
          </w:p>
        </w:tc>
        <w:tc>
          <w:tcPr>
            <w:tcW w:w="5099" w:type="dxa"/>
            <w:shd w:val="clear" w:color="auto" w:fill="auto"/>
          </w:tcPr>
          <w:p w14:paraId="017BF4B1" w14:textId="1CD31C3D" w:rsidR="001E489F" w:rsidRPr="000B6FDF" w:rsidRDefault="0078158F" w:rsidP="00591752">
            <w:pPr>
              <w:rPr>
                <w:rFonts w:ascii="Arial" w:hAnsi="Arial" w:cs="Arial"/>
                <w:i/>
                <w:iCs/>
                <w:sz w:val="18"/>
                <w:szCs w:val="18"/>
                <w:lang w:val="en-US"/>
              </w:rPr>
            </w:pPr>
            <w:r>
              <w:rPr>
                <w:rFonts w:ascii="Arial" w:hAnsi="Arial" w:cs="Arial"/>
                <w:i/>
                <w:iCs/>
                <w:sz w:val="18"/>
                <w:szCs w:val="18"/>
                <w:lang w:val="en-US"/>
              </w:rPr>
              <w:t>Stage 1 normative s</w:t>
            </w:r>
            <w:r w:rsidR="00B81714" w:rsidRPr="000B6FDF">
              <w:rPr>
                <w:rFonts w:ascii="Arial" w:hAnsi="Arial" w:cs="Arial"/>
                <w:i/>
                <w:iCs/>
                <w:sz w:val="18"/>
                <w:szCs w:val="18"/>
                <w:lang w:val="en-US"/>
              </w:rPr>
              <w:t xml:space="preserve">ervice requirements for </w:t>
            </w:r>
            <w:r>
              <w:rPr>
                <w:rFonts w:ascii="Arial" w:hAnsi="Arial" w:cs="Arial"/>
                <w:i/>
                <w:iCs/>
                <w:sz w:val="18"/>
                <w:szCs w:val="18"/>
                <w:lang w:val="en-US"/>
              </w:rPr>
              <w:t>IoT in the 5G system</w:t>
            </w:r>
            <w:r w:rsidR="00B81714" w:rsidRPr="000B6FDF">
              <w:rPr>
                <w:rFonts w:ascii="Arial" w:hAnsi="Arial" w:cs="Arial"/>
                <w:i/>
                <w:iCs/>
                <w:sz w:val="18"/>
                <w:szCs w:val="18"/>
                <w:lang w:val="en-US"/>
              </w:rPr>
              <w:t>.</w:t>
            </w:r>
          </w:p>
        </w:tc>
      </w:tr>
      <w:tr w:rsidR="00B81714" w14:paraId="2283EBAD" w14:textId="77777777" w:rsidTr="00B81714">
        <w:trPr>
          <w:cantSplit/>
          <w:jc w:val="center"/>
        </w:trPr>
        <w:tc>
          <w:tcPr>
            <w:tcW w:w="1101" w:type="dxa"/>
            <w:shd w:val="clear" w:color="auto" w:fill="auto"/>
          </w:tcPr>
          <w:p w14:paraId="575FA070" w14:textId="0B51A041" w:rsidR="00B81714" w:rsidRPr="000B6FDF" w:rsidRDefault="00591752" w:rsidP="00591752">
            <w:pPr>
              <w:rPr>
                <w:rFonts w:ascii="Arial" w:hAnsi="Arial" w:cs="Arial"/>
                <w:sz w:val="18"/>
                <w:szCs w:val="18"/>
                <w:lang w:val="en-US"/>
              </w:rPr>
            </w:pPr>
            <w:r w:rsidRPr="000B6FDF">
              <w:rPr>
                <w:rFonts w:ascii="Arial" w:hAnsi="Arial" w:cs="Arial"/>
                <w:sz w:val="18"/>
                <w:szCs w:val="18"/>
                <w:lang w:val="en-US"/>
              </w:rPr>
              <w:t>980052</w:t>
            </w:r>
          </w:p>
        </w:tc>
        <w:tc>
          <w:tcPr>
            <w:tcW w:w="3326" w:type="dxa"/>
            <w:shd w:val="clear" w:color="auto" w:fill="auto"/>
          </w:tcPr>
          <w:p w14:paraId="0A9AD1BE" w14:textId="11C43BB4" w:rsidR="00B81714" w:rsidRPr="000B6FDF" w:rsidRDefault="00070C44" w:rsidP="00591752">
            <w:pPr>
              <w:rPr>
                <w:rFonts w:ascii="Arial" w:hAnsi="Arial" w:cs="Arial"/>
                <w:sz w:val="18"/>
                <w:szCs w:val="18"/>
                <w:lang w:val="en-US"/>
              </w:rPr>
            </w:pPr>
            <w:r w:rsidRPr="000B6FDF">
              <w:rPr>
                <w:rFonts w:ascii="Arial" w:hAnsi="Arial" w:cs="Arial"/>
                <w:sz w:val="18"/>
                <w:szCs w:val="18"/>
                <w:lang w:val="en-US"/>
              </w:rPr>
              <w:t xml:space="preserve">Application </w:t>
            </w:r>
            <w:r w:rsidR="00591752" w:rsidRPr="000B6FDF">
              <w:rPr>
                <w:rFonts w:ascii="Arial" w:hAnsi="Arial" w:cs="Arial"/>
                <w:sz w:val="18"/>
                <w:szCs w:val="18"/>
                <w:lang w:val="en-US"/>
              </w:rPr>
              <w:t xml:space="preserve">enablement for </w:t>
            </w:r>
            <w:r w:rsidR="00792820">
              <w:rPr>
                <w:rFonts w:ascii="Arial" w:hAnsi="Arial" w:cs="Arial"/>
                <w:sz w:val="18"/>
                <w:szCs w:val="18"/>
                <w:lang w:val="en-US"/>
              </w:rPr>
              <w:t>PIN</w:t>
            </w:r>
          </w:p>
        </w:tc>
        <w:tc>
          <w:tcPr>
            <w:tcW w:w="5099" w:type="dxa"/>
            <w:shd w:val="clear" w:color="auto" w:fill="auto"/>
          </w:tcPr>
          <w:p w14:paraId="706D0C76" w14:textId="39CD7D7D" w:rsidR="00B81714" w:rsidRPr="000B6FDF" w:rsidRDefault="000B6FDF" w:rsidP="00591752">
            <w:pPr>
              <w:rPr>
                <w:rFonts w:ascii="Arial" w:hAnsi="Arial" w:cs="Arial"/>
                <w:i/>
                <w:iCs/>
                <w:sz w:val="18"/>
                <w:szCs w:val="18"/>
                <w:lang w:val="en-US"/>
              </w:rPr>
            </w:pPr>
            <w:r>
              <w:rPr>
                <w:rFonts w:ascii="Arial" w:hAnsi="Arial" w:cs="Arial"/>
                <w:i/>
                <w:iCs/>
                <w:sz w:val="18"/>
                <w:szCs w:val="18"/>
                <w:lang w:val="en-US"/>
              </w:rPr>
              <w:t>Stage</w:t>
            </w:r>
            <w:r w:rsidR="0078158F">
              <w:rPr>
                <w:rFonts w:ascii="Arial" w:hAnsi="Arial" w:cs="Arial"/>
                <w:i/>
                <w:iCs/>
                <w:sz w:val="18"/>
                <w:szCs w:val="18"/>
                <w:lang w:val="en-US"/>
              </w:rPr>
              <w:t xml:space="preserve"> </w:t>
            </w:r>
            <w:r>
              <w:rPr>
                <w:rFonts w:ascii="Arial" w:hAnsi="Arial" w:cs="Arial"/>
                <w:i/>
                <w:iCs/>
                <w:sz w:val="18"/>
                <w:szCs w:val="18"/>
                <w:lang w:val="en-US"/>
              </w:rPr>
              <w:t xml:space="preserve">2 normative for Personal </w:t>
            </w:r>
            <w:r w:rsidR="00591752" w:rsidRPr="000B6FDF">
              <w:rPr>
                <w:rFonts w:ascii="Arial" w:hAnsi="Arial" w:cs="Arial"/>
                <w:i/>
                <w:iCs/>
                <w:sz w:val="18"/>
                <w:szCs w:val="18"/>
                <w:lang w:val="en-US"/>
              </w:rPr>
              <w:t xml:space="preserve">IoT </w:t>
            </w:r>
            <w:r>
              <w:rPr>
                <w:rFonts w:ascii="Arial" w:hAnsi="Arial" w:cs="Arial"/>
                <w:i/>
                <w:iCs/>
                <w:sz w:val="18"/>
                <w:szCs w:val="18"/>
                <w:lang w:val="en-US"/>
              </w:rPr>
              <w:t>Networks</w:t>
            </w:r>
            <w:r w:rsidR="00591752" w:rsidRPr="000B6FDF">
              <w:rPr>
                <w:rFonts w:ascii="Arial" w:hAnsi="Arial" w:cs="Arial"/>
                <w:i/>
                <w:iCs/>
                <w:sz w:val="18"/>
                <w:szCs w:val="18"/>
                <w:lang w:val="en-US"/>
              </w:rPr>
              <w:t>.</w:t>
            </w:r>
          </w:p>
        </w:tc>
      </w:tr>
      <w:tr w:rsidR="00591752" w14:paraId="0EDC6303" w14:textId="77777777" w:rsidTr="00B81714">
        <w:trPr>
          <w:cantSplit/>
          <w:jc w:val="center"/>
        </w:trPr>
        <w:tc>
          <w:tcPr>
            <w:tcW w:w="1101" w:type="dxa"/>
            <w:shd w:val="clear" w:color="auto" w:fill="auto"/>
          </w:tcPr>
          <w:p w14:paraId="146C6209" w14:textId="3035694A" w:rsidR="00591752" w:rsidRPr="000B6FDF" w:rsidRDefault="00591752" w:rsidP="00591752">
            <w:pPr>
              <w:rPr>
                <w:rFonts w:ascii="Arial" w:hAnsi="Arial" w:cs="Arial"/>
                <w:color w:val="000000"/>
                <w:sz w:val="18"/>
                <w:szCs w:val="18"/>
                <w:lang w:val="en-US"/>
              </w:rPr>
            </w:pPr>
            <w:r w:rsidRPr="000B6FDF">
              <w:rPr>
                <w:rFonts w:ascii="Arial" w:hAnsi="Arial" w:cs="Arial"/>
                <w:color w:val="000000"/>
                <w:sz w:val="18"/>
                <w:szCs w:val="18"/>
                <w:lang w:val="en-US"/>
              </w:rPr>
              <w:t>1010007</w:t>
            </w:r>
          </w:p>
        </w:tc>
        <w:tc>
          <w:tcPr>
            <w:tcW w:w="3326" w:type="dxa"/>
            <w:shd w:val="clear" w:color="auto" w:fill="auto"/>
          </w:tcPr>
          <w:p w14:paraId="1CF9B104" w14:textId="6CDB01FA" w:rsidR="00591752" w:rsidRPr="000B6FDF" w:rsidRDefault="000B6FDF" w:rsidP="00591752">
            <w:pPr>
              <w:rPr>
                <w:rFonts w:ascii="Arial" w:hAnsi="Arial" w:cs="Arial"/>
                <w:color w:val="000000"/>
                <w:sz w:val="18"/>
                <w:szCs w:val="18"/>
                <w:lang w:val="en-US"/>
              </w:rPr>
            </w:pPr>
            <w:r w:rsidRPr="000B6FDF">
              <w:rPr>
                <w:rFonts w:ascii="Arial" w:hAnsi="Arial" w:cs="Arial"/>
                <w:color w:val="000000"/>
                <w:sz w:val="18"/>
                <w:szCs w:val="18"/>
                <w:lang w:val="en-US"/>
              </w:rPr>
              <w:t>Application enablement for Edge</w:t>
            </w:r>
          </w:p>
        </w:tc>
        <w:tc>
          <w:tcPr>
            <w:tcW w:w="5099" w:type="dxa"/>
            <w:shd w:val="clear" w:color="auto" w:fill="auto"/>
          </w:tcPr>
          <w:p w14:paraId="320898D8" w14:textId="1B53F629" w:rsidR="00591752" w:rsidRPr="000B6FDF" w:rsidRDefault="000B6FDF" w:rsidP="00591752">
            <w:pPr>
              <w:rPr>
                <w:rFonts w:ascii="Arial" w:hAnsi="Arial" w:cs="Arial"/>
                <w:i/>
                <w:iCs/>
                <w:sz w:val="18"/>
                <w:szCs w:val="18"/>
                <w:lang w:val="en-US"/>
              </w:rPr>
            </w:pPr>
            <w:r>
              <w:rPr>
                <w:rFonts w:ascii="Arial" w:hAnsi="Arial" w:cs="Arial"/>
                <w:i/>
                <w:iCs/>
                <w:sz w:val="18"/>
                <w:szCs w:val="18"/>
                <w:lang w:val="en-US"/>
              </w:rPr>
              <w:t>Stage 2 normative for Edge</w:t>
            </w:r>
            <w:r w:rsidR="00792820">
              <w:rPr>
                <w:rFonts w:ascii="Arial" w:hAnsi="Arial" w:cs="Arial"/>
                <w:i/>
                <w:iCs/>
                <w:sz w:val="18"/>
                <w:szCs w:val="18"/>
                <w:lang w:val="en-US"/>
              </w:rPr>
              <w:t xml:space="preserve"> application enablers.</w:t>
            </w:r>
          </w:p>
        </w:tc>
      </w:tr>
      <w:tr w:rsidR="000B6FDF" w14:paraId="056650BC" w14:textId="77777777" w:rsidTr="00B81714">
        <w:trPr>
          <w:cantSplit/>
          <w:jc w:val="center"/>
        </w:trPr>
        <w:tc>
          <w:tcPr>
            <w:tcW w:w="1101" w:type="dxa"/>
            <w:shd w:val="clear" w:color="auto" w:fill="auto"/>
          </w:tcPr>
          <w:p w14:paraId="16E05AE3" w14:textId="77777777" w:rsidR="000B6FDF" w:rsidRPr="000B6FDF"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1050044</w:t>
            </w:r>
          </w:p>
          <w:p w14:paraId="21B7AD15" w14:textId="77777777" w:rsidR="000B6FDF" w:rsidRPr="000B6FDF" w:rsidRDefault="000B6FDF" w:rsidP="000B6FDF">
            <w:pPr>
              <w:rPr>
                <w:rFonts w:ascii="Arial" w:hAnsi="Arial" w:cs="Arial"/>
                <w:color w:val="000000"/>
                <w:sz w:val="18"/>
                <w:szCs w:val="18"/>
                <w:lang w:val="en-US"/>
              </w:rPr>
            </w:pPr>
          </w:p>
        </w:tc>
        <w:tc>
          <w:tcPr>
            <w:tcW w:w="3326" w:type="dxa"/>
            <w:shd w:val="clear" w:color="auto" w:fill="auto"/>
          </w:tcPr>
          <w:p w14:paraId="1E77B674" w14:textId="7550BD7E" w:rsidR="000B6FDF" w:rsidRPr="000B6FDF" w:rsidRDefault="000B6FDF" w:rsidP="000B6FDF">
            <w:pPr>
              <w:rPr>
                <w:rFonts w:ascii="Arial" w:hAnsi="Arial" w:cs="Arial"/>
                <w:color w:val="000000"/>
                <w:sz w:val="18"/>
                <w:szCs w:val="18"/>
                <w:lang w:val="en-US"/>
              </w:rPr>
            </w:pPr>
            <w:r w:rsidRPr="000B6FDF">
              <w:rPr>
                <w:rFonts w:ascii="Arial" w:hAnsi="Arial" w:cs="Arial"/>
                <w:sz w:val="18"/>
                <w:szCs w:val="18"/>
                <w:lang w:val="en-US"/>
              </w:rPr>
              <w:t>Application enablement for AI/ML</w:t>
            </w:r>
          </w:p>
        </w:tc>
        <w:tc>
          <w:tcPr>
            <w:tcW w:w="5099" w:type="dxa"/>
            <w:shd w:val="clear" w:color="auto" w:fill="auto"/>
          </w:tcPr>
          <w:p w14:paraId="719F3FFA" w14:textId="7F173CE3" w:rsidR="000B6FDF" w:rsidRPr="000B6FDF" w:rsidRDefault="000B6FDF" w:rsidP="000B6FDF">
            <w:pPr>
              <w:rPr>
                <w:rFonts w:ascii="Arial" w:hAnsi="Arial" w:cs="Arial"/>
                <w:i/>
                <w:iCs/>
                <w:sz w:val="18"/>
                <w:szCs w:val="18"/>
                <w:lang w:val="en-US"/>
              </w:rPr>
            </w:pPr>
            <w:r>
              <w:rPr>
                <w:rFonts w:ascii="Arial" w:hAnsi="Arial" w:cs="Arial"/>
                <w:i/>
                <w:iCs/>
                <w:sz w:val="18"/>
                <w:szCs w:val="18"/>
                <w:lang w:val="en-US"/>
              </w:rPr>
              <w:t xml:space="preserve">Stage 2 </w:t>
            </w:r>
            <w:r w:rsidR="00792820">
              <w:rPr>
                <w:rFonts w:ascii="Arial" w:hAnsi="Arial" w:cs="Arial"/>
                <w:i/>
                <w:iCs/>
                <w:sz w:val="18"/>
                <w:szCs w:val="18"/>
                <w:lang w:val="en-US"/>
              </w:rPr>
              <w:t>normative for AI/ML application enablers.</w:t>
            </w:r>
          </w:p>
        </w:tc>
      </w:tr>
      <w:tr w:rsidR="000B6FDF" w14:paraId="7E879D19" w14:textId="77777777" w:rsidTr="00B81714">
        <w:trPr>
          <w:cantSplit/>
          <w:jc w:val="center"/>
        </w:trPr>
        <w:tc>
          <w:tcPr>
            <w:tcW w:w="1101" w:type="dxa"/>
            <w:shd w:val="clear" w:color="auto" w:fill="auto"/>
          </w:tcPr>
          <w:p w14:paraId="309516C9" w14:textId="00D3C90A" w:rsidR="000B6FDF" w:rsidRPr="000B6FDF"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1040076</w:t>
            </w:r>
          </w:p>
        </w:tc>
        <w:tc>
          <w:tcPr>
            <w:tcW w:w="3326" w:type="dxa"/>
            <w:shd w:val="clear" w:color="auto" w:fill="auto"/>
          </w:tcPr>
          <w:p w14:paraId="6297EADE" w14:textId="39FE8C14" w:rsidR="000B6FDF" w:rsidRPr="00792820"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 xml:space="preserve">Application enablement for localized mobile </w:t>
            </w:r>
            <w:r w:rsidR="00792820">
              <w:rPr>
                <w:rFonts w:ascii="Arial" w:hAnsi="Arial" w:cs="Arial"/>
                <w:color w:val="000000"/>
                <w:sz w:val="18"/>
                <w:szCs w:val="18"/>
                <w:lang w:val="en-US"/>
              </w:rPr>
              <w:t>M</w:t>
            </w:r>
            <w:r w:rsidRPr="000B6FDF">
              <w:rPr>
                <w:rFonts w:ascii="Arial" w:hAnsi="Arial" w:cs="Arial"/>
                <w:color w:val="000000"/>
                <w:sz w:val="18"/>
                <w:szCs w:val="18"/>
                <w:lang w:val="en-US"/>
              </w:rPr>
              <w:t>etaverse</w:t>
            </w:r>
            <w:r w:rsidR="00792820">
              <w:rPr>
                <w:rFonts w:ascii="Arial" w:hAnsi="Arial" w:cs="Arial"/>
                <w:color w:val="000000"/>
                <w:sz w:val="18"/>
                <w:szCs w:val="18"/>
                <w:lang w:val="en-US"/>
              </w:rPr>
              <w:t>.</w:t>
            </w:r>
          </w:p>
        </w:tc>
        <w:tc>
          <w:tcPr>
            <w:tcW w:w="5099" w:type="dxa"/>
            <w:shd w:val="clear" w:color="auto" w:fill="auto"/>
          </w:tcPr>
          <w:p w14:paraId="791A3C48" w14:textId="3987C0EF" w:rsidR="000B6FDF" w:rsidRPr="000B6FDF" w:rsidRDefault="00792820" w:rsidP="000B6FDF">
            <w:pPr>
              <w:rPr>
                <w:rFonts w:ascii="Arial" w:hAnsi="Arial" w:cs="Arial"/>
                <w:sz w:val="18"/>
                <w:szCs w:val="18"/>
                <w:lang w:val="en-US"/>
              </w:rPr>
            </w:pPr>
            <w:r>
              <w:rPr>
                <w:rFonts w:ascii="Arial" w:hAnsi="Arial" w:cs="Arial"/>
                <w:i/>
                <w:iCs/>
                <w:sz w:val="18"/>
                <w:szCs w:val="18"/>
                <w:lang w:val="en-US"/>
              </w:rPr>
              <w:t>Stage 2 normative for Metaverse application enablers</w:t>
            </w:r>
            <w:r w:rsidR="000B6FDF" w:rsidRPr="000B6FDF">
              <w:rPr>
                <w:rFonts w:ascii="Arial" w:hAnsi="Arial" w:cs="Arial"/>
                <w:i/>
                <w:iCs/>
                <w:sz w:val="18"/>
                <w:szCs w:val="18"/>
                <w:lang w:val="en-US"/>
              </w:rPr>
              <w:t>.</w:t>
            </w:r>
          </w:p>
        </w:tc>
      </w:tr>
      <w:tr w:rsidR="000B6FDF" w14:paraId="2373B518" w14:textId="77777777" w:rsidTr="00B81714">
        <w:trPr>
          <w:cantSplit/>
          <w:jc w:val="center"/>
        </w:trPr>
        <w:tc>
          <w:tcPr>
            <w:tcW w:w="1101" w:type="dxa"/>
            <w:shd w:val="clear" w:color="auto" w:fill="auto"/>
          </w:tcPr>
          <w:p w14:paraId="5A23851C" w14:textId="1FFF139E" w:rsidR="000B6FDF" w:rsidRPr="000B6FDF" w:rsidRDefault="00792820" w:rsidP="000B6FDF">
            <w:pPr>
              <w:rPr>
                <w:rFonts w:ascii="Arial" w:hAnsi="Arial" w:cs="Arial"/>
                <w:sz w:val="18"/>
                <w:szCs w:val="18"/>
                <w:lang w:val="en-US"/>
              </w:rPr>
            </w:pPr>
            <w:r w:rsidRPr="00792820">
              <w:rPr>
                <w:rFonts w:ascii="Arial" w:hAnsi="Arial" w:cs="Arial"/>
                <w:sz w:val="18"/>
                <w:szCs w:val="18"/>
                <w:lang w:val="en-US"/>
              </w:rPr>
              <w:t>1060068</w:t>
            </w:r>
          </w:p>
        </w:tc>
        <w:tc>
          <w:tcPr>
            <w:tcW w:w="3326" w:type="dxa"/>
            <w:shd w:val="clear" w:color="auto" w:fill="auto"/>
          </w:tcPr>
          <w:p w14:paraId="1FB66555" w14:textId="7B9E276E" w:rsidR="000B6FDF" w:rsidRPr="000B6FDF" w:rsidRDefault="000B6FDF" w:rsidP="000B6FDF">
            <w:pPr>
              <w:rPr>
                <w:rFonts w:ascii="Arial" w:hAnsi="Arial" w:cs="Arial"/>
                <w:sz w:val="18"/>
                <w:szCs w:val="18"/>
                <w:lang w:val="en-US"/>
              </w:rPr>
            </w:pPr>
            <w:r w:rsidRPr="000B6FDF">
              <w:rPr>
                <w:rFonts w:ascii="Arial" w:hAnsi="Arial" w:cs="Arial"/>
                <w:sz w:val="18"/>
                <w:szCs w:val="18"/>
                <w:lang w:val="en-US"/>
              </w:rPr>
              <w:t xml:space="preserve">Application enablement </w:t>
            </w:r>
            <w:r>
              <w:rPr>
                <w:rFonts w:ascii="Arial" w:hAnsi="Arial" w:cs="Arial"/>
                <w:sz w:val="18"/>
                <w:szCs w:val="18"/>
                <w:lang w:val="en-US"/>
              </w:rPr>
              <w:t>for Application Data Analytics</w:t>
            </w:r>
            <w:r w:rsidR="00792820">
              <w:rPr>
                <w:rFonts w:ascii="Arial" w:hAnsi="Arial" w:cs="Arial"/>
                <w:sz w:val="18"/>
                <w:szCs w:val="18"/>
                <w:lang w:val="en-US"/>
              </w:rPr>
              <w:t>.</w:t>
            </w:r>
          </w:p>
        </w:tc>
        <w:tc>
          <w:tcPr>
            <w:tcW w:w="5099" w:type="dxa"/>
            <w:shd w:val="clear" w:color="auto" w:fill="auto"/>
          </w:tcPr>
          <w:p w14:paraId="335A1F68" w14:textId="28015D07" w:rsidR="000B6FDF" w:rsidRPr="000B6FDF" w:rsidRDefault="00792820" w:rsidP="000B6FDF">
            <w:pPr>
              <w:rPr>
                <w:rFonts w:ascii="Arial" w:hAnsi="Arial" w:cs="Arial"/>
                <w:i/>
                <w:iCs/>
                <w:sz w:val="18"/>
                <w:szCs w:val="18"/>
                <w:lang w:val="en-US"/>
              </w:rPr>
            </w:pPr>
            <w:r>
              <w:rPr>
                <w:rFonts w:ascii="Arial" w:hAnsi="Arial" w:cs="Arial"/>
                <w:i/>
                <w:iCs/>
                <w:sz w:val="18"/>
                <w:szCs w:val="18"/>
                <w:lang w:val="en-US"/>
              </w:rPr>
              <w:t>Stage 2 normative for Application Data Analytics application enabler.</w:t>
            </w:r>
          </w:p>
        </w:tc>
      </w:tr>
      <w:tr w:rsidR="000B6FDF" w14:paraId="6A122FE9" w14:textId="77777777" w:rsidTr="00B81714">
        <w:trPr>
          <w:cantSplit/>
          <w:jc w:val="center"/>
        </w:trPr>
        <w:tc>
          <w:tcPr>
            <w:tcW w:w="1101" w:type="dxa"/>
            <w:shd w:val="clear" w:color="auto" w:fill="auto"/>
          </w:tcPr>
          <w:p w14:paraId="04C2DEB0" w14:textId="4FA22859" w:rsidR="000B6FDF" w:rsidRPr="000B6FDF" w:rsidRDefault="000B6FDF" w:rsidP="000B6FDF">
            <w:pPr>
              <w:pStyle w:val="TAL"/>
              <w:rPr>
                <w:lang w:val="en-US"/>
              </w:rPr>
            </w:pPr>
            <w:r w:rsidRPr="000B6FDF">
              <w:rPr>
                <w:lang w:val="en-US"/>
              </w:rPr>
              <w:t>1040074</w:t>
            </w:r>
          </w:p>
        </w:tc>
        <w:tc>
          <w:tcPr>
            <w:tcW w:w="3326" w:type="dxa"/>
            <w:shd w:val="clear" w:color="auto" w:fill="auto"/>
          </w:tcPr>
          <w:p w14:paraId="42E5B61E" w14:textId="3C9B0E0E" w:rsidR="000B6FDF" w:rsidRPr="000B6FDF" w:rsidRDefault="000B6FDF" w:rsidP="000B6FDF">
            <w:pPr>
              <w:pStyle w:val="TAL"/>
              <w:rPr>
                <w:lang w:val="en-US"/>
              </w:rPr>
            </w:pPr>
            <w:r w:rsidRPr="000B6FDF">
              <w:rPr>
                <w:lang w:val="en-US"/>
              </w:rPr>
              <w:t>Application enablement for XRM</w:t>
            </w:r>
            <w:r w:rsidR="00792820">
              <w:rPr>
                <w:lang w:val="en-US"/>
              </w:rPr>
              <w:t>.</w:t>
            </w:r>
          </w:p>
        </w:tc>
        <w:tc>
          <w:tcPr>
            <w:tcW w:w="5099" w:type="dxa"/>
            <w:shd w:val="clear" w:color="auto" w:fill="auto"/>
          </w:tcPr>
          <w:p w14:paraId="01886EE0" w14:textId="575AA4F7" w:rsidR="000B6FDF" w:rsidRPr="000B6FDF" w:rsidRDefault="00792820" w:rsidP="000B6FDF">
            <w:pPr>
              <w:pStyle w:val="Guidance"/>
              <w:rPr>
                <w:rFonts w:ascii="Arial" w:hAnsi="Arial" w:cs="Arial"/>
                <w:sz w:val="18"/>
                <w:szCs w:val="18"/>
                <w:lang w:val="en-US"/>
              </w:rPr>
            </w:pPr>
            <w:r>
              <w:rPr>
                <w:rFonts w:ascii="Arial" w:hAnsi="Arial" w:cs="Arial"/>
                <w:sz w:val="18"/>
                <w:szCs w:val="18"/>
                <w:lang w:val="en-US"/>
              </w:rPr>
              <w:t>Stage 2 normative for XRM application enablers.</w:t>
            </w:r>
          </w:p>
        </w:tc>
      </w:tr>
      <w:tr w:rsidR="000B6FDF" w14:paraId="4E1C0A1B" w14:textId="77777777" w:rsidTr="00B81714">
        <w:trPr>
          <w:cantSplit/>
          <w:jc w:val="center"/>
        </w:trPr>
        <w:tc>
          <w:tcPr>
            <w:tcW w:w="1101" w:type="dxa"/>
            <w:shd w:val="clear" w:color="auto" w:fill="auto"/>
          </w:tcPr>
          <w:p w14:paraId="61017268" w14:textId="1F209027" w:rsidR="000B6FDF" w:rsidRPr="00591752" w:rsidRDefault="000B6FDF" w:rsidP="000B6FDF">
            <w:pPr>
              <w:pStyle w:val="TAL"/>
            </w:pPr>
            <w:r w:rsidRPr="000B6FDF">
              <w:t>900024</w:t>
            </w:r>
          </w:p>
        </w:tc>
        <w:tc>
          <w:tcPr>
            <w:tcW w:w="3326" w:type="dxa"/>
            <w:shd w:val="clear" w:color="auto" w:fill="auto"/>
          </w:tcPr>
          <w:p w14:paraId="0F8EFCFD" w14:textId="26007BE8" w:rsidR="000B6FDF" w:rsidRDefault="00792820" w:rsidP="000B6FDF">
            <w:pPr>
              <w:pStyle w:val="TAL"/>
            </w:pPr>
            <w:r>
              <w:t>Application enablement for SEAL.</w:t>
            </w:r>
          </w:p>
        </w:tc>
        <w:tc>
          <w:tcPr>
            <w:tcW w:w="5099" w:type="dxa"/>
            <w:shd w:val="clear" w:color="auto" w:fill="auto"/>
          </w:tcPr>
          <w:p w14:paraId="7B8C3D63" w14:textId="4B778640" w:rsidR="000B6FDF" w:rsidRPr="00591752" w:rsidRDefault="00792820" w:rsidP="000B6FDF">
            <w:pPr>
              <w:pStyle w:val="Guidance"/>
              <w:rPr>
                <w:rFonts w:ascii="Arial" w:hAnsi="Arial" w:cs="Arial"/>
                <w:sz w:val="18"/>
                <w:szCs w:val="18"/>
              </w:rPr>
            </w:pPr>
            <w:r>
              <w:rPr>
                <w:rFonts w:ascii="Arial" w:hAnsi="Arial" w:cs="Arial"/>
                <w:sz w:val="18"/>
                <w:szCs w:val="18"/>
              </w:rPr>
              <w:t>Stage 2 normative for SEA</w:t>
            </w:r>
            <w:r w:rsidR="00723246">
              <w:rPr>
                <w:rFonts w:ascii="Arial" w:hAnsi="Arial" w:cs="Arial"/>
                <w:sz w:val="18"/>
                <w:szCs w:val="18"/>
              </w:rPr>
              <w:t>L</w:t>
            </w:r>
            <w:r>
              <w:rPr>
                <w:rFonts w:ascii="Arial" w:hAnsi="Arial" w:cs="Arial"/>
                <w:sz w:val="18"/>
                <w:szCs w:val="18"/>
              </w:rPr>
              <w:t xml:space="preserve"> application enablers.</w:t>
            </w:r>
          </w:p>
        </w:tc>
      </w:tr>
      <w:tr w:rsidR="000B6FDF" w14:paraId="7CED8C5E" w14:textId="77777777" w:rsidTr="00B81714">
        <w:trPr>
          <w:cantSplit/>
          <w:jc w:val="center"/>
        </w:trPr>
        <w:tc>
          <w:tcPr>
            <w:tcW w:w="1101" w:type="dxa"/>
            <w:shd w:val="clear" w:color="auto" w:fill="auto"/>
          </w:tcPr>
          <w:p w14:paraId="677E8612" w14:textId="77777777" w:rsidR="000B6FDF" w:rsidRPr="00B81714" w:rsidRDefault="000B6FDF" w:rsidP="000B6FDF">
            <w:pPr>
              <w:pStyle w:val="TAL"/>
            </w:pPr>
          </w:p>
        </w:tc>
        <w:tc>
          <w:tcPr>
            <w:tcW w:w="3326" w:type="dxa"/>
            <w:shd w:val="clear" w:color="auto" w:fill="auto"/>
          </w:tcPr>
          <w:p w14:paraId="7BEA4F82" w14:textId="77777777" w:rsidR="000B6FDF" w:rsidRPr="00B81714" w:rsidRDefault="000B6FDF" w:rsidP="000B6FDF">
            <w:pPr>
              <w:pStyle w:val="TAL"/>
            </w:pPr>
          </w:p>
        </w:tc>
        <w:tc>
          <w:tcPr>
            <w:tcW w:w="5099" w:type="dxa"/>
            <w:shd w:val="clear" w:color="auto" w:fill="auto"/>
          </w:tcPr>
          <w:p w14:paraId="66F916D3" w14:textId="77777777" w:rsidR="000B6FDF" w:rsidRPr="00B81714" w:rsidRDefault="000B6FDF" w:rsidP="000B6FDF">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C8A4002" w14:textId="0BF89891" w:rsidR="008118DA" w:rsidRPr="008118DA" w:rsidRDefault="008118DA" w:rsidP="008118DA">
      <w:pPr>
        <w:rPr>
          <w:lang w:val="en-US"/>
        </w:rPr>
      </w:pPr>
      <w:r w:rsidRPr="008118DA">
        <w:rPr>
          <w:lang w:val="en-US"/>
        </w:rPr>
        <w:t xml:space="preserve">Extensive efforts have been undertaken across multiple 3GPP Working Groups to enhance </w:t>
      </w:r>
      <w:r w:rsidR="00B41802">
        <w:rPr>
          <w:lang w:val="en-US"/>
        </w:rPr>
        <w:t xml:space="preserve">the </w:t>
      </w:r>
      <w:r w:rsidRPr="008118DA">
        <w:rPr>
          <w:lang w:val="en-US"/>
        </w:rPr>
        <w:t>mobile network</w:t>
      </w:r>
      <w:r w:rsidR="00B41802">
        <w:rPr>
          <w:lang w:val="en-US"/>
        </w:rPr>
        <w:t>’s</w:t>
      </w:r>
      <w:r w:rsidRPr="008118DA">
        <w:rPr>
          <w:lang w:val="en-US"/>
        </w:rPr>
        <w:t xml:space="preserve"> support for IoT, </w:t>
      </w:r>
      <w:r w:rsidR="00B41802">
        <w:rPr>
          <w:lang w:val="en-US"/>
        </w:rPr>
        <w:t xml:space="preserve">this has </w:t>
      </w:r>
      <w:r w:rsidR="003C1F24">
        <w:rPr>
          <w:lang w:val="en-US"/>
        </w:rPr>
        <w:t>led</w:t>
      </w:r>
      <w:r w:rsidR="00B41802" w:rsidRPr="008118DA">
        <w:rPr>
          <w:lang w:val="en-US"/>
        </w:rPr>
        <w:t xml:space="preserve"> </w:t>
      </w:r>
      <w:r w:rsidRPr="008118DA">
        <w:rPr>
          <w:lang w:val="en-US"/>
        </w:rPr>
        <w:t>to significant network optimizations across multiple releases.</w:t>
      </w:r>
    </w:p>
    <w:p w14:paraId="0EC67B2D" w14:textId="77777777" w:rsidR="008118DA" w:rsidRPr="008118DA" w:rsidRDefault="008118DA" w:rsidP="008118DA">
      <w:pPr>
        <w:rPr>
          <w:lang w:val="en-US"/>
        </w:rPr>
      </w:pPr>
    </w:p>
    <w:p w14:paraId="6F7016EE" w14:textId="1C3883AA" w:rsidR="008118DA" w:rsidRDefault="008118DA" w:rsidP="008118DA">
      <w:pPr>
        <w:rPr>
          <w:lang w:val="en-US"/>
        </w:rPr>
      </w:pPr>
      <w:r w:rsidRPr="008118DA">
        <w:rPr>
          <w:lang w:val="en-US"/>
        </w:rPr>
        <w:t>In Rel-18, 3GPP SA6 specified key functionalities to enable applications for Personal IoT Networks (SP-221236)</w:t>
      </w:r>
      <w:r w:rsidR="005B2E38">
        <w:rPr>
          <w:lang w:val="en-US"/>
        </w:rPr>
        <w:t xml:space="preserve">, which </w:t>
      </w:r>
      <w:r w:rsidR="00CF5925">
        <w:rPr>
          <w:lang w:val="en-US"/>
        </w:rPr>
        <w:t>specified</w:t>
      </w:r>
      <w:r w:rsidR="005B2E38">
        <w:rPr>
          <w:lang w:val="en-US"/>
        </w:rPr>
        <w:t xml:space="preserve"> </w:t>
      </w:r>
      <w:r w:rsidR="00CF5925">
        <w:rPr>
          <w:lang w:val="en-US"/>
        </w:rPr>
        <w:t xml:space="preserve">PIN management for devices connecting via another </w:t>
      </w:r>
      <w:r w:rsidR="001768B7">
        <w:rPr>
          <w:lang w:val="en-US"/>
        </w:rPr>
        <w:t>UE and</w:t>
      </w:r>
      <w:r w:rsidRPr="008118DA">
        <w:rPr>
          <w:lang w:val="en-US"/>
        </w:rPr>
        <w:t xml:space="preserve"> conducted a study on application capability exposure (SP-220093) to ensure seamless integration with the 5GS northbound interface</w:t>
      </w:r>
      <w:r w:rsidR="00CF5925">
        <w:rPr>
          <w:lang w:val="en-US"/>
        </w:rPr>
        <w:t>, which resulted in exposing 3GPP system information to VAL servers via SEAL NRM</w:t>
      </w:r>
      <w:r w:rsidRPr="008118DA">
        <w:rPr>
          <w:lang w:val="en-US"/>
        </w:rPr>
        <w:t>.</w:t>
      </w:r>
      <w:r w:rsidR="005B2E38">
        <w:rPr>
          <w:lang w:val="en-US"/>
        </w:rPr>
        <w:t xml:space="preserve"> </w:t>
      </w:r>
    </w:p>
    <w:p w14:paraId="5006EC12" w14:textId="77777777" w:rsidR="005267B3" w:rsidRDefault="005267B3" w:rsidP="008118DA">
      <w:pPr>
        <w:rPr>
          <w:lang w:val="en-US"/>
        </w:rPr>
      </w:pPr>
    </w:p>
    <w:p w14:paraId="4598F2E0" w14:textId="1145661E" w:rsidR="005267B3" w:rsidRPr="008118DA" w:rsidRDefault="005267B3" w:rsidP="008118DA">
      <w:pPr>
        <w:rPr>
          <w:lang w:val="en-US"/>
        </w:rPr>
      </w:pPr>
      <w:r w:rsidRPr="00A91908">
        <w:rPr>
          <w:lang w:val="en-US"/>
        </w:rPr>
        <w:t>In Rel-19, 3GPP SA6 specified functionalities to enable end-to-end</w:t>
      </w:r>
      <w:r w:rsidR="00177156">
        <w:rPr>
          <w:lang w:val="en-US"/>
        </w:rPr>
        <w:t xml:space="preserve"> </w:t>
      </w:r>
      <w:r w:rsidR="002F7C43">
        <w:rPr>
          <w:lang w:val="en-US"/>
        </w:rPr>
        <w:t>performance analytics</w:t>
      </w:r>
      <w:r w:rsidR="00177156">
        <w:rPr>
          <w:lang w:val="en-US"/>
        </w:rPr>
        <w:t xml:space="preserve">, including link </w:t>
      </w:r>
      <w:r w:rsidR="005A0629">
        <w:rPr>
          <w:lang w:val="en-US"/>
        </w:rPr>
        <w:t xml:space="preserve">performance </w:t>
      </w:r>
      <w:r w:rsidR="00177156">
        <w:rPr>
          <w:lang w:val="en-US"/>
        </w:rPr>
        <w:t xml:space="preserve">for tethered </w:t>
      </w:r>
      <w:r w:rsidR="00A91908">
        <w:rPr>
          <w:lang w:val="en-US"/>
        </w:rPr>
        <w:t>IoT devices</w:t>
      </w:r>
      <w:r w:rsidR="00177156">
        <w:rPr>
          <w:lang w:val="en-US"/>
        </w:rPr>
        <w:t xml:space="preserve"> in </w:t>
      </w:r>
      <w:r w:rsidR="00A91908">
        <w:rPr>
          <w:lang w:val="en-US"/>
        </w:rPr>
        <w:t xml:space="preserve">the </w:t>
      </w:r>
      <w:r w:rsidR="00177156">
        <w:rPr>
          <w:lang w:val="en-US"/>
        </w:rPr>
        <w:t xml:space="preserve">SEAL Data Delivery </w:t>
      </w:r>
      <w:r w:rsidR="002F7C43">
        <w:rPr>
          <w:lang w:val="en-US"/>
        </w:rPr>
        <w:t xml:space="preserve">and Application Data Analytics </w:t>
      </w:r>
      <w:r w:rsidR="00177156">
        <w:rPr>
          <w:lang w:val="en-US"/>
        </w:rPr>
        <w:t>enabler</w:t>
      </w:r>
      <w:r w:rsidR="002F7C43">
        <w:rPr>
          <w:lang w:val="en-US"/>
        </w:rPr>
        <w:t>s</w:t>
      </w:r>
      <w:r w:rsidR="00A91908">
        <w:rPr>
          <w:lang w:val="en-US"/>
        </w:rPr>
        <w:t>.</w:t>
      </w:r>
    </w:p>
    <w:p w14:paraId="3A2CA165" w14:textId="77777777" w:rsidR="008118DA" w:rsidRPr="008118DA" w:rsidRDefault="008118DA" w:rsidP="008118DA">
      <w:pPr>
        <w:rPr>
          <w:lang w:val="en-US"/>
        </w:rPr>
      </w:pPr>
    </w:p>
    <w:p w14:paraId="538679B0" w14:textId="6E987337" w:rsidR="00B26CAB" w:rsidRPr="008118DA" w:rsidRDefault="008118DA" w:rsidP="005267B3">
      <w:pPr>
        <w:rPr>
          <w:lang w:val="en-US"/>
        </w:rPr>
      </w:pPr>
      <w:r w:rsidRPr="008118DA">
        <w:rPr>
          <w:lang w:val="en-US"/>
        </w:rPr>
        <w:t xml:space="preserve">Beyond these advancements, </w:t>
      </w:r>
      <w:r>
        <w:rPr>
          <w:lang w:val="en-US"/>
        </w:rPr>
        <w:t xml:space="preserve">3GPP </w:t>
      </w:r>
      <w:r w:rsidRPr="008118DA">
        <w:rPr>
          <w:lang w:val="en-US"/>
        </w:rPr>
        <w:t xml:space="preserve">SA6 has defined several application </w:t>
      </w:r>
      <w:r w:rsidR="002F7C43">
        <w:rPr>
          <w:lang w:val="en-US"/>
        </w:rPr>
        <w:t>enablers</w:t>
      </w:r>
      <w:r w:rsidRPr="008118DA">
        <w:rPr>
          <w:lang w:val="en-US"/>
        </w:rPr>
        <w:t xml:space="preserve">, including SEAL, Edge computing, and AI/ML services, which provide valuable capabilities for IoT deployments. </w:t>
      </w:r>
      <w:r w:rsidR="002F7C43">
        <w:rPr>
          <w:lang w:val="en-US"/>
        </w:rPr>
        <w:t>E</w:t>
      </w:r>
      <w:r w:rsidRPr="008118DA">
        <w:rPr>
          <w:lang w:val="en-US"/>
        </w:rPr>
        <w:t xml:space="preserve">merging interconnectivity models </w:t>
      </w:r>
      <w:r>
        <w:rPr>
          <w:lang w:val="en-US"/>
        </w:rPr>
        <w:t xml:space="preserve">associated with </w:t>
      </w:r>
      <w:r w:rsidRPr="008118DA">
        <w:rPr>
          <w:lang w:val="en-US"/>
        </w:rPr>
        <w:t xml:space="preserve">Personal IoT Networks </w:t>
      </w:r>
      <w:r>
        <w:rPr>
          <w:lang w:val="en-US"/>
        </w:rPr>
        <w:t>or</w:t>
      </w:r>
      <w:r w:rsidRPr="008118DA">
        <w:rPr>
          <w:lang w:val="en-US"/>
        </w:rPr>
        <w:t xml:space="preserve"> use cases</w:t>
      </w:r>
      <w:r>
        <w:rPr>
          <w:lang w:val="en-US"/>
        </w:rPr>
        <w:t xml:space="preserve">, </w:t>
      </w:r>
      <w:r w:rsidRPr="008118DA">
        <w:rPr>
          <w:lang w:val="en-US"/>
        </w:rPr>
        <w:t>such as tethered AR glasses</w:t>
      </w:r>
      <w:r>
        <w:rPr>
          <w:lang w:val="en-US"/>
        </w:rPr>
        <w:t xml:space="preserve">, </w:t>
      </w:r>
      <w:r w:rsidRPr="008118DA">
        <w:rPr>
          <w:lang w:val="en-US"/>
        </w:rPr>
        <w:t xml:space="preserve">can leverage existing application enablers to enhance </w:t>
      </w:r>
      <w:r w:rsidR="00A049EB">
        <w:rPr>
          <w:lang w:val="en-US"/>
        </w:rPr>
        <w:t xml:space="preserve">IoT deployments </w:t>
      </w:r>
      <w:r w:rsidRPr="008118DA">
        <w:rPr>
          <w:lang w:val="en-US"/>
        </w:rPr>
        <w:t>functionality and efficiency.</w:t>
      </w:r>
    </w:p>
    <w:p w14:paraId="5B981CB2" w14:textId="77777777" w:rsidR="008118DA" w:rsidRPr="008118DA" w:rsidRDefault="008118DA" w:rsidP="008118DA">
      <w:pPr>
        <w:rPr>
          <w:lang w:val="en-US"/>
        </w:rPr>
      </w:pPr>
    </w:p>
    <w:p w14:paraId="7591C708" w14:textId="6B9D8391" w:rsidR="008118DA" w:rsidRDefault="008118DA" w:rsidP="008118DA">
      <w:pPr>
        <w:rPr>
          <w:lang w:val="en-US"/>
        </w:rPr>
      </w:pPr>
      <w:r w:rsidRPr="008118DA">
        <w:rPr>
          <w:lang w:val="en-US"/>
        </w:rPr>
        <w:t xml:space="preserve">Given the growing diversity and complexity of IoT deployments, a holistic evaluation of 3GPP SA6 application enablers </w:t>
      </w:r>
      <w:r w:rsidR="00811F72">
        <w:rPr>
          <w:lang w:val="en-US"/>
        </w:rPr>
        <w:t xml:space="preserve">IoT support </w:t>
      </w:r>
      <w:r w:rsidRPr="008118DA">
        <w:rPr>
          <w:lang w:val="en-US"/>
        </w:rPr>
        <w:t>is essential to ensure comprehensive and future-proof support</w:t>
      </w:r>
      <w:r w:rsidR="00B41802">
        <w:rPr>
          <w:lang w:val="en-US"/>
        </w:rPr>
        <w:t xml:space="preserve"> of the IoT</w:t>
      </w:r>
      <w:r w:rsidRPr="008118DA">
        <w:rPr>
          <w:lang w:val="en-US"/>
        </w:rPr>
        <w:t>.</w:t>
      </w:r>
    </w:p>
    <w:p w14:paraId="57B3A866" w14:textId="77777777" w:rsidR="0083667F" w:rsidRDefault="0083667F" w:rsidP="008118DA">
      <w:pPr>
        <w:rPr>
          <w:lang w:val="en-US"/>
        </w:rPr>
      </w:pPr>
    </w:p>
    <w:p w14:paraId="2C33742C" w14:textId="77777777" w:rsidR="005D15BC" w:rsidRDefault="00D13E0E" w:rsidP="00D63B73">
      <w:pPr>
        <w:jc w:val="both"/>
        <w:rPr>
          <w:lang w:val="en-US"/>
        </w:rPr>
      </w:pPr>
      <w:r>
        <w:rPr>
          <w:lang w:val="en-US"/>
        </w:rPr>
        <w:t xml:space="preserve">IoT devices, as specified in 3GPP TS 22.261, may communicate </w:t>
      </w:r>
      <w:r w:rsidR="00B41802">
        <w:rPr>
          <w:lang w:val="en-US"/>
        </w:rPr>
        <w:t>via</w:t>
      </w:r>
      <w:r>
        <w:rPr>
          <w:lang w:val="en-US"/>
        </w:rPr>
        <w:t xml:space="preserve"> different connectivity models (e.g., </w:t>
      </w:r>
      <w:r w:rsidRPr="00D13E0E">
        <w:rPr>
          <w:lang w:val="en-US"/>
        </w:rPr>
        <w:t xml:space="preserve">directly or </w:t>
      </w:r>
      <w:r>
        <w:rPr>
          <w:lang w:val="en-US"/>
        </w:rPr>
        <w:t>via</w:t>
      </w:r>
      <w:r w:rsidRPr="00D13E0E">
        <w:rPr>
          <w:lang w:val="en-US"/>
        </w:rPr>
        <w:t xml:space="preserve"> another UE</w:t>
      </w:r>
      <w:r>
        <w:rPr>
          <w:lang w:val="en-US"/>
        </w:rPr>
        <w:t xml:space="preserve">). </w:t>
      </w:r>
    </w:p>
    <w:p w14:paraId="10BEF4D2" w14:textId="77777777" w:rsidR="005D15BC" w:rsidRDefault="005D15BC" w:rsidP="00D63B73">
      <w:pPr>
        <w:jc w:val="both"/>
        <w:rPr>
          <w:lang w:val="en-US"/>
        </w:rPr>
      </w:pPr>
    </w:p>
    <w:p w14:paraId="1ED1B052" w14:textId="4CFC93CD" w:rsidR="00D13E0E" w:rsidRDefault="00186DF4" w:rsidP="00D63B73">
      <w:pPr>
        <w:jc w:val="both"/>
        <w:rPr>
          <w:lang w:val="en-US"/>
        </w:rPr>
      </w:pPr>
      <w:r>
        <w:rPr>
          <w:lang w:val="en-US"/>
        </w:rPr>
        <w:t>C</w:t>
      </w:r>
      <w:r w:rsidR="00D13E0E">
        <w:rPr>
          <w:lang w:val="en-US"/>
        </w:rPr>
        <w:t xml:space="preserve">ommunication requirements associated with IoT devices </w:t>
      </w:r>
      <w:r>
        <w:rPr>
          <w:lang w:val="en-US"/>
        </w:rPr>
        <w:t xml:space="preserve">have </w:t>
      </w:r>
      <w:r w:rsidR="00D13E0E">
        <w:rPr>
          <w:lang w:val="en-US"/>
        </w:rPr>
        <w:t xml:space="preserve">led to the development of several 3GPP system features for supporting IoT device communication. </w:t>
      </w:r>
      <w:r w:rsidR="00D13E0E" w:rsidRPr="00FA6C65">
        <w:t xml:space="preserve">Examples of 3GPP system features that are typically used by IoT devices are the Control Plane CIoT 5GS Optimisation, Non-IP Data Delivery (NIDD), the Reliable Data Service, Mobile Initiated Connection Only (MICO) mode, Extended DRX (eDRX), extended buffering of downlink data, support for monitoring events and support for QoS differentiation for non-3GPP devices connecting through </w:t>
      </w:r>
      <w:r w:rsidR="00662013">
        <w:t>a</w:t>
      </w:r>
      <w:r w:rsidR="00D13E0E" w:rsidRPr="00FA6C65">
        <w:t xml:space="preserve"> UE.</w:t>
      </w:r>
    </w:p>
    <w:p w14:paraId="1A2C1815" w14:textId="77777777" w:rsidR="00FA539F" w:rsidRDefault="00FA539F" w:rsidP="00D63B73">
      <w:pPr>
        <w:jc w:val="both"/>
        <w:rPr>
          <w:lang w:val="en-US"/>
        </w:rPr>
      </w:pPr>
    </w:p>
    <w:p w14:paraId="64196FA4" w14:textId="49B21888" w:rsidR="00186DF4" w:rsidRDefault="00186DF4" w:rsidP="00D63B73">
      <w:pPr>
        <w:jc w:val="both"/>
        <w:rPr>
          <w:lang w:val="en-US"/>
        </w:rPr>
      </w:pPr>
      <w:r>
        <w:rPr>
          <w:lang w:val="en-US"/>
        </w:rPr>
        <w:t xml:space="preserve">Application enablers specified by 3GPP SA6 provide services that can be accessed and used by IoT devices. Examples of 3GPP application enablers </w:t>
      </w:r>
      <w:r w:rsidR="00844AAD">
        <w:rPr>
          <w:lang w:val="en-US"/>
        </w:rPr>
        <w:t>usages for IoT devices</w:t>
      </w:r>
      <w:r>
        <w:rPr>
          <w:lang w:val="en-US"/>
        </w:rPr>
        <w:t xml:space="preserve"> include SEAL services</w:t>
      </w:r>
      <w:r w:rsidR="00844AAD">
        <w:rPr>
          <w:lang w:val="en-US"/>
        </w:rPr>
        <w:t xml:space="preserve"> (e.g., LMS, etc.)</w:t>
      </w:r>
      <w:r>
        <w:rPr>
          <w:lang w:val="en-US"/>
        </w:rPr>
        <w:t xml:space="preserve">, </w:t>
      </w:r>
      <w:r w:rsidR="00844AAD">
        <w:rPr>
          <w:lang w:val="en-US"/>
        </w:rPr>
        <w:t xml:space="preserve">discovering and accessing </w:t>
      </w:r>
      <w:r>
        <w:rPr>
          <w:lang w:val="en-US"/>
        </w:rPr>
        <w:t xml:space="preserve">Edge Application Servers (EAS) via the edge enablement framework, </w:t>
      </w:r>
      <w:r w:rsidR="00844AAD">
        <w:rPr>
          <w:lang w:val="en-US"/>
        </w:rPr>
        <w:t xml:space="preserve">using inference capabilities offered by </w:t>
      </w:r>
      <w:r>
        <w:rPr>
          <w:lang w:val="en-US"/>
        </w:rPr>
        <w:t>AI/ML enabler services</w:t>
      </w:r>
      <w:r w:rsidR="005C5B64">
        <w:rPr>
          <w:lang w:val="en-US"/>
        </w:rPr>
        <w:t xml:space="preserve">, </w:t>
      </w:r>
      <w:r w:rsidR="004C5CDC">
        <w:rPr>
          <w:lang w:val="en-US"/>
        </w:rPr>
        <w:t xml:space="preserve">obtaining spatial assets (e.g., </w:t>
      </w:r>
      <w:r w:rsidR="004C5CDC">
        <w:rPr>
          <w:lang w:val="en-US"/>
        </w:rPr>
        <w:t>spatial anchors, spatial maps</w:t>
      </w:r>
      <w:r w:rsidR="004C5CDC">
        <w:rPr>
          <w:lang w:val="en-US"/>
        </w:rPr>
        <w:t xml:space="preserve">, digital assets) from </w:t>
      </w:r>
      <w:r w:rsidR="005C5B64">
        <w:rPr>
          <w:lang w:val="en-US"/>
        </w:rPr>
        <w:t>localized metaverse services</w:t>
      </w:r>
      <w:r w:rsidR="00844AAD">
        <w:rPr>
          <w:lang w:val="en-US"/>
        </w:rPr>
        <w:t xml:space="preserve"> (e.g., tethered smart glass</w:t>
      </w:r>
      <w:r w:rsidR="004C5CDC">
        <w:rPr>
          <w:lang w:val="en-US"/>
        </w:rPr>
        <w:t xml:space="preserve"> use case</w:t>
      </w:r>
      <w:r w:rsidR="00844AAD">
        <w:rPr>
          <w:lang w:val="en-US"/>
        </w:rPr>
        <w:t>)</w:t>
      </w:r>
      <w:r w:rsidR="005C5B64">
        <w:rPr>
          <w:lang w:val="en-US"/>
        </w:rPr>
        <w:t>.</w:t>
      </w:r>
    </w:p>
    <w:p w14:paraId="1B274132" w14:textId="77777777" w:rsidR="005C5B64" w:rsidRDefault="005C5B64" w:rsidP="00D63B73">
      <w:pPr>
        <w:jc w:val="both"/>
        <w:rPr>
          <w:lang w:val="en-US"/>
        </w:rPr>
      </w:pPr>
    </w:p>
    <w:p w14:paraId="7BA3C12A" w14:textId="77777777" w:rsidR="0083667F" w:rsidRDefault="005C5B64" w:rsidP="00D63B73">
      <w:pPr>
        <w:jc w:val="both"/>
        <w:rPr>
          <w:lang w:val="en-US"/>
        </w:rPr>
      </w:pPr>
      <w:r>
        <w:rPr>
          <w:lang w:val="en-US"/>
        </w:rPr>
        <w:t xml:space="preserve">To ensure compatibility </w:t>
      </w:r>
      <w:r w:rsidR="00D63B73">
        <w:rPr>
          <w:lang w:val="en-US"/>
        </w:rPr>
        <w:t xml:space="preserve">and support of IoT devices by the </w:t>
      </w:r>
      <w:r w:rsidR="00AA0A81">
        <w:rPr>
          <w:lang w:val="en-US"/>
        </w:rPr>
        <w:t xml:space="preserve">3GPP SA6 application </w:t>
      </w:r>
      <w:r w:rsidR="00D63B73">
        <w:rPr>
          <w:lang w:val="en-US"/>
        </w:rPr>
        <w:t xml:space="preserve">enablers, it is necessary that the specified procedures and behaviors of the application enablers comply with the communication models and requirements </w:t>
      </w:r>
      <w:r w:rsidR="009409E4">
        <w:rPr>
          <w:lang w:val="en-US"/>
        </w:rPr>
        <w:t xml:space="preserve">of </w:t>
      </w:r>
      <w:r w:rsidR="00D63B73">
        <w:rPr>
          <w:lang w:val="en-US"/>
        </w:rPr>
        <w:t xml:space="preserve">IoT </w:t>
      </w:r>
      <w:r w:rsidR="00D63B73">
        <w:rPr>
          <w:lang w:val="en-US"/>
        </w:rPr>
        <w:lastRenderedPageBreak/>
        <w:t xml:space="preserve">devices. An example of </w:t>
      </w:r>
      <w:r w:rsidR="005B2E38">
        <w:rPr>
          <w:lang w:val="en-US"/>
        </w:rPr>
        <w:t xml:space="preserve">a </w:t>
      </w:r>
      <w:r w:rsidR="00D63B73">
        <w:rPr>
          <w:lang w:val="en-US"/>
        </w:rPr>
        <w:t>procedure that may not comply include</w:t>
      </w:r>
      <w:r w:rsidR="005B2E38">
        <w:rPr>
          <w:lang w:val="en-US"/>
        </w:rPr>
        <w:t>s</w:t>
      </w:r>
      <w:r w:rsidR="00D63B73">
        <w:rPr>
          <w:lang w:val="en-US"/>
        </w:rPr>
        <w:t xml:space="preserve"> registration </w:t>
      </w:r>
      <w:r w:rsidR="009409E4">
        <w:rPr>
          <w:lang w:val="en-US"/>
        </w:rPr>
        <w:t xml:space="preserve">with an enabler service </w:t>
      </w:r>
      <w:r w:rsidR="005B2E38">
        <w:rPr>
          <w:lang w:val="en-US"/>
        </w:rPr>
        <w:t xml:space="preserve">which is </w:t>
      </w:r>
      <w:r w:rsidR="00D63B73">
        <w:rPr>
          <w:lang w:val="en-US"/>
        </w:rPr>
        <w:t xml:space="preserve">available with multiple enablers; </w:t>
      </w:r>
      <w:r w:rsidR="00B41802">
        <w:rPr>
          <w:lang w:val="en-US"/>
        </w:rPr>
        <w:t>a</w:t>
      </w:r>
      <w:r w:rsidR="00D63B73">
        <w:rPr>
          <w:lang w:val="en-US"/>
        </w:rPr>
        <w:t xml:space="preserve"> registration may expire after a period of time </w:t>
      </w:r>
      <w:r w:rsidR="005B2E38">
        <w:rPr>
          <w:lang w:val="en-US"/>
        </w:rPr>
        <w:t>and</w:t>
      </w:r>
      <w:r w:rsidR="00B41802">
        <w:rPr>
          <w:lang w:val="en-US"/>
        </w:rPr>
        <w:t xml:space="preserve">, if the application enabler </w:t>
      </w:r>
      <w:r w:rsidR="009409E4">
        <w:rPr>
          <w:lang w:val="en-US"/>
        </w:rPr>
        <w:t xml:space="preserve">registration </w:t>
      </w:r>
      <w:r w:rsidR="00B41802">
        <w:rPr>
          <w:lang w:val="en-US"/>
        </w:rPr>
        <w:t xml:space="preserve">timer </w:t>
      </w:r>
      <w:r w:rsidR="009409E4">
        <w:rPr>
          <w:lang w:val="en-US"/>
        </w:rPr>
        <w:t xml:space="preserve">is </w:t>
      </w:r>
      <w:r w:rsidR="00B41802">
        <w:rPr>
          <w:lang w:val="en-US"/>
        </w:rPr>
        <w:t xml:space="preserve">not </w:t>
      </w:r>
      <w:r w:rsidR="009409E4">
        <w:rPr>
          <w:lang w:val="en-US"/>
        </w:rPr>
        <w:t xml:space="preserve">consistent </w:t>
      </w:r>
      <w:r w:rsidR="00B41802">
        <w:rPr>
          <w:lang w:val="en-US"/>
        </w:rPr>
        <w:t>with the UE timers (e.g. eDRX and MICO mode</w:t>
      </w:r>
      <w:r w:rsidR="009409E4">
        <w:rPr>
          <w:lang w:val="en-US"/>
        </w:rPr>
        <w:t xml:space="preserve"> timers</w:t>
      </w:r>
      <w:r w:rsidR="00B41802">
        <w:rPr>
          <w:lang w:val="en-US"/>
        </w:rPr>
        <w:t xml:space="preserve">), the </w:t>
      </w:r>
      <w:r w:rsidR="00D63B73">
        <w:rPr>
          <w:lang w:val="en-US"/>
        </w:rPr>
        <w:t xml:space="preserve">IoT device </w:t>
      </w:r>
      <w:r w:rsidR="00B41802">
        <w:rPr>
          <w:lang w:val="en-US"/>
        </w:rPr>
        <w:t>will need</w:t>
      </w:r>
      <w:r w:rsidR="005B2E38">
        <w:rPr>
          <w:lang w:val="en-US"/>
        </w:rPr>
        <w:t xml:space="preserve"> to constantly </w:t>
      </w:r>
      <w:r w:rsidR="00385F4A">
        <w:rPr>
          <w:lang w:val="en-US"/>
        </w:rPr>
        <w:t xml:space="preserve">wake up and </w:t>
      </w:r>
      <w:r w:rsidR="005B2E38">
        <w:rPr>
          <w:lang w:val="en-US"/>
        </w:rPr>
        <w:t xml:space="preserve">re-register– thus </w:t>
      </w:r>
      <w:r w:rsidR="00257B3E">
        <w:rPr>
          <w:lang w:val="en-US"/>
        </w:rPr>
        <w:t xml:space="preserve">eliminating </w:t>
      </w:r>
      <w:r w:rsidR="005B2E38">
        <w:rPr>
          <w:lang w:val="en-US"/>
        </w:rPr>
        <w:t>benefit</w:t>
      </w:r>
      <w:r w:rsidR="00CF5925">
        <w:rPr>
          <w:lang w:val="en-US"/>
        </w:rPr>
        <w:t>s</w:t>
      </w:r>
      <w:r w:rsidR="005B2E38">
        <w:rPr>
          <w:lang w:val="en-US"/>
        </w:rPr>
        <w:t xml:space="preserve"> </w:t>
      </w:r>
      <w:r w:rsidR="00B41802">
        <w:rPr>
          <w:lang w:val="en-US"/>
        </w:rPr>
        <w:t xml:space="preserve">of 3GPP </w:t>
      </w:r>
      <w:r w:rsidR="009409E4">
        <w:rPr>
          <w:lang w:val="en-US"/>
        </w:rPr>
        <w:t xml:space="preserve">system </w:t>
      </w:r>
      <w:r w:rsidR="00B41802">
        <w:rPr>
          <w:lang w:val="en-US"/>
        </w:rPr>
        <w:t>features</w:t>
      </w:r>
      <w:r w:rsidR="005B2E38">
        <w:rPr>
          <w:lang w:val="en-US"/>
        </w:rPr>
        <w:t xml:space="preserve">. </w:t>
      </w:r>
    </w:p>
    <w:p w14:paraId="4846721C" w14:textId="77777777" w:rsidR="0083667F" w:rsidRDefault="0083667F" w:rsidP="00D63B73">
      <w:pPr>
        <w:jc w:val="both"/>
        <w:rPr>
          <w:lang w:val="en-US"/>
        </w:rPr>
      </w:pPr>
    </w:p>
    <w:p w14:paraId="5D55472B" w14:textId="5E498D71" w:rsidR="005C5B64" w:rsidRDefault="005B2E38" w:rsidP="00D63B73">
      <w:pPr>
        <w:jc w:val="both"/>
        <w:rPr>
          <w:lang w:val="en-US"/>
        </w:rPr>
      </w:pPr>
      <w:r>
        <w:rPr>
          <w:lang w:val="en-US"/>
        </w:rPr>
        <w:t xml:space="preserve">Other examples </w:t>
      </w:r>
      <w:r w:rsidR="00257B3E">
        <w:rPr>
          <w:lang w:val="en-US"/>
        </w:rPr>
        <w:t xml:space="preserve">of procedures that may be non-compliant include </w:t>
      </w:r>
      <w:r>
        <w:rPr>
          <w:lang w:val="en-US"/>
        </w:rPr>
        <w:t>subscription, notification, and discovery mechanisms</w:t>
      </w:r>
      <w:r w:rsidR="00610D34">
        <w:rPr>
          <w:lang w:val="en-US"/>
        </w:rPr>
        <w:t xml:space="preserve"> offered by the SA6 application enablers when considering IoT device capabilities and communication models </w:t>
      </w:r>
      <w:r w:rsidR="00610D34">
        <w:rPr>
          <w:lang w:val="en-US"/>
        </w:rPr>
        <w:t xml:space="preserve">(e.g., </w:t>
      </w:r>
      <w:r w:rsidR="00610D34" w:rsidRPr="00D13E0E">
        <w:rPr>
          <w:lang w:val="en-US"/>
        </w:rPr>
        <w:t xml:space="preserve">directly or </w:t>
      </w:r>
      <w:r w:rsidR="00610D34">
        <w:rPr>
          <w:lang w:val="en-US"/>
        </w:rPr>
        <w:t>via</w:t>
      </w:r>
      <w:r w:rsidR="00610D34" w:rsidRPr="00D13E0E">
        <w:rPr>
          <w:lang w:val="en-US"/>
        </w:rPr>
        <w:t xml:space="preserve"> another UE</w:t>
      </w:r>
      <w:r w:rsidR="00610D34">
        <w:rPr>
          <w:lang w:val="en-US"/>
        </w:rPr>
        <w:t>)</w:t>
      </w:r>
      <w:r>
        <w:rPr>
          <w:lang w:val="en-US"/>
        </w:rPr>
        <w:t>.</w:t>
      </w:r>
    </w:p>
    <w:p w14:paraId="57BEDBD0" w14:textId="77777777" w:rsidR="00257B3E" w:rsidRDefault="00257B3E" w:rsidP="00D63B73">
      <w:pPr>
        <w:jc w:val="both"/>
        <w:rPr>
          <w:lang w:val="en-US"/>
        </w:rPr>
      </w:pPr>
    </w:p>
    <w:p w14:paraId="6FFCBC8D" w14:textId="6B109430" w:rsidR="005B2E38" w:rsidRDefault="00257B3E" w:rsidP="00D63B73">
      <w:pPr>
        <w:jc w:val="both"/>
        <w:rPr>
          <w:lang w:val="en-US"/>
        </w:rPr>
      </w:pPr>
      <w:r>
        <w:rPr>
          <w:lang w:val="en-US"/>
        </w:rPr>
        <w:t>Thus,</w:t>
      </w:r>
      <w:r w:rsidR="005B2E38">
        <w:rPr>
          <w:lang w:val="en-US"/>
        </w:rPr>
        <w:t xml:space="preserve"> it is proposed to study interaction between existing SA6 application enablers with IoT devices considering </w:t>
      </w:r>
      <w:r>
        <w:rPr>
          <w:lang w:val="en-US"/>
        </w:rPr>
        <w:t xml:space="preserve">the </w:t>
      </w:r>
      <w:r w:rsidR="005B2E38">
        <w:rPr>
          <w:lang w:val="en-US"/>
        </w:rPr>
        <w:t>existing 3GPP system features</w:t>
      </w:r>
      <w:r>
        <w:rPr>
          <w:lang w:val="en-US"/>
        </w:rPr>
        <w:t xml:space="preserve"> </w:t>
      </w:r>
      <w:r w:rsidR="00610D34">
        <w:rPr>
          <w:lang w:val="en-US"/>
        </w:rPr>
        <w:t xml:space="preserve">and communication models </w:t>
      </w:r>
      <w:r>
        <w:rPr>
          <w:lang w:val="en-US"/>
        </w:rPr>
        <w:t>for supporting IoT device communication.</w:t>
      </w:r>
    </w:p>
    <w:p w14:paraId="176CADA9" w14:textId="77777777" w:rsidR="00FA539F" w:rsidRDefault="00FA539F" w:rsidP="008118DA"/>
    <w:p w14:paraId="4A2BDC03" w14:textId="77777777" w:rsidR="001E489F" w:rsidRPr="005A5A5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A5A58">
        <w:rPr>
          <w:b w:val="0"/>
          <w:sz w:val="36"/>
          <w:lang w:val="en-US" w:eastAsia="ja-JP"/>
        </w:rPr>
        <w:t>4</w:t>
      </w:r>
      <w:r w:rsidRPr="005A5A58">
        <w:rPr>
          <w:b w:val="0"/>
          <w:sz w:val="36"/>
          <w:lang w:val="en-US" w:eastAsia="ja-JP"/>
        </w:rPr>
        <w:tab/>
        <w:t>Objective</w:t>
      </w:r>
    </w:p>
    <w:p w14:paraId="1B84D78E" w14:textId="4EB63673" w:rsidR="00A22CED" w:rsidRPr="00206E7E" w:rsidRDefault="004D0F05" w:rsidP="00206E7E">
      <w:pPr>
        <w:pStyle w:val="ListParagraph"/>
        <w:numPr>
          <w:ilvl w:val="0"/>
          <w:numId w:val="13"/>
        </w:numPr>
        <w:rPr>
          <w:sz w:val="20"/>
          <w:szCs w:val="20"/>
        </w:rPr>
      </w:pPr>
      <w:r>
        <w:rPr>
          <w:sz w:val="20"/>
          <w:szCs w:val="20"/>
        </w:rPr>
        <w:t xml:space="preserve">Study </w:t>
      </w:r>
      <w:r w:rsidR="00FA6C65">
        <w:rPr>
          <w:sz w:val="20"/>
          <w:szCs w:val="20"/>
        </w:rPr>
        <w:t xml:space="preserve">generic </w:t>
      </w:r>
      <w:r>
        <w:rPr>
          <w:sz w:val="20"/>
          <w:szCs w:val="20"/>
        </w:rPr>
        <w:t xml:space="preserve">support of </w:t>
      </w:r>
      <w:r w:rsidR="00A22CED" w:rsidRPr="00206E7E">
        <w:rPr>
          <w:sz w:val="20"/>
          <w:szCs w:val="20"/>
        </w:rPr>
        <w:t>IoT devices and deployments</w:t>
      </w:r>
      <w:r w:rsidR="008118DA">
        <w:rPr>
          <w:sz w:val="20"/>
          <w:szCs w:val="20"/>
        </w:rPr>
        <w:t xml:space="preserve"> by SA6 application enablers</w:t>
      </w:r>
      <w:r w:rsidR="00A22CED" w:rsidRPr="00206E7E">
        <w:rPr>
          <w:sz w:val="20"/>
          <w:szCs w:val="20"/>
        </w:rPr>
        <w:t>.</w:t>
      </w:r>
    </w:p>
    <w:p w14:paraId="58B2281F" w14:textId="2B7F8ECD" w:rsidR="00DC3510" w:rsidRDefault="00DC3510" w:rsidP="00CD1846">
      <w:pPr>
        <w:pStyle w:val="ListParagraph"/>
        <w:numPr>
          <w:ilvl w:val="1"/>
          <w:numId w:val="10"/>
        </w:numPr>
        <w:rPr>
          <w:sz w:val="20"/>
          <w:szCs w:val="20"/>
        </w:rPr>
      </w:pPr>
      <w:r>
        <w:rPr>
          <w:sz w:val="20"/>
          <w:szCs w:val="20"/>
        </w:rPr>
        <w:t xml:space="preserve">Identify </w:t>
      </w:r>
      <w:r w:rsidR="006F063F">
        <w:rPr>
          <w:sz w:val="20"/>
          <w:szCs w:val="20"/>
        </w:rPr>
        <w:t xml:space="preserve">the </w:t>
      </w:r>
      <w:r>
        <w:rPr>
          <w:sz w:val="20"/>
          <w:szCs w:val="20"/>
        </w:rPr>
        <w:t>applicability of IoT use cases</w:t>
      </w:r>
      <w:r w:rsidR="006F063F">
        <w:rPr>
          <w:sz w:val="20"/>
          <w:szCs w:val="20"/>
        </w:rPr>
        <w:t xml:space="preserve"> by evaluating their alignment with capabilities of SA6 application enablers </w:t>
      </w:r>
      <w:r w:rsidR="0083667F">
        <w:rPr>
          <w:sz w:val="20"/>
          <w:szCs w:val="20"/>
        </w:rPr>
        <w:t xml:space="preserve">services and APIs </w:t>
      </w:r>
      <w:r w:rsidR="006F063F">
        <w:rPr>
          <w:sz w:val="20"/>
          <w:szCs w:val="20"/>
        </w:rPr>
        <w:t xml:space="preserve">(e.g., </w:t>
      </w:r>
      <w:r w:rsidR="006F063F" w:rsidRPr="00257B3E">
        <w:rPr>
          <w:sz w:val="20"/>
          <w:szCs w:val="20"/>
        </w:rPr>
        <w:t xml:space="preserve">SEAL, Edge, AI/ML, </w:t>
      </w:r>
      <w:r w:rsidR="006F063F">
        <w:rPr>
          <w:sz w:val="20"/>
          <w:szCs w:val="20"/>
        </w:rPr>
        <w:t>Application Data Analytics, L</w:t>
      </w:r>
      <w:r w:rsidR="006F063F" w:rsidRPr="00257B3E">
        <w:rPr>
          <w:sz w:val="20"/>
          <w:szCs w:val="20"/>
        </w:rPr>
        <w:t xml:space="preserve">ocalized </w:t>
      </w:r>
      <w:r w:rsidR="006F063F">
        <w:rPr>
          <w:sz w:val="20"/>
          <w:szCs w:val="20"/>
        </w:rPr>
        <w:t>M</w:t>
      </w:r>
      <w:r w:rsidR="006F063F" w:rsidRPr="00257B3E">
        <w:rPr>
          <w:sz w:val="20"/>
          <w:szCs w:val="20"/>
        </w:rPr>
        <w:t xml:space="preserve">etaverse </w:t>
      </w:r>
      <w:r w:rsidR="006F063F">
        <w:rPr>
          <w:sz w:val="20"/>
          <w:szCs w:val="20"/>
        </w:rPr>
        <w:t>S</w:t>
      </w:r>
      <w:r w:rsidR="006F063F" w:rsidRPr="00257B3E">
        <w:rPr>
          <w:sz w:val="20"/>
          <w:szCs w:val="20"/>
        </w:rPr>
        <w:t>ervices</w:t>
      </w:r>
      <w:r w:rsidR="004E186A">
        <w:rPr>
          <w:sz w:val="20"/>
          <w:szCs w:val="20"/>
        </w:rPr>
        <w:t>, etc.</w:t>
      </w:r>
      <w:r w:rsidR="006F063F">
        <w:rPr>
          <w:sz w:val="20"/>
          <w:szCs w:val="20"/>
        </w:rPr>
        <w:t>)</w:t>
      </w:r>
      <w:r w:rsidR="006F063F">
        <w:rPr>
          <w:sz w:val="20"/>
          <w:szCs w:val="20"/>
        </w:rPr>
        <w:t>.</w:t>
      </w:r>
    </w:p>
    <w:p w14:paraId="3ADB59AC" w14:textId="677797B7" w:rsidR="00257B3E" w:rsidRDefault="00A22CED" w:rsidP="00CD1846">
      <w:pPr>
        <w:pStyle w:val="ListParagraph"/>
        <w:numPr>
          <w:ilvl w:val="1"/>
          <w:numId w:val="10"/>
        </w:numPr>
        <w:rPr>
          <w:sz w:val="20"/>
          <w:szCs w:val="20"/>
        </w:rPr>
      </w:pPr>
      <w:r w:rsidRPr="00206E7E">
        <w:rPr>
          <w:sz w:val="20"/>
          <w:szCs w:val="20"/>
        </w:rPr>
        <w:t xml:space="preserve">Identify </w:t>
      </w:r>
      <w:r w:rsidR="008118DA">
        <w:rPr>
          <w:sz w:val="20"/>
          <w:szCs w:val="20"/>
        </w:rPr>
        <w:t>gaps</w:t>
      </w:r>
      <w:r w:rsidR="004D0F05">
        <w:rPr>
          <w:sz w:val="20"/>
          <w:szCs w:val="20"/>
        </w:rPr>
        <w:t xml:space="preserve"> </w:t>
      </w:r>
      <w:r w:rsidR="008118DA">
        <w:rPr>
          <w:sz w:val="20"/>
          <w:szCs w:val="20"/>
        </w:rPr>
        <w:t xml:space="preserve">and limitations associated with </w:t>
      </w:r>
      <w:r w:rsidR="0083667F">
        <w:rPr>
          <w:sz w:val="20"/>
          <w:szCs w:val="20"/>
        </w:rPr>
        <w:t>applicable</w:t>
      </w:r>
      <w:r w:rsidR="004208F0">
        <w:rPr>
          <w:sz w:val="20"/>
          <w:szCs w:val="20"/>
        </w:rPr>
        <w:t xml:space="preserve"> </w:t>
      </w:r>
      <w:r w:rsidR="008118DA">
        <w:rPr>
          <w:sz w:val="20"/>
          <w:szCs w:val="20"/>
        </w:rPr>
        <w:t xml:space="preserve">SA6 </w:t>
      </w:r>
      <w:r w:rsidRPr="00206E7E">
        <w:rPr>
          <w:sz w:val="20"/>
          <w:szCs w:val="20"/>
        </w:rPr>
        <w:t xml:space="preserve">application enablers </w:t>
      </w:r>
      <w:r w:rsidR="008118DA">
        <w:rPr>
          <w:sz w:val="20"/>
          <w:szCs w:val="20"/>
        </w:rPr>
        <w:t xml:space="preserve">to </w:t>
      </w:r>
      <w:r w:rsidRPr="00206E7E">
        <w:rPr>
          <w:sz w:val="20"/>
          <w:szCs w:val="20"/>
        </w:rPr>
        <w:t>support IoT devices and deployments</w:t>
      </w:r>
      <w:r w:rsidR="00257B3E">
        <w:rPr>
          <w:sz w:val="20"/>
          <w:szCs w:val="20"/>
        </w:rPr>
        <w:t xml:space="preserve"> considering:</w:t>
      </w:r>
    </w:p>
    <w:p w14:paraId="6CD317CF" w14:textId="450B23D1" w:rsidR="00A22CED" w:rsidRDefault="00257B3E" w:rsidP="00257B3E">
      <w:pPr>
        <w:pStyle w:val="ListParagraph"/>
        <w:numPr>
          <w:ilvl w:val="2"/>
          <w:numId w:val="10"/>
        </w:numPr>
        <w:rPr>
          <w:sz w:val="20"/>
          <w:szCs w:val="20"/>
        </w:rPr>
      </w:pPr>
      <w:r>
        <w:rPr>
          <w:sz w:val="20"/>
          <w:szCs w:val="20"/>
        </w:rPr>
        <w:t>3GPP system features</w:t>
      </w:r>
      <w:r w:rsidR="004E0F5B">
        <w:rPr>
          <w:sz w:val="20"/>
          <w:szCs w:val="20"/>
        </w:rPr>
        <w:t xml:space="preserve"> such as </w:t>
      </w:r>
      <w:r w:rsidRPr="00FA6C65">
        <w:rPr>
          <w:sz w:val="20"/>
          <w:szCs w:val="20"/>
        </w:rPr>
        <w:t xml:space="preserve">Control Plane CIoT 5GS </w:t>
      </w:r>
      <w:r w:rsidR="003C1F24" w:rsidRPr="00FA6C65">
        <w:rPr>
          <w:sz w:val="20"/>
          <w:szCs w:val="20"/>
        </w:rPr>
        <w:t>Optimization</w:t>
      </w:r>
      <w:r w:rsidRPr="00FA6C65">
        <w:rPr>
          <w:sz w:val="20"/>
          <w:szCs w:val="20"/>
        </w:rPr>
        <w:t xml:space="preserve">, Non-IP Data Delivery (NIDD), the Reliable Data Service, Mobile Initiated Connection Only (MICO) mode, Extended DRX (eDRX), extended buffering of downlink data, support for monitoring events and support for QoS differentiation for non-3GPP devices connecting through </w:t>
      </w:r>
      <w:r w:rsidR="00662013">
        <w:rPr>
          <w:sz w:val="20"/>
          <w:szCs w:val="20"/>
        </w:rPr>
        <w:t>a</w:t>
      </w:r>
      <w:r w:rsidRPr="00FA6C65">
        <w:rPr>
          <w:sz w:val="20"/>
          <w:szCs w:val="20"/>
        </w:rPr>
        <w:t xml:space="preserve"> UE</w:t>
      </w:r>
      <w:r w:rsidR="00A22CED" w:rsidRPr="00206E7E">
        <w:rPr>
          <w:sz w:val="20"/>
          <w:szCs w:val="20"/>
        </w:rPr>
        <w:t>.</w:t>
      </w:r>
    </w:p>
    <w:p w14:paraId="2325C372" w14:textId="1BA3C0AF" w:rsidR="0083667F" w:rsidRDefault="004E186A" w:rsidP="00257B3E">
      <w:pPr>
        <w:pStyle w:val="ListParagraph"/>
        <w:numPr>
          <w:ilvl w:val="2"/>
          <w:numId w:val="10"/>
        </w:numPr>
        <w:rPr>
          <w:sz w:val="20"/>
          <w:szCs w:val="20"/>
        </w:rPr>
      </w:pPr>
      <w:r w:rsidRPr="003C1F24">
        <w:rPr>
          <w:sz w:val="20"/>
          <w:szCs w:val="20"/>
        </w:rPr>
        <w:t>IoT devices</w:t>
      </w:r>
      <w:r>
        <w:rPr>
          <w:sz w:val="20"/>
          <w:szCs w:val="20"/>
        </w:rPr>
        <w:t xml:space="preserve"> </w:t>
      </w:r>
      <w:r w:rsidRPr="003C1F24">
        <w:rPr>
          <w:sz w:val="20"/>
          <w:szCs w:val="20"/>
        </w:rPr>
        <w:t>connecting directly or via another UE</w:t>
      </w:r>
      <w:r>
        <w:rPr>
          <w:sz w:val="20"/>
          <w:szCs w:val="20"/>
        </w:rPr>
        <w:t>,</w:t>
      </w:r>
      <w:r w:rsidRPr="003C1F24">
        <w:rPr>
          <w:sz w:val="20"/>
          <w:szCs w:val="20"/>
        </w:rPr>
        <w:t xml:space="preserve"> as defined in 3GPP</w:t>
      </w:r>
      <w:r>
        <w:t> </w:t>
      </w:r>
      <w:r w:rsidRPr="003C1F24">
        <w:rPr>
          <w:sz w:val="20"/>
          <w:szCs w:val="20"/>
        </w:rPr>
        <w:t>TS 22.26</w:t>
      </w:r>
      <w:r>
        <w:rPr>
          <w:sz w:val="20"/>
          <w:szCs w:val="20"/>
        </w:rPr>
        <w:t>1</w:t>
      </w:r>
    </w:p>
    <w:p w14:paraId="3FD99EFC" w14:textId="081B8CF8" w:rsidR="00A22CED" w:rsidRPr="00206E7E" w:rsidRDefault="00A22CED" w:rsidP="00CD1846">
      <w:pPr>
        <w:pStyle w:val="ListParagraph"/>
        <w:numPr>
          <w:ilvl w:val="1"/>
          <w:numId w:val="10"/>
        </w:numPr>
        <w:rPr>
          <w:sz w:val="20"/>
          <w:szCs w:val="20"/>
        </w:rPr>
      </w:pPr>
      <w:r w:rsidRPr="00206E7E">
        <w:rPr>
          <w:sz w:val="20"/>
          <w:szCs w:val="20"/>
        </w:rPr>
        <w:t xml:space="preserve">Identify </w:t>
      </w:r>
      <w:r w:rsidR="004D0F05">
        <w:rPr>
          <w:sz w:val="20"/>
          <w:szCs w:val="20"/>
        </w:rPr>
        <w:t xml:space="preserve">potential </w:t>
      </w:r>
      <w:r w:rsidRPr="00206E7E">
        <w:rPr>
          <w:sz w:val="20"/>
          <w:szCs w:val="20"/>
        </w:rPr>
        <w:t xml:space="preserve">enhancements required for the identified </w:t>
      </w:r>
      <w:r w:rsidR="005D15BC">
        <w:rPr>
          <w:sz w:val="20"/>
          <w:szCs w:val="20"/>
        </w:rPr>
        <w:t>gaps and limitations</w:t>
      </w:r>
      <w:r w:rsidRPr="00206E7E">
        <w:rPr>
          <w:sz w:val="20"/>
          <w:szCs w:val="20"/>
        </w:rPr>
        <w:t>.</w:t>
      </w:r>
    </w:p>
    <w:p w14:paraId="148B667B" w14:textId="5B80DFDD" w:rsidR="00A22CED" w:rsidRPr="003C1F24" w:rsidRDefault="00A22CED" w:rsidP="003C1F24">
      <w:pPr>
        <w:pStyle w:val="ListParagraph"/>
        <w:numPr>
          <w:ilvl w:val="0"/>
          <w:numId w:val="10"/>
        </w:numPr>
        <w:rPr>
          <w:sz w:val="20"/>
          <w:szCs w:val="20"/>
        </w:rPr>
      </w:pPr>
      <w:r w:rsidRPr="003C1F24">
        <w:rPr>
          <w:sz w:val="20"/>
          <w:szCs w:val="20"/>
        </w:rPr>
        <w:t xml:space="preserve">Develop </w:t>
      </w:r>
      <w:r w:rsidR="00C93E00" w:rsidRPr="003C1F24">
        <w:rPr>
          <w:sz w:val="20"/>
          <w:szCs w:val="20"/>
        </w:rPr>
        <w:t xml:space="preserve">solutions for </w:t>
      </w:r>
      <w:r w:rsidR="00477CDF" w:rsidRPr="003C1F24">
        <w:rPr>
          <w:sz w:val="20"/>
          <w:szCs w:val="20"/>
        </w:rPr>
        <w:t xml:space="preserve">enhancements </w:t>
      </w:r>
      <w:r w:rsidR="004E186A">
        <w:rPr>
          <w:sz w:val="20"/>
          <w:szCs w:val="20"/>
        </w:rPr>
        <w:t>identified in objective #1</w:t>
      </w:r>
      <w:r w:rsidR="003C1F24">
        <w:rPr>
          <w:sz w:val="20"/>
          <w:szCs w:val="20"/>
        </w:rPr>
        <w:t>.</w:t>
      </w:r>
    </w:p>
    <w:p w14:paraId="69A58E3D" w14:textId="77777777" w:rsidR="00B75D68" w:rsidRDefault="00B75D68" w:rsidP="00B75D68"/>
    <w:p w14:paraId="0EA1523C" w14:textId="166CC132" w:rsidR="002E6CEC" w:rsidRPr="00206E7E" w:rsidRDefault="002E6CEC" w:rsidP="002E6CEC">
      <w:pPr>
        <w:ind w:left="720"/>
      </w:pPr>
      <w:r w:rsidRPr="00206E7E">
        <w:t>NOTE: Ambient IoT devices are out-of-scope.</w:t>
      </w:r>
    </w:p>
    <w:p w14:paraId="2C14E499" w14:textId="4B91E1C6" w:rsidR="008118DA" w:rsidRPr="00517A17" w:rsidRDefault="008118DA">
      <w:pPr>
        <w:rPr>
          <w:lang w:eastAsia="ja-JP"/>
        </w:rPr>
      </w:pPr>
    </w:p>
    <w:p w14:paraId="51659D17" w14:textId="5C41BE62" w:rsidR="00517A17" w:rsidRPr="007861B8" w:rsidRDefault="00517A17" w:rsidP="00517A1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sidRPr="007861B8">
        <w:rPr>
          <w:b w:val="0"/>
          <w:sz w:val="36"/>
          <w:lang w:eastAsia="ja-JP"/>
        </w:rPr>
        <w:tab/>
      </w:r>
      <w:r>
        <w:rPr>
          <w:b w:val="0"/>
          <w:sz w:val="36"/>
          <w:lang w:eastAsia="ja-JP"/>
        </w:rPr>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A539F">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7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28"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DC3510" w14:paraId="1B661970" w14:textId="77777777" w:rsidTr="00FA539F">
        <w:trPr>
          <w:cantSplit/>
          <w:jc w:val="center"/>
        </w:trPr>
        <w:tc>
          <w:tcPr>
            <w:tcW w:w="1617" w:type="dxa"/>
          </w:tcPr>
          <w:p w14:paraId="3432BB32" w14:textId="6581712B" w:rsidR="00DD6F2E" w:rsidRPr="006C2E80" w:rsidRDefault="001E489F" w:rsidP="00DD6F2E">
            <w:pPr>
              <w:pStyle w:val="Guidance"/>
              <w:spacing w:after="0"/>
            </w:pPr>
            <w:r w:rsidRPr="006C2E80">
              <w:t>Internal TR</w:t>
            </w:r>
          </w:p>
          <w:p w14:paraId="194449B4" w14:textId="56E66569" w:rsidR="001E489F" w:rsidRPr="006C2E80" w:rsidRDefault="001E489F" w:rsidP="005875D6">
            <w:pPr>
              <w:pStyle w:val="Guidance"/>
              <w:spacing w:after="0"/>
            </w:pPr>
          </w:p>
        </w:tc>
        <w:tc>
          <w:tcPr>
            <w:tcW w:w="1134" w:type="dxa"/>
          </w:tcPr>
          <w:p w14:paraId="1581EDBA" w14:textId="5C76CAA8" w:rsidR="001E489F" w:rsidRPr="006C2E80" w:rsidRDefault="001E489F" w:rsidP="005875D6">
            <w:pPr>
              <w:pStyle w:val="Guidance"/>
              <w:spacing w:after="0"/>
            </w:pPr>
            <w:r w:rsidRPr="004D0F05">
              <w:t>2</w:t>
            </w:r>
            <w:r w:rsidR="004D0F05" w:rsidRPr="004D0F05">
              <w:t>3</w:t>
            </w:r>
            <w:r w:rsidRPr="004D0F05">
              <w:t>.X</w:t>
            </w:r>
            <w:r w:rsidR="0054476D" w:rsidRPr="004D0F05">
              <w:t>YZ</w:t>
            </w:r>
          </w:p>
        </w:tc>
        <w:tc>
          <w:tcPr>
            <w:tcW w:w="2374" w:type="dxa"/>
          </w:tcPr>
          <w:p w14:paraId="3489ADFF" w14:textId="0496AE81" w:rsidR="001E489F" w:rsidRPr="006C2E80" w:rsidRDefault="009B0AB3" w:rsidP="005875D6">
            <w:pPr>
              <w:pStyle w:val="Guidance"/>
              <w:spacing w:after="0"/>
            </w:pPr>
            <w:r w:rsidRPr="009B0AB3">
              <w:t xml:space="preserve">Study on application enablement layer </w:t>
            </w:r>
            <w:r w:rsidR="00177156">
              <w:t>consolidation</w:t>
            </w:r>
            <w:r w:rsidRPr="009B0AB3">
              <w:t xml:space="preserve"> for IoT devices</w:t>
            </w:r>
          </w:p>
        </w:tc>
        <w:tc>
          <w:tcPr>
            <w:tcW w:w="1028" w:type="dxa"/>
          </w:tcPr>
          <w:p w14:paraId="017CC721" w14:textId="6C7F52E8" w:rsidR="001E489F" w:rsidRPr="004D0F05" w:rsidRDefault="001E489F" w:rsidP="005875D6">
            <w:pPr>
              <w:pStyle w:val="Guidance"/>
              <w:spacing w:after="0"/>
            </w:pPr>
            <w:r w:rsidRPr="004D0F05">
              <w:t>TSG#</w:t>
            </w:r>
            <w:r w:rsidR="006E36DE" w:rsidRPr="004D0F05">
              <w:t>1</w:t>
            </w:r>
            <w:r w:rsidR="00FA539F">
              <w:t>09</w:t>
            </w:r>
          </w:p>
          <w:p w14:paraId="060C3F75" w14:textId="0286C584" w:rsidR="00EB1E7C" w:rsidRPr="004D0F05" w:rsidRDefault="00EB1E7C" w:rsidP="005875D6">
            <w:pPr>
              <w:pStyle w:val="Guidance"/>
              <w:spacing w:after="0"/>
            </w:pPr>
            <w:r w:rsidRPr="004D0F05">
              <w:rPr>
                <w:sz w:val="18"/>
                <w:szCs w:val="18"/>
              </w:rPr>
              <w:t>(</w:t>
            </w:r>
            <w:r w:rsidR="00FA539F">
              <w:rPr>
                <w:sz w:val="18"/>
                <w:szCs w:val="18"/>
              </w:rPr>
              <w:t>Sep</w:t>
            </w:r>
            <w:r w:rsidRPr="004D0F05">
              <w:rPr>
                <w:sz w:val="18"/>
                <w:szCs w:val="18"/>
              </w:rPr>
              <w:t xml:space="preserve"> </w:t>
            </w:r>
            <w:r w:rsidR="006E36DE" w:rsidRPr="004D0F05">
              <w:rPr>
                <w:sz w:val="18"/>
                <w:szCs w:val="18"/>
              </w:rPr>
              <w:t>2025</w:t>
            </w:r>
            <w:r w:rsidRPr="004D0F05">
              <w:rPr>
                <w:sz w:val="18"/>
                <w:szCs w:val="18"/>
              </w:rPr>
              <w:t>)</w:t>
            </w:r>
          </w:p>
        </w:tc>
        <w:tc>
          <w:tcPr>
            <w:tcW w:w="1074" w:type="dxa"/>
          </w:tcPr>
          <w:p w14:paraId="469BBA87" w14:textId="6E722F9E" w:rsidR="001E489F" w:rsidRPr="004D0F05" w:rsidRDefault="001E489F" w:rsidP="005875D6">
            <w:pPr>
              <w:pStyle w:val="Guidance"/>
              <w:spacing w:after="0"/>
            </w:pPr>
            <w:r w:rsidRPr="004D0F05">
              <w:t>TSG#</w:t>
            </w:r>
            <w:r w:rsidR="006E36DE" w:rsidRPr="004D0F05">
              <w:t>11</w:t>
            </w:r>
            <w:r w:rsidR="00FA539F">
              <w:t>0</w:t>
            </w:r>
          </w:p>
          <w:p w14:paraId="3CC87817" w14:textId="4401D316" w:rsidR="001F7E8C" w:rsidRPr="004D0F05" w:rsidRDefault="001F7E8C" w:rsidP="005875D6">
            <w:pPr>
              <w:pStyle w:val="Guidance"/>
              <w:spacing w:after="0"/>
            </w:pPr>
            <w:r w:rsidRPr="004D0F05">
              <w:rPr>
                <w:sz w:val="18"/>
                <w:szCs w:val="18"/>
              </w:rPr>
              <w:t>(</w:t>
            </w:r>
            <w:r w:rsidR="00FA539F">
              <w:rPr>
                <w:sz w:val="18"/>
                <w:szCs w:val="18"/>
              </w:rPr>
              <w:t>Dec</w:t>
            </w:r>
            <w:r w:rsidRPr="004D0F05">
              <w:rPr>
                <w:sz w:val="18"/>
                <w:szCs w:val="18"/>
              </w:rPr>
              <w:t xml:space="preserve"> </w:t>
            </w:r>
            <w:r w:rsidR="006E36DE" w:rsidRPr="004D0F05">
              <w:rPr>
                <w:sz w:val="18"/>
                <w:szCs w:val="18"/>
              </w:rPr>
              <w:t>202</w:t>
            </w:r>
            <w:r w:rsidR="00C966B7">
              <w:rPr>
                <w:sz w:val="18"/>
                <w:szCs w:val="18"/>
              </w:rPr>
              <w:t>5</w:t>
            </w:r>
            <w:r w:rsidRPr="004D0F05">
              <w:rPr>
                <w:sz w:val="18"/>
                <w:szCs w:val="18"/>
              </w:rPr>
              <w:t>)</w:t>
            </w:r>
          </w:p>
        </w:tc>
        <w:tc>
          <w:tcPr>
            <w:tcW w:w="2186" w:type="dxa"/>
          </w:tcPr>
          <w:p w14:paraId="71B3D7AE" w14:textId="5C58BAF7" w:rsidR="001E489F" w:rsidRPr="00396589" w:rsidRDefault="001F7E8C" w:rsidP="00CD3CE2">
            <w:pPr>
              <w:pStyle w:val="Guidance"/>
              <w:spacing w:after="0"/>
              <w:rPr>
                <w:lang w:val="fr-CA"/>
              </w:rPr>
            </w:pPr>
            <w:r w:rsidRPr="00396589">
              <w:rPr>
                <w:lang w:val="fr-CA"/>
              </w:rPr>
              <w:t>Michel Roy</w:t>
            </w:r>
            <w:r w:rsidR="00CD3CE2" w:rsidRPr="00396589">
              <w:rPr>
                <w:lang w:val="fr-CA"/>
              </w:rPr>
              <w:t xml:space="preserve"> </w:t>
            </w:r>
            <w:r w:rsidR="001E489F" w:rsidRPr="00396589">
              <w:rPr>
                <w:lang w:val="fr-CA"/>
              </w:rPr>
              <w:t>&lt;</w:t>
            </w:r>
            <w:r w:rsidR="00CD3CE2" w:rsidRPr="00396589">
              <w:rPr>
                <w:lang w:val="fr-CA"/>
              </w:rPr>
              <w:t>m</w:t>
            </w:r>
            <w:r w:rsidR="00291E07" w:rsidRPr="00396589">
              <w:rPr>
                <w:lang w:val="fr-CA"/>
              </w:rPr>
              <w:t>ichel.</w:t>
            </w:r>
            <w:r w:rsidR="00CD3CE2" w:rsidRPr="00396589">
              <w:rPr>
                <w:lang w:val="fr-CA"/>
              </w:rPr>
              <w:t>r</w:t>
            </w:r>
            <w:r w:rsidR="00291E07" w:rsidRPr="00396589">
              <w:rPr>
                <w:lang w:val="fr-CA"/>
              </w:rPr>
              <w:t>oy@</w:t>
            </w:r>
            <w:r w:rsidR="00CD3CE2" w:rsidRPr="00396589">
              <w:rPr>
                <w:lang w:val="fr-CA"/>
              </w:rPr>
              <w:t>i</w:t>
            </w:r>
            <w:r w:rsidR="00291E07" w:rsidRPr="00396589">
              <w:rPr>
                <w:lang w:val="fr-CA"/>
              </w:rPr>
              <w:t>nterdigital.com</w:t>
            </w:r>
            <w:r w:rsidR="001E489F" w:rsidRPr="00396589">
              <w:rPr>
                <w:lang w:val="fr-CA"/>
              </w:rPr>
              <w:t>&gt;</w:t>
            </w:r>
          </w:p>
        </w:tc>
      </w:tr>
      <w:tr w:rsidR="001E489F" w:rsidRPr="00DC3510" w14:paraId="32944FCA" w14:textId="77777777" w:rsidTr="00FA539F">
        <w:trPr>
          <w:cantSplit/>
          <w:jc w:val="center"/>
        </w:trPr>
        <w:tc>
          <w:tcPr>
            <w:tcW w:w="1617" w:type="dxa"/>
          </w:tcPr>
          <w:p w14:paraId="36EA8E77" w14:textId="77777777" w:rsidR="001E489F" w:rsidRPr="00396589" w:rsidRDefault="001E489F" w:rsidP="005875D6">
            <w:pPr>
              <w:pStyle w:val="TAL"/>
              <w:rPr>
                <w:lang w:val="fr-CA"/>
              </w:rPr>
            </w:pPr>
          </w:p>
        </w:tc>
        <w:tc>
          <w:tcPr>
            <w:tcW w:w="1134" w:type="dxa"/>
          </w:tcPr>
          <w:p w14:paraId="5F684E95" w14:textId="77777777" w:rsidR="001E489F" w:rsidRPr="00396589" w:rsidRDefault="001E489F" w:rsidP="005875D6">
            <w:pPr>
              <w:pStyle w:val="TAL"/>
              <w:rPr>
                <w:lang w:val="fr-CA"/>
              </w:rPr>
            </w:pPr>
          </w:p>
        </w:tc>
        <w:tc>
          <w:tcPr>
            <w:tcW w:w="2374" w:type="dxa"/>
          </w:tcPr>
          <w:p w14:paraId="3F9BA4C9" w14:textId="77777777" w:rsidR="001E489F" w:rsidRPr="00396589" w:rsidRDefault="001E489F" w:rsidP="005875D6">
            <w:pPr>
              <w:pStyle w:val="TAL"/>
              <w:rPr>
                <w:lang w:val="fr-CA"/>
              </w:rPr>
            </w:pPr>
          </w:p>
        </w:tc>
        <w:tc>
          <w:tcPr>
            <w:tcW w:w="1028" w:type="dxa"/>
          </w:tcPr>
          <w:p w14:paraId="510D9A1F" w14:textId="77777777" w:rsidR="001E489F" w:rsidRPr="00396589" w:rsidRDefault="001E489F" w:rsidP="005875D6">
            <w:pPr>
              <w:pStyle w:val="TAL"/>
              <w:rPr>
                <w:lang w:val="fr-CA"/>
              </w:rPr>
            </w:pPr>
          </w:p>
        </w:tc>
        <w:tc>
          <w:tcPr>
            <w:tcW w:w="1074" w:type="dxa"/>
          </w:tcPr>
          <w:p w14:paraId="11DE6EB5" w14:textId="77777777" w:rsidR="001E489F" w:rsidRPr="00396589" w:rsidRDefault="001E489F" w:rsidP="005875D6">
            <w:pPr>
              <w:pStyle w:val="TAL"/>
              <w:rPr>
                <w:lang w:val="fr-CA"/>
              </w:rPr>
            </w:pPr>
          </w:p>
        </w:tc>
        <w:tc>
          <w:tcPr>
            <w:tcW w:w="2186" w:type="dxa"/>
          </w:tcPr>
          <w:p w14:paraId="1D49C842" w14:textId="77777777" w:rsidR="001E489F" w:rsidRPr="00396589" w:rsidRDefault="001E489F" w:rsidP="005875D6">
            <w:pPr>
              <w:pStyle w:val="TAL"/>
              <w:rPr>
                <w:lang w:val="fr-CA"/>
              </w:rPr>
            </w:pPr>
          </w:p>
        </w:tc>
      </w:tr>
    </w:tbl>
    <w:p w14:paraId="7EC5BA9E" w14:textId="77777777" w:rsidR="001E489F" w:rsidRDefault="001E489F" w:rsidP="001E489F">
      <w:pPr>
        <w:pStyle w:val="FP"/>
        <w:rPr>
          <w:lang w:val="fr-CA"/>
        </w:rPr>
      </w:pPr>
    </w:p>
    <w:p w14:paraId="2BF7F904" w14:textId="77777777" w:rsidR="00716B48" w:rsidRPr="00396589" w:rsidRDefault="00716B48" w:rsidP="001E489F">
      <w:pPr>
        <w:pStyle w:val="FP"/>
        <w:rPr>
          <w:lang w:val="fr-CA"/>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04682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364DA6CA"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E7DEA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318E3CB"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1BEC818" w:rsidR="001E489F" w:rsidRPr="008E3D0B" w:rsidRDefault="006141F3" w:rsidP="00466F41">
      <w:pPr>
        <w:pStyle w:val="Guidance"/>
        <w:rPr>
          <w:lang w:val="fr-CA"/>
        </w:rPr>
      </w:pPr>
      <w:r w:rsidRPr="00466F41">
        <w:rPr>
          <w:i w:val="0"/>
          <w:iCs/>
          <w:lang w:val="fr-CA"/>
        </w:rPr>
        <w:t>Roy</w:t>
      </w:r>
      <w:r w:rsidR="00466F41" w:rsidRPr="00466F41">
        <w:rPr>
          <w:i w:val="0"/>
          <w:iCs/>
          <w:lang w:val="fr-CA"/>
        </w:rPr>
        <w:t>, Michel</w:t>
      </w:r>
      <w:r w:rsidRPr="00466F41">
        <w:rPr>
          <w:i w:val="0"/>
          <w:iCs/>
          <w:lang w:val="fr-CA"/>
        </w:rPr>
        <w:t xml:space="preserve">, </w:t>
      </w:r>
      <w:r w:rsidR="008E3D0B">
        <w:rPr>
          <w:i w:val="0"/>
          <w:iCs/>
          <w:lang w:val="fr-CA"/>
        </w:rPr>
        <w:t>InterDigital, &lt;</w:t>
      </w:r>
      <w:r w:rsidRPr="00466F41">
        <w:rPr>
          <w:i w:val="0"/>
          <w:iCs/>
          <w:lang w:val="fr-CA"/>
        </w:rPr>
        <w:t>michel.roy@interdigital.com</w:t>
      </w:r>
      <w:r w:rsidR="008E3D0B">
        <w:rPr>
          <w:i w:val="0"/>
          <w:iCs/>
          <w:lang w:val="fr-CA"/>
        </w:rPr>
        <w:t>&gt;</w:t>
      </w:r>
    </w:p>
    <w:p w14:paraId="250CADCC" w14:textId="77777777" w:rsidR="001E489F" w:rsidRPr="008E3D0B" w:rsidRDefault="001E489F" w:rsidP="001E489F">
      <w:pPr>
        <w:rPr>
          <w:lang w:val="fr-CA"/>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DF6BB3C" w:rsidR="001A617C" w:rsidRPr="006C2E80" w:rsidRDefault="001A617C" w:rsidP="001A617C">
      <w:pPr>
        <w:pStyle w:val="Guidance"/>
      </w:pPr>
      <w:r>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934D90" w:rsidR="001E489F" w:rsidRPr="00557B2E" w:rsidRDefault="00E93076" w:rsidP="006A1308">
      <w:pPr>
        <w:pStyle w:val="Guidance"/>
      </w:pPr>
      <w:r w:rsidRPr="00E93076">
        <w:rPr>
          <w:i w:val="0"/>
          <w:iCs/>
        </w:rPr>
        <w:t>None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EDEEDD6" w:rsidR="001E489F" w:rsidRDefault="006F3945" w:rsidP="005875D6">
            <w:pPr>
              <w:pStyle w:val="TAL"/>
            </w:pPr>
            <w:r>
              <w:t>InterDigital</w:t>
            </w:r>
            <w:r w:rsidR="00A300BF">
              <w:t xml:space="preserve"> Inc.</w:t>
            </w:r>
          </w:p>
        </w:tc>
      </w:tr>
      <w:tr w:rsidR="001E489F" w14:paraId="2C5796E3" w14:textId="77777777" w:rsidTr="005875D6">
        <w:trPr>
          <w:cantSplit/>
          <w:jc w:val="center"/>
        </w:trPr>
        <w:tc>
          <w:tcPr>
            <w:tcW w:w="5029" w:type="dxa"/>
            <w:shd w:val="clear" w:color="auto" w:fill="auto"/>
          </w:tcPr>
          <w:p w14:paraId="3ABE29D5" w14:textId="354171DC" w:rsidR="001E489F" w:rsidRPr="005E2BD4" w:rsidRDefault="005E2BD4"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1C81AB96" w:rsidR="001E489F" w:rsidRDefault="00FA539F"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6C51BF8D" w:rsidR="00FA539F" w:rsidRDefault="00FA539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1AF3547F"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6F3945"/>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A8FB" w14:textId="77777777" w:rsidR="003B2277" w:rsidRDefault="003B2277">
      <w:r>
        <w:separator/>
      </w:r>
    </w:p>
  </w:endnote>
  <w:endnote w:type="continuationSeparator" w:id="0">
    <w:p w14:paraId="6DF00765" w14:textId="77777777" w:rsidR="003B2277" w:rsidRDefault="003B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A1BC" w14:textId="77777777" w:rsidR="003B2277" w:rsidRDefault="003B2277">
      <w:r>
        <w:separator/>
      </w:r>
    </w:p>
  </w:footnote>
  <w:footnote w:type="continuationSeparator" w:id="0">
    <w:p w14:paraId="7A1C398C" w14:textId="77777777" w:rsidR="003B2277" w:rsidRDefault="003B2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CA8"/>
    <w:multiLevelType w:val="hybridMultilevel"/>
    <w:tmpl w:val="1E16B9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9A199C"/>
    <w:multiLevelType w:val="hybridMultilevel"/>
    <w:tmpl w:val="6AD03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651AD"/>
    <w:multiLevelType w:val="hybridMultilevel"/>
    <w:tmpl w:val="F7843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2045A6"/>
    <w:multiLevelType w:val="hybridMultilevel"/>
    <w:tmpl w:val="E33E4B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4938EA"/>
    <w:multiLevelType w:val="hybridMultilevel"/>
    <w:tmpl w:val="7BB08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776220959">
    <w:abstractNumId w:val="6"/>
  </w:num>
  <w:num w:numId="10" w16cid:durableId="1435051729">
    <w:abstractNumId w:val="10"/>
  </w:num>
  <w:num w:numId="11" w16cid:durableId="1008630024">
    <w:abstractNumId w:val="0"/>
  </w:num>
  <w:num w:numId="12" w16cid:durableId="1863394742">
    <w:abstractNumId w:val="11"/>
  </w:num>
  <w:num w:numId="13" w16cid:durableId="13324913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0C44"/>
    <w:rsid w:val="000726EB"/>
    <w:rsid w:val="00072A7C"/>
    <w:rsid w:val="00075288"/>
    <w:rsid w:val="000775E7"/>
    <w:rsid w:val="0007775C"/>
    <w:rsid w:val="000930CA"/>
    <w:rsid w:val="00094F23"/>
    <w:rsid w:val="000967F4"/>
    <w:rsid w:val="000A1A5F"/>
    <w:rsid w:val="000A6432"/>
    <w:rsid w:val="000B667B"/>
    <w:rsid w:val="000B6FDF"/>
    <w:rsid w:val="000C4D7F"/>
    <w:rsid w:val="000D6D78"/>
    <w:rsid w:val="000E0429"/>
    <w:rsid w:val="000E0437"/>
    <w:rsid w:val="000E3240"/>
    <w:rsid w:val="000F6E51"/>
    <w:rsid w:val="00100C39"/>
    <w:rsid w:val="00102A24"/>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768B7"/>
    <w:rsid w:val="00177156"/>
    <w:rsid w:val="00180FBE"/>
    <w:rsid w:val="00186DF4"/>
    <w:rsid w:val="00192528"/>
    <w:rsid w:val="00192B41"/>
    <w:rsid w:val="0019338C"/>
    <w:rsid w:val="00193EA6"/>
    <w:rsid w:val="00197E4A"/>
    <w:rsid w:val="001A31EF"/>
    <w:rsid w:val="001A3E7E"/>
    <w:rsid w:val="001A617C"/>
    <w:rsid w:val="001B01F1"/>
    <w:rsid w:val="001B1274"/>
    <w:rsid w:val="001B2414"/>
    <w:rsid w:val="001B5421"/>
    <w:rsid w:val="001B650D"/>
    <w:rsid w:val="001C3A6D"/>
    <w:rsid w:val="001C4D9B"/>
    <w:rsid w:val="001D0B09"/>
    <w:rsid w:val="001D142F"/>
    <w:rsid w:val="001E489F"/>
    <w:rsid w:val="001E6729"/>
    <w:rsid w:val="001F6383"/>
    <w:rsid w:val="001F7653"/>
    <w:rsid w:val="001F7E8C"/>
    <w:rsid w:val="00205C99"/>
    <w:rsid w:val="00206E7E"/>
    <w:rsid w:val="002070CB"/>
    <w:rsid w:val="00215855"/>
    <w:rsid w:val="00221438"/>
    <w:rsid w:val="002336A6"/>
    <w:rsid w:val="002336BF"/>
    <w:rsid w:val="00235F9B"/>
    <w:rsid w:val="00236BBA"/>
    <w:rsid w:val="00236D1F"/>
    <w:rsid w:val="002407FF"/>
    <w:rsid w:val="00241A03"/>
    <w:rsid w:val="00243051"/>
    <w:rsid w:val="00250066"/>
    <w:rsid w:val="00250F58"/>
    <w:rsid w:val="00253892"/>
    <w:rsid w:val="002541D3"/>
    <w:rsid w:val="00256429"/>
    <w:rsid w:val="00257B3E"/>
    <w:rsid w:val="0026253E"/>
    <w:rsid w:val="00270ACB"/>
    <w:rsid w:val="00272D61"/>
    <w:rsid w:val="002919B7"/>
    <w:rsid w:val="00291E07"/>
    <w:rsid w:val="00291EF2"/>
    <w:rsid w:val="00295D61"/>
    <w:rsid w:val="00297C1F"/>
    <w:rsid w:val="002B074C"/>
    <w:rsid w:val="002B2FE7"/>
    <w:rsid w:val="002B34EA"/>
    <w:rsid w:val="002B5361"/>
    <w:rsid w:val="002C1BA4"/>
    <w:rsid w:val="002C1EB9"/>
    <w:rsid w:val="002C47B8"/>
    <w:rsid w:val="002E397B"/>
    <w:rsid w:val="002E3AE2"/>
    <w:rsid w:val="002E6CEC"/>
    <w:rsid w:val="002F7C43"/>
    <w:rsid w:val="002F7CCB"/>
    <w:rsid w:val="00301992"/>
    <w:rsid w:val="003057FD"/>
    <w:rsid w:val="003101C6"/>
    <w:rsid w:val="00310E70"/>
    <w:rsid w:val="0031173A"/>
    <w:rsid w:val="00313F3E"/>
    <w:rsid w:val="00320536"/>
    <w:rsid w:val="00325E33"/>
    <w:rsid w:val="003275E6"/>
    <w:rsid w:val="00354553"/>
    <w:rsid w:val="00367CC6"/>
    <w:rsid w:val="003715B7"/>
    <w:rsid w:val="00376C60"/>
    <w:rsid w:val="00385F4A"/>
    <w:rsid w:val="00392C87"/>
    <w:rsid w:val="00396589"/>
    <w:rsid w:val="00396FFA"/>
    <w:rsid w:val="003A40AD"/>
    <w:rsid w:val="003A5FFA"/>
    <w:rsid w:val="003A67E1"/>
    <w:rsid w:val="003A7108"/>
    <w:rsid w:val="003B2277"/>
    <w:rsid w:val="003B2EA3"/>
    <w:rsid w:val="003C1F24"/>
    <w:rsid w:val="003D1BD4"/>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08F0"/>
    <w:rsid w:val="00421AFD"/>
    <w:rsid w:val="004246F2"/>
    <w:rsid w:val="00431238"/>
    <w:rsid w:val="00432048"/>
    <w:rsid w:val="00442C65"/>
    <w:rsid w:val="00451122"/>
    <w:rsid w:val="004518DB"/>
    <w:rsid w:val="004562FC"/>
    <w:rsid w:val="00460C99"/>
    <w:rsid w:val="00466F41"/>
    <w:rsid w:val="00477CDF"/>
    <w:rsid w:val="00477EBC"/>
    <w:rsid w:val="00482246"/>
    <w:rsid w:val="00484421"/>
    <w:rsid w:val="00491391"/>
    <w:rsid w:val="004A01BD"/>
    <w:rsid w:val="004A0A73"/>
    <w:rsid w:val="004A180A"/>
    <w:rsid w:val="004A661C"/>
    <w:rsid w:val="004B6ACC"/>
    <w:rsid w:val="004C25F6"/>
    <w:rsid w:val="004C4C9B"/>
    <w:rsid w:val="004C5CDC"/>
    <w:rsid w:val="004D0F05"/>
    <w:rsid w:val="004D245D"/>
    <w:rsid w:val="004D2FA0"/>
    <w:rsid w:val="004D4AF0"/>
    <w:rsid w:val="004E0F5B"/>
    <w:rsid w:val="004E1010"/>
    <w:rsid w:val="004E186A"/>
    <w:rsid w:val="004F4172"/>
    <w:rsid w:val="0050202A"/>
    <w:rsid w:val="00507903"/>
    <w:rsid w:val="00517A17"/>
    <w:rsid w:val="0052032E"/>
    <w:rsid w:val="00521896"/>
    <w:rsid w:val="00522619"/>
    <w:rsid w:val="00522A80"/>
    <w:rsid w:val="005267B3"/>
    <w:rsid w:val="00527F08"/>
    <w:rsid w:val="00535A39"/>
    <w:rsid w:val="0054229C"/>
    <w:rsid w:val="00542C77"/>
    <w:rsid w:val="0054476D"/>
    <w:rsid w:val="00544D8F"/>
    <w:rsid w:val="00544DAA"/>
    <w:rsid w:val="005522FA"/>
    <w:rsid w:val="00553BDE"/>
    <w:rsid w:val="00556F13"/>
    <w:rsid w:val="00562495"/>
    <w:rsid w:val="005652BD"/>
    <w:rsid w:val="00565B93"/>
    <w:rsid w:val="00570F8A"/>
    <w:rsid w:val="00572B78"/>
    <w:rsid w:val="0057401B"/>
    <w:rsid w:val="00577727"/>
    <w:rsid w:val="005777AF"/>
    <w:rsid w:val="00583917"/>
    <w:rsid w:val="00586562"/>
    <w:rsid w:val="00590B24"/>
    <w:rsid w:val="00591752"/>
    <w:rsid w:val="00593DC4"/>
    <w:rsid w:val="0059529B"/>
    <w:rsid w:val="005954DD"/>
    <w:rsid w:val="005A0629"/>
    <w:rsid w:val="005A3249"/>
    <w:rsid w:val="005A5A58"/>
    <w:rsid w:val="005A6ABC"/>
    <w:rsid w:val="005B1577"/>
    <w:rsid w:val="005B2109"/>
    <w:rsid w:val="005B2E38"/>
    <w:rsid w:val="005B35A2"/>
    <w:rsid w:val="005C0CC6"/>
    <w:rsid w:val="005C0FFC"/>
    <w:rsid w:val="005C1099"/>
    <w:rsid w:val="005C3DB0"/>
    <w:rsid w:val="005C3F71"/>
    <w:rsid w:val="005C5A03"/>
    <w:rsid w:val="005C5B64"/>
    <w:rsid w:val="005C7352"/>
    <w:rsid w:val="005D15BC"/>
    <w:rsid w:val="005D1F7E"/>
    <w:rsid w:val="005D2738"/>
    <w:rsid w:val="005D37AC"/>
    <w:rsid w:val="005D60FD"/>
    <w:rsid w:val="005E07CB"/>
    <w:rsid w:val="005E0BF8"/>
    <w:rsid w:val="005E2BD4"/>
    <w:rsid w:val="005E2C6D"/>
    <w:rsid w:val="005E32BB"/>
    <w:rsid w:val="005E7235"/>
    <w:rsid w:val="005F041C"/>
    <w:rsid w:val="005F2E94"/>
    <w:rsid w:val="005F4B34"/>
    <w:rsid w:val="00610D34"/>
    <w:rsid w:val="00612445"/>
    <w:rsid w:val="006141F3"/>
    <w:rsid w:val="006144F5"/>
    <w:rsid w:val="00616E18"/>
    <w:rsid w:val="00620287"/>
    <w:rsid w:val="00623AED"/>
    <w:rsid w:val="0062580F"/>
    <w:rsid w:val="00632157"/>
    <w:rsid w:val="00633971"/>
    <w:rsid w:val="006341C6"/>
    <w:rsid w:val="0064121E"/>
    <w:rsid w:val="00642894"/>
    <w:rsid w:val="00660354"/>
    <w:rsid w:val="006606DB"/>
    <w:rsid w:val="00662013"/>
    <w:rsid w:val="00665B9B"/>
    <w:rsid w:val="0067616E"/>
    <w:rsid w:val="00690725"/>
    <w:rsid w:val="00693606"/>
    <w:rsid w:val="00693D70"/>
    <w:rsid w:val="006975AE"/>
    <w:rsid w:val="006A0E66"/>
    <w:rsid w:val="006A1308"/>
    <w:rsid w:val="006A32D1"/>
    <w:rsid w:val="006A3CF5"/>
    <w:rsid w:val="006B4BC6"/>
    <w:rsid w:val="006C6614"/>
    <w:rsid w:val="006D03E2"/>
    <w:rsid w:val="006D0A8E"/>
    <w:rsid w:val="006D3D54"/>
    <w:rsid w:val="006D6A07"/>
    <w:rsid w:val="006E0D1B"/>
    <w:rsid w:val="006E1A49"/>
    <w:rsid w:val="006E36DE"/>
    <w:rsid w:val="006E3A55"/>
    <w:rsid w:val="006F063F"/>
    <w:rsid w:val="006F1B00"/>
    <w:rsid w:val="006F2EEB"/>
    <w:rsid w:val="006F3945"/>
    <w:rsid w:val="006F4B7A"/>
    <w:rsid w:val="006F55E9"/>
    <w:rsid w:val="00700A59"/>
    <w:rsid w:val="00701560"/>
    <w:rsid w:val="00702DC5"/>
    <w:rsid w:val="00710142"/>
    <w:rsid w:val="00712E81"/>
    <w:rsid w:val="00715328"/>
    <w:rsid w:val="00715590"/>
    <w:rsid w:val="00716B48"/>
    <w:rsid w:val="007174E5"/>
    <w:rsid w:val="00723246"/>
    <w:rsid w:val="00723919"/>
    <w:rsid w:val="007261D3"/>
    <w:rsid w:val="00733E86"/>
    <w:rsid w:val="0074596C"/>
    <w:rsid w:val="00746B65"/>
    <w:rsid w:val="00750D12"/>
    <w:rsid w:val="00756BBB"/>
    <w:rsid w:val="00761952"/>
    <w:rsid w:val="00761B9B"/>
    <w:rsid w:val="00762474"/>
    <w:rsid w:val="0076439E"/>
    <w:rsid w:val="00767616"/>
    <w:rsid w:val="007814A8"/>
    <w:rsid w:val="0078158F"/>
    <w:rsid w:val="00781A62"/>
    <w:rsid w:val="00781F2F"/>
    <w:rsid w:val="00783C0E"/>
    <w:rsid w:val="007861B8"/>
    <w:rsid w:val="00787383"/>
    <w:rsid w:val="00791B51"/>
    <w:rsid w:val="00792820"/>
    <w:rsid w:val="00795AD1"/>
    <w:rsid w:val="007B5456"/>
    <w:rsid w:val="007B5F65"/>
    <w:rsid w:val="007C767B"/>
    <w:rsid w:val="007D3C7C"/>
    <w:rsid w:val="007D687A"/>
    <w:rsid w:val="007E0ED8"/>
    <w:rsid w:val="007E1BA0"/>
    <w:rsid w:val="007F1DEC"/>
    <w:rsid w:val="007F2297"/>
    <w:rsid w:val="007F55EC"/>
    <w:rsid w:val="007F6574"/>
    <w:rsid w:val="007F6B75"/>
    <w:rsid w:val="007F7A96"/>
    <w:rsid w:val="008118DA"/>
    <w:rsid w:val="00811F72"/>
    <w:rsid w:val="00831057"/>
    <w:rsid w:val="0083667F"/>
    <w:rsid w:val="00837EF8"/>
    <w:rsid w:val="0084119C"/>
    <w:rsid w:val="00844AAD"/>
    <w:rsid w:val="00850CD4"/>
    <w:rsid w:val="008517E2"/>
    <w:rsid w:val="00854A49"/>
    <w:rsid w:val="008578D0"/>
    <w:rsid w:val="008624DE"/>
    <w:rsid w:val="008634EB"/>
    <w:rsid w:val="00866945"/>
    <w:rsid w:val="00875BDF"/>
    <w:rsid w:val="00876BD5"/>
    <w:rsid w:val="008856F6"/>
    <w:rsid w:val="00892BBD"/>
    <w:rsid w:val="00897C84"/>
    <w:rsid w:val="008A06BE"/>
    <w:rsid w:val="008A4A4F"/>
    <w:rsid w:val="008A56FD"/>
    <w:rsid w:val="008D1F6E"/>
    <w:rsid w:val="008D3DA6"/>
    <w:rsid w:val="008D5DA3"/>
    <w:rsid w:val="008E3D0B"/>
    <w:rsid w:val="008E70F7"/>
    <w:rsid w:val="008F1D3B"/>
    <w:rsid w:val="008F7444"/>
    <w:rsid w:val="008F7A15"/>
    <w:rsid w:val="0090660B"/>
    <w:rsid w:val="0091321C"/>
    <w:rsid w:val="00913788"/>
    <w:rsid w:val="0091399A"/>
    <w:rsid w:val="00922D75"/>
    <w:rsid w:val="0092630D"/>
    <w:rsid w:val="00926791"/>
    <w:rsid w:val="0093661C"/>
    <w:rsid w:val="00940736"/>
    <w:rsid w:val="009409E4"/>
    <w:rsid w:val="00941253"/>
    <w:rsid w:val="0094659C"/>
    <w:rsid w:val="0095038B"/>
    <w:rsid w:val="00950CF7"/>
    <w:rsid w:val="00960A44"/>
    <w:rsid w:val="00970864"/>
    <w:rsid w:val="009720B8"/>
    <w:rsid w:val="009736D5"/>
    <w:rsid w:val="009768C3"/>
    <w:rsid w:val="00977C43"/>
    <w:rsid w:val="0098195A"/>
    <w:rsid w:val="00990EEE"/>
    <w:rsid w:val="00996533"/>
    <w:rsid w:val="009A0093"/>
    <w:rsid w:val="009A3833"/>
    <w:rsid w:val="009A5F57"/>
    <w:rsid w:val="009A62E2"/>
    <w:rsid w:val="009B0AB3"/>
    <w:rsid w:val="009B110B"/>
    <w:rsid w:val="009B13F0"/>
    <w:rsid w:val="009B196A"/>
    <w:rsid w:val="009B55DA"/>
    <w:rsid w:val="009D5E48"/>
    <w:rsid w:val="009D6D9F"/>
    <w:rsid w:val="009E0B41"/>
    <w:rsid w:val="009E1910"/>
    <w:rsid w:val="009E31D9"/>
    <w:rsid w:val="009E487E"/>
    <w:rsid w:val="009E5DBA"/>
    <w:rsid w:val="009F6047"/>
    <w:rsid w:val="00A03D2A"/>
    <w:rsid w:val="00A049EB"/>
    <w:rsid w:val="00A10ADB"/>
    <w:rsid w:val="00A144AB"/>
    <w:rsid w:val="00A151A1"/>
    <w:rsid w:val="00A17F01"/>
    <w:rsid w:val="00A2049D"/>
    <w:rsid w:val="00A22CED"/>
    <w:rsid w:val="00A24557"/>
    <w:rsid w:val="00A248B2"/>
    <w:rsid w:val="00A267D7"/>
    <w:rsid w:val="00A27A64"/>
    <w:rsid w:val="00A300BF"/>
    <w:rsid w:val="00A37F80"/>
    <w:rsid w:val="00A46B3F"/>
    <w:rsid w:val="00A46F30"/>
    <w:rsid w:val="00A60F0F"/>
    <w:rsid w:val="00A61169"/>
    <w:rsid w:val="00A63024"/>
    <w:rsid w:val="00A65602"/>
    <w:rsid w:val="00A82FCC"/>
    <w:rsid w:val="00A8479D"/>
    <w:rsid w:val="00A906A4"/>
    <w:rsid w:val="00A91908"/>
    <w:rsid w:val="00A97953"/>
    <w:rsid w:val="00AA0A81"/>
    <w:rsid w:val="00AA574E"/>
    <w:rsid w:val="00AD324E"/>
    <w:rsid w:val="00AD5B51"/>
    <w:rsid w:val="00AD7B78"/>
    <w:rsid w:val="00AF4118"/>
    <w:rsid w:val="00B00077"/>
    <w:rsid w:val="00B03107"/>
    <w:rsid w:val="00B10820"/>
    <w:rsid w:val="00B16E03"/>
    <w:rsid w:val="00B1749C"/>
    <w:rsid w:val="00B26CAB"/>
    <w:rsid w:val="00B30214"/>
    <w:rsid w:val="00B3526C"/>
    <w:rsid w:val="00B35C61"/>
    <w:rsid w:val="00B376E0"/>
    <w:rsid w:val="00B41802"/>
    <w:rsid w:val="00B41E34"/>
    <w:rsid w:val="00B43DA4"/>
    <w:rsid w:val="00B45C31"/>
    <w:rsid w:val="00B47534"/>
    <w:rsid w:val="00B50B89"/>
    <w:rsid w:val="00B52AFB"/>
    <w:rsid w:val="00B5557E"/>
    <w:rsid w:val="00B63284"/>
    <w:rsid w:val="00B75CE0"/>
    <w:rsid w:val="00B75D68"/>
    <w:rsid w:val="00B81714"/>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F76"/>
    <w:rsid w:val="00BE3E87"/>
    <w:rsid w:val="00BF0A84"/>
    <w:rsid w:val="00BF4326"/>
    <w:rsid w:val="00BF5DDE"/>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13C7"/>
    <w:rsid w:val="00C63F06"/>
    <w:rsid w:val="00C6493E"/>
    <w:rsid w:val="00C6590B"/>
    <w:rsid w:val="00C7131F"/>
    <w:rsid w:val="00C76753"/>
    <w:rsid w:val="00C77F7E"/>
    <w:rsid w:val="00C8586A"/>
    <w:rsid w:val="00C93E00"/>
    <w:rsid w:val="00C966B7"/>
    <w:rsid w:val="00CA2B4F"/>
    <w:rsid w:val="00CA5DB0"/>
    <w:rsid w:val="00CC084E"/>
    <w:rsid w:val="00CC58ED"/>
    <w:rsid w:val="00CD3CE2"/>
    <w:rsid w:val="00CF32C5"/>
    <w:rsid w:val="00CF5925"/>
    <w:rsid w:val="00D0135E"/>
    <w:rsid w:val="00D02BA8"/>
    <w:rsid w:val="00D13E0E"/>
    <w:rsid w:val="00D145EC"/>
    <w:rsid w:val="00D32AF6"/>
    <w:rsid w:val="00D355FB"/>
    <w:rsid w:val="00D409A1"/>
    <w:rsid w:val="00D43C0B"/>
    <w:rsid w:val="00D44A74"/>
    <w:rsid w:val="00D57CD2"/>
    <w:rsid w:val="00D57E66"/>
    <w:rsid w:val="00D60BB2"/>
    <w:rsid w:val="00D63B73"/>
    <w:rsid w:val="00D73350"/>
    <w:rsid w:val="00D82231"/>
    <w:rsid w:val="00D8756E"/>
    <w:rsid w:val="00D938DD"/>
    <w:rsid w:val="00D9583A"/>
    <w:rsid w:val="00D95EAB"/>
    <w:rsid w:val="00D974EA"/>
    <w:rsid w:val="00DA29AC"/>
    <w:rsid w:val="00DA329A"/>
    <w:rsid w:val="00DB000B"/>
    <w:rsid w:val="00DB521B"/>
    <w:rsid w:val="00DB73E7"/>
    <w:rsid w:val="00DC0F52"/>
    <w:rsid w:val="00DC3510"/>
    <w:rsid w:val="00DC4726"/>
    <w:rsid w:val="00DD0AAB"/>
    <w:rsid w:val="00DD3C66"/>
    <w:rsid w:val="00DD40D2"/>
    <w:rsid w:val="00DD6F2E"/>
    <w:rsid w:val="00DE5BBF"/>
    <w:rsid w:val="00DF01BE"/>
    <w:rsid w:val="00E013A9"/>
    <w:rsid w:val="00E03A99"/>
    <w:rsid w:val="00E041CD"/>
    <w:rsid w:val="00E06534"/>
    <w:rsid w:val="00E126A5"/>
    <w:rsid w:val="00E1463F"/>
    <w:rsid w:val="00E21D53"/>
    <w:rsid w:val="00E34AA9"/>
    <w:rsid w:val="00E363A9"/>
    <w:rsid w:val="00E413E0"/>
    <w:rsid w:val="00E53AE3"/>
    <w:rsid w:val="00E5574A"/>
    <w:rsid w:val="00E64FB2"/>
    <w:rsid w:val="00E662BD"/>
    <w:rsid w:val="00E67B7D"/>
    <w:rsid w:val="00E81E2C"/>
    <w:rsid w:val="00E82FBF"/>
    <w:rsid w:val="00E93076"/>
    <w:rsid w:val="00E96ECD"/>
    <w:rsid w:val="00EA1A61"/>
    <w:rsid w:val="00EA2AFA"/>
    <w:rsid w:val="00EA662E"/>
    <w:rsid w:val="00EA69B1"/>
    <w:rsid w:val="00EB19AF"/>
    <w:rsid w:val="00EB1E7C"/>
    <w:rsid w:val="00EB5D2F"/>
    <w:rsid w:val="00EC10EC"/>
    <w:rsid w:val="00EC456C"/>
    <w:rsid w:val="00EC63B3"/>
    <w:rsid w:val="00ED166C"/>
    <w:rsid w:val="00ED5FA6"/>
    <w:rsid w:val="00ED6080"/>
    <w:rsid w:val="00EE0176"/>
    <w:rsid w:val="00EE2EBF"/>
    <w:rsid w:val="00EF0942"/>
    <w:rsid w:val="00EF291F"/>
    <w:rsid w:val="00F0218C"/>
    <w:rsid w:val="00F0251A"/>
    <w:rsid w:val="00F0393B"/>
    <w:rsid w:val="00F15D08"/>
    <w:rsid w:val="00F313DD"/>
    <w:rsid w:val="00F33ECB"/>
    <w:rsid w:val="00F378BE"/>
    <w:rsid w:val="00F43120"/>
    <w:rsid w:val="00F44FF2"/>
    <w:rsid w:val="00F64378"/>
    <w:rsid w:val="00F644AA"/>
    <w:rsid w:val="00F67FC3"/>
    <w:rsid w:val="00F7084E"/>
    <w:rsid w:val="00F763A4"/>
    <w:rsid w:val="00F80D67"/>
    <w:rsid w:val="00F81CF2"/>
    <w:rsid w:val="00F82A04"/>
    <w:rsid w:val="00F83DF3"/>
    <w:rsid w:val="00F9365E"/>
    <w:rsid w:val="00F941B8"/>
    <w:rsid w:val="00FA539F"/>
    <w:rsid w:val="00FA5FA5"/>
    <w:rsid w:val="00FA6721"/>
    <w:rsid w:val="00FA6C65"/>
    <w:rsid w:val="00FA7365"/>
    <w:rsid w:val="00FA79A7"/>
    <w:rsid w:val="00FB0778"/>
    <w:rsid w:val="00FB5EDE"/>
    <w:rsid w:val="00FC52D8"/>
    <w:rsid w:val="00FC643D"/>
    <w:rsid w:val="00FD1DAF"/>
    <w:rsid w:val="00FD796C"/>
    <w:rsid w:val="00FE1FB9"/>
    <w:rsid w:val="00FE3DCC"/>
    <w:rsid w:val="00FE53C8"/>
    <w:rsid w:val="00FE5E5F"/>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8E3D0B"/>
    <w:rPr>
      <w:color w:val="0563C1" w:themeColor="hyperlink"/>
      <w:u w:val="single"/>
    </w:rPr>
  </w:style>
  <w:style w:type="character" w:styleId="UnresolvedMention">
    <w:name w:val="Unresolved Mention"/>
    <w:basedOn w:val="DefaultParagraphFont"/>
    <w:uiPriority w:val="99"/>
    <w:semiHidden/>
    <w:unhideWhenUsed/>
    <w:rsid w:val="008E3D0B"/>
    <w:rPr>
      <w:color w:val="605E5C"/>
      <w:shd w:val="clear" w:color="auto" w:fill="E1DFDD"/>
    </w:rPr>
  </w:style>
  <w:style w:type="character" w:styleId="CommentReference">
    <w:name w:val="annotation reference"/>
    <w:basedOn w:val="DefaultParagraphFont"/>
    <w:rsid w:val="00BE0F76"/>
    <w:rPr>
      <w:sz w:val="16"/>
      <w:szCs w:val="16"/>
    </w:rPr>
  </w:style>
  <w:style w:type="paragraph" w:styleId="CommentSubject">
    <w:name w:val="annotation subject"/>
    <w:basedOn w:val="CommentText"/>
    <w:next w:val="CommentText"/>
    <w:link w:val="CommentSubjectChar"/>
    <w:rsid w:val="00BE0F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E0F76"/>
    <w:rPr>
      <w:rFonts w:ascii="Arial" w:hAnsi="Arial"/>
      <w:lang w:eastAsia="en-US"/>
    </w:rPr>
  </w:style>
  <w:style w:type="character" w:customStyle="1" w:styleId="CommentSubjectChar">
    <w:name w:val="Comment Subject Char"/>
    <w:basedOn w:val="CommentTextChar"/>
    <w:link w:val="CommentSubject"/>
    <w:rsid w:val="00BE0F7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9088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3574727">
      <w:bodyDiv w:val="1"/>
      <w:marLeft w:val="0"/>
      <w:marRight w:val="0"/>
      <w:marTop w:val="0"/>
      <w:marBottom w:val="0"/>
      <w:divBdr>
        <w:top w:val="none" w:sz="0" w:space="0" w:color="auto"/>
        <w:left w:val="none" w:sz="0" w:space="0" w:color="auto"/>
        <w:bottom w:val="none" w:sz="0" w:space="0" w:color="auto"/>
        <w:right w:val="none" w:sz="0" w:space="0" w:color="auto"/>
      </w:divBdr>
    </w:div>
    <w:div w:id="444348426">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73272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76669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199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896878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232098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685404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4DE79-0585-478D-9942-818962AE772F}">
  <ds:schemaRefs>
    <ds:schemaRef ds:uri="http://schemas.microsoft.com/sharepoint/v4"/>
    <ds:schemaRef ds:uri="http://schemas.microsoft.com/office/2006/metadata/properties"/>
    <ds:schemaRef ds:uri="e32f50e1-6846-4d7d-ad60-ccd6877e6c5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www.w3.org/XML/1998/namespace"/>
    <ds:schemaRef ds:uri="5a888943-97ca-4c93-b605-714bb5e9e285"/>
    <ds:schemaRef ds:uri="http://purl.org/dc/dcmitype/"/>
    <ds:schemaRef ds:uri="http://purl.org/dc/terms/"/>
  </ds:schemaRefs>
</ds:datastoreItem>
</file>

<file path=customXml/itemProps2.xml><?xml version="1.0" encoding="utf-8"?>
<ds:datastoreItem xmlns:ds="http://schemas.openxmlformats.org/officeDocument/2006/customXml" ds:itemID="{92118960-0DD1-43B0-AD49-68DA82DA663E}">
  <ds:schemaRefs>
    <ds:schemaRef ds:uri="http://schemas.microsoft.com/sharepoint/v3/contenttype/forms"/>
  </ds:schemaRefs>
</ds:datastoreItem>
</file>

<file path=customXml/itemProps3.xml><?xml version="1.0" encoding="utf-8"?>
<ds:datastoreItem xmlns:ds="http://schemas.openxmlformats.org/officeDocument/2006/customXml" ds:itemID="{BE769E1C-62BE-4125-B3F5-BEAB6F00F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EC9E0-CECB-4871-86F8-6DE3BFB86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1108</Words>
  <Characters>6866</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InterDigital-0404</cp:lastModifiedBy>
  <cp:revision>9</cp:revision>
  <cp:lastPrinted>2001-04-23T09:30:00Z</cp:lastPrinted>
  <dcterms:created xsi:type="dcterms:W3CDTF">2025-02-20T08:39:00Z</dcterms:created>
  <dcterms:modified xsi:type="dcterms:W3CDTF">2025-02-21T05:40:00Z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2025-01-15T18:28:31Z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2d0fcbcd-b16f-4b51-9b95-7f62c990dcb4</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