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2D09FF3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25488A52" w14:textId="77777777" w:rsidR="00BB094E" w:rsidRDefault="00BB094E" w:rsidP="00BB094E">
      <w:pPr>
        <w:spacing w:after="0" w:line="240" w:lineRule="auto"/>
        <w:ind w:left="720"/>
        <w:rPr>
          <w:rFonts w:eastAsia="Batang" w:cs="Arial"/>
          <w:sz w:val="20"/>
        </w:rPr>
      </w:pP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77777777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>Thursday 17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SA4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20DDC662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5E302A">
              <w:rPr>
                <w:rFonts w:eastAsia="Batang" w:cs="Arial"/>
                <w:color w:val="FF0000"/>
                <w:sz w:val="20"/>
              </w:rPr>
              <w:t>Friday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5E302A">
              <w:rPr>
                <w:rFonts w:eastAsia="Batang" w:cs="Arial"/>
                <w:color w:val="FF0000"/>
                <w:sz w:val="20"/>
              </w:rPr>
              <w:t>18</w:t>
            </w:r>
            <w:r w:rsidR="005E302A"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E302A">
              <w:rPr>
                <w:rFonts w:eastAsia="Batang" w:cs="Arial"/>
                <w:color w:val="FF0000"/>
                <w:sz w:val="20"/>
              </w:rPr>
              <w:t xml:space="preserve"> July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302A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4F1E6713" w:rsidR="00EE1AD4" w:rsidRPr="001624E1" w:rsidRDefault="00BB094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5540D9" w:rsidRPr="007135C3" w14:paraId="495AB59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98E375" w14:textId="1F2A8FA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</w:tr>
      <w:tr w:rsidR="005540D9" w:rsidRPr="007135C3" w14:paraId="16E3F6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5E302A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2D88145" w14:textId="17EF1A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</w:tr>
      <w:tr w:rsidR="005540D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5540D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56542728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4D5CF58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FFC80F3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5540D9" w:rsidRPr="00F91F35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2D5AE47E" w:rsidR="005540D9" w:rsidRPr="001A2FC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76CAF26A" w14:textId="77777777" w:rsidTr="004C6A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0EEDF1" w14:textId="7777777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BBE39C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6245ADA" w14:textId="2197CCD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5540D9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5540D9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CE1DD6F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4E1A21EA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FD8D14" w14:textId="3BDB2C6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2FDD7CE8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120883" w14:textId="77777777" w:rsidR="002A5F0B" w:rsidRPr="00406F35" w:rsidRDefault="002A5F0B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</w:tr>
      <w:tr w:rsidR="00406F35" w:rsidRPr="003676E2" w14:paraId="70AA556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515BDFC3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B8E15C" w14:textId="77777777" w:rsid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5540D9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D2B6E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41C238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530F16BE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5540D9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04E862C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2010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47FAE5E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5540D9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5540D9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0763556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5540D9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1241CF8" w:rsidR="005540D9" w:rsidRPr="00F560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3676E2" w14:paraId="2F2094B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3BFC620" w14:textId="0441C953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406F35" w:rsidRPr="007135C3" w14:paraId="11A1625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B7EFC49" w14:textId="77777777" w:rsidR="00406F35" w:rsidRPr="001624E1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7B71B830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54B3F914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5540D9" w:rsidRPr="007135C3" w14:paraId="60378E1C" w14:textId="77777777" w:rsidTr="00766F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211537" w14:textId="176766F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5540D9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5540D9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5540D9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5540D9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5540D9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5540D9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5540D9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1CE9CB51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 w:rsidR="00581C41"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</w:tr>
      <w:tr w:rsidR="00581C41" w:rsidRPr="003F408F" w14:paraId="032FFA55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005976D2" w14:textId="30464EAF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</w:tr>
      <w:tr w:rsidR="005540D9" w:rsidRPr="007135C3" w14:paraId="595774E4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50303E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3FB1AC8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AFE0FD2" w14:textId="77777777" w:rsidR="005540D9" w:rsidRPr="00243EF6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43141AB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904A6" w14:textId="77777777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02633C2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DDC25" w14:textId="51A8887A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4988801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13A0FAF9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BA5D7B" w14:textId="14A7E9E6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7135C3" w14:paraId="0E26BC21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ED0750A" w14:textId="08C4DEB8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019832C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B0BEE4" w14:textId="03A0FB3C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2A5F0B" w:rsidRPr="00406F35" w14:paraId="0F8F219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FDAAD3" w14:textId="1D1E59B0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</w:tr>
      <w:tr w:rsidR="00581C41" w:rsidRPr="003F408F" w14:paraId="57F8EB9A" w14:textId="77777777" w:rsidTr="0065690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9329" w:type="dxa"/>
            <w:shd w:val="clear" w:color="auto" w:fill="auto"/>
            <w:vAlign w:val="center"/>
          </w:tcPr>
          <w:p w14:paraId="1CD5FA88" w14:textId="66FD2FA7" w:rsidR="00581C41" w:rsidRPr="003F408F" w:rsidRDefault="00581C41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</w:tr>
      <w:tr w:rsidR="002A5F0B" w:rsidRPr="007135C3" w14:paraId="4F30F4E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6EBCD54" w14:textId="319F7167" w:rsidR="002A5F0B" w:rsidRPr="001624E1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7135C3" w14:paraId="11E0A4E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 w:rsidR="002A5F0B">
              <w:rPr>
                <w:rFonts w:cs="Arial"/>
                <w:b w:val="0"/>
                <w:bCs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835C559" w14:textId="51D2DDB9" w:rsidR="005540D9" w:rsidRPr="00063908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5540D9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5540D9" w:rsidRPr="000B128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4FF98F6F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5CB788" w14:textId="368B8399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2A5F0B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7518914D" w:rsidR="005540D9" w:rsidRPr="004931F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2A5F0B" w:rsidRPr="003676E2" w14:paraId="725D654D" w14:textId="77777777" w:rsidTr="0010693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2A5F0B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793F652" w14:textId="77777777" w:rsidR="002A5F0B" w:rsidRPr="00BC0829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2A5F0B" w:rsidRPr="003676E2" w14:paraId="2A31CA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4144F44" w14:textId="4D1EE013" w:rsidR="002A5F0B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5540D9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5540D9" w:rsidRPr="007135C3" w14:paraId="4F79458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B9658A" w14:textId="367BA5D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0924E5" w:rsidRPr="007135C3" w14:paraId="6291C750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59795D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</w:tr>
      <w:tr w:rsidR="000924E5" w:rsidRPr="007135C3" w14:paraId="2AADB623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4A33B0" w14:textId="0B74B583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</w:tr>
      <w:tr w:rsidR="000924E5" w:rsidRPr="007135C3" w14:paraId="4DDDFAB2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FE17A6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5540D9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5540D9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5540D9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5540D9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479B6255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 xml:space="preserve">Friday </w:t>
            </w:r>
            <w:r w:rsidR="00406F35">
              <w:rPr>
                <w:rFonts w:cs="Arial"/>
                <w:bCs/>
                <w:color w:val="FF0000"/>
                <w:sz w:val="20"/>
              </w:rPr>
              <w:t>25</w:t>
            </w:r>
            <w:r w:rsidR="00406F35"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06F35">
              <w:rPr>
                <w:rFonts w:cs="Arial"/>
                <w:bCs/>
                <w:color w:val="FF0000"/>
                <w:sz w:val="20"/>
              </w:rPr>
              <w:t>July</w:t>
            </w:r>
            <w:r>
              <w:rPr>
                <w:rFonts w:cs="Arial"/>
                <w:bCs/>
                <w:color w:val="FF0000"/>
                <w:sz w:val="20"/>
              </w:rPr>
              <w:t xml:space="preserve">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406F35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406F35">
              <w:rPr>
                <w:rFonts w:cs="Arial"/>
                <w:bCs/>
                <w:color w:val="FF0000"/>
                <w:sz w:val="20"/>
              </w:rPr>
              <w:t>CEST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6002" w14:textId="77777777" w:rsidR="00E60D5A" w:rsidRDefault="00E60D5A">
      <w:r>
        <w:separator/>
      </w:r>
    </w:p>
  </w:endnote>
  <w:endnote w:type="continuationSeparator" w:id="0">
    <w:p w14:paraId="29E2C6F4" w14:textId="77777777" w:rsidR="00E60D5A" w:rsidRDefault="00E6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1457" w14:textId="77777777" w:rsidR="006E0AC3" w:rsidRDefault="006E0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1469" w14:textId="77777777" w:rsidR="00E60D5A" w:rsidRDefault="00E60D5A">
      <w:r>
        <w:separator/>
      </w:r>
    </w:p>
  </w:footnote>
  <w:footnote w:type="continuationSeparator" w:id="0">
    <w:p w14:paraId="2A892A05" w14:textId="77777777" w:rsidR="00E60D5A" w:rsidRDefault="00E60D5A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8FD6" w14:textId="77777777" w:rsidR="006E0AC3" w:rsidRDefault="006E0A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66724A9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8C6011" w:rsidRPr="008C6011">
      <w:rPr>
        <w:rFonts w:cs="Arial"/>
        <w:b/>
        <w:i/>
        <w:sz w:val="28"/>
        <w:szCs w:val="28"/>
      </w:rPr>
      <w:t>S4-25</w:t>
    </w:r>
    <w:r w:rsidR="006E0AC3">
      <w:rPr>
        <w:rFonts w:cs="Arial"/>
        <w:b/>
        <w:i/>
        <w:sz w:val="28"/>
        <w:szCs w:val="28"/>
      </w:rPr>
      <w:t>1209</w:t>
    </w:r>
  </w:p>
  <w:p w14:paraId="641F0A71" w14:textId="6F841B4F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4206583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1665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6</cp:revision>
  <cp:lastPrinted>2016-05-03T09:51:00Z</cp:lastPrinted>
  <dcterms:created xsi:type="dcterms:W3CDTF">2025-07-07T20:41:00Z</dcterms:created>
  <dcterms:modified xsi:type="dcterms:W3CDTF">2025-07-08T15:26:00Z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