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CA6BCC8"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301DE" w:rsidRPr="007301DE">
        <w:rPr>
          <w:rFonts w:ascii="Arial" w:hAnsi="Arial" w:cs="Arial"/>
          <w:b/>
          <w:bCs/>
          <w:szCs w:val="24"/>
          <w:lang w:val="en-US" w:eastAsia="ja-JP"/>
        </w:rPr>
        <w:t>10.5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86E11A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1B5133">
        <w:rPr>
          <w:rFonts w:ascii="Arial" w:hAnsi="Arial" w:cs="Arial"/>
          <w:b/>
          <w:szCs w:val="24"/>
          <w:lang w:val="en-US" w:eastAsia="ja-JP"/>
        </w:rPr>
        <w:t>iRTCW</w:t>
      </w:r>
      <w:proofErr w:type="spellEnd"/>
      <w:r w:rsidR="00DF7631">
        <w:rPr>
          <w:rFonts w:ascii="Arial" w:hAnsi="Arial" w:cs="Arial"/>
          <w:b/>
          <w:szCs w:val="24"/>
          <w:lang w:val="en-US" w:eastAsia="ja-JP"/>
        </w:rPr>
        <w:t>]</w:t>
      </w:r>
      <w:r w:rsidR="001B5133">
        <w:rPr>
          <w:rFonts w:ascii="Arial" w:hAnsi="Arial" w:cs="Arial"/>
          <w:b/>
          <w:szCs w:val="24"/>
          <w:lang w:val="en-US" w:eastAsia="ja-JP"/>
        </w:rPr>
        <w:t xml:space="preserve"> Client Reference Architecture</w:t>
      </w:r>
      <w:r w:rsidR="00DF7631">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16369C7" w14:textId="2345DE88" w:rsidR="00AB234E" w:rsidRDefault="00154C82" w:rsidP="00AB234E">
      <w:pPr>
        <w:rPr>
          <w:lang w:val="en-US"/>
        </w:rPr>
      </w:pPr>
      <w:r>
        <w:rPr>
          <w:lang w:val="en-US"/>
        </w:rPr>
        <w:t xml:space="preserve">One of the objectives of the </w:t>
      </w:r>
      <w:proofErr w:type="spellStart"/>
      <w:r>
        <w:rPr>
          <w:lang w:val="en-US"/>
        </w:rPr>
        <w:t>iRTCW</w:t>
      </w:r>
      <w:proofErr w:type="spellEnd"/>
      <w:r>
        <w:rPr>
          <w:lang w:val="en-US"/>
        </w:rPr>
        <w:t xml:space="preserve"> work item is to define a reference architecture for the </w:t>
      </w:r>
      <w:proofErr w:type="spellStart"/>
      <w:r>
        <w:rPr>
          <w:lang w:val="en-US"/>
        </w:rPr>
        <w:t>iRTCW</w:t>
      </w:r>
      <w:proofErr w:type="spellEnd"/>
      <w:r>
        <w:rPr>
          <w:lang w:val="en-US"/>
        </w:rPr>
        <w:t xml:space="preserve"> client. An </w:t>
      </w:r>
      <w:proofErr w:type="spellStart"/>
      <w:r>
        <w:rPr>
          <w:lang w:val="en-US"/>
        </w:rPr>
        <w:t>iRTCW</w:t>
      </w:r>
      <w:proofErr w:type="spellEnd"/>
      <w:r>
        <w:rPr>
          <w:lang w:val="en-US"/>
        </w:rPr>
        <w:t xml:space="preserve"> client that runs </w:t>
      </w:r>
      <w:proofErr w:type="gramStart"/>
      <w:r>
        <w:rPr>
          <w:lang w:val="en-US"/>
        </w:rPr>
        <w:t>on</w:t>
      </w:r>
      <w:proofErr w:type="gramEnd"/>
      <w:r>
        <w:rPr>
          <w:lang w:val="en-US"/>
        </w:rPr>
        <w:t xml:space="preserve"> the UE should be able to support both classical 2D communication as well as immersive and AR communication over WebRTC.</w:t>
      </w:r>
    </w:p>
    <w:p w14:paraId="429BE123" w14:textId="26E4F168" w:rsidR="00154C82" w:rsidRPr="00AB234E" w:rsidRDefault="00154C82" w:rsidP="00AB234E">
      <w:pPr>
        <w:rPr>
          <w:lang w:val="en-US"/>
        </w:rPr>
      </w:pPr>
      <w:r>
        <w:rPr>
          <w:lang w:val="en-US"/>
        </w:rPr>
        <w:t xml:space="preserve">In this contribution, we propose to reuse the </w:t>
      </w:r>
      <w:proofErr w:type="spellStart"/>
      <w:r>
        <w:rPr>
          <w:lang w:val="en-US"/>
        </w:rPr>
        <w:t>MeCAR</w:t>
      </w:r>
      <w:proofErr w:type="spellEnd"/>
      <w:r>
        <w:rPr>
          <w:lang w:val="en-US"/>
        </w:rPr>
        <w:t xml:space="preserve"> architecture diagram as the </w:t>
      </w:r>
      <w:proofErr w:type="spellStart"/>
      <w:r>
        <w:rPr>
          <w:lang w:val="en-US"/>
        </w:rPr>
        <w:t>iRTCW</w:t>
      </w:r>
      <w:proofErr w:type="spellEnd"/>
      <w:r>
        <w:rPr>
          <w:lang w:val="en-US"/>
        </w:rPr>
        <w:t xml:space="preserve"> client reference architecture.</w:t>
      </w:r>
    </w:p>
    <w:p w14:paraId="3551B604" w14:textId="3E280B3E" w:rsidR="00F108B7" w:rsidRDefault="00154C82" w:rsidP="00F108B7">
      <w:pPr>
        <w:pStyle w:val="Heading1"/>
        <w:numPr>
          <w:ilvl w:val="0"/>
          <w:numId w:val="3"/>
        </w:numPr>
      </w:pPr>
      <w:r>
        <w:t>Client Reference Architecture</w:t>
      </w:r>
    </w:p>
    <w:p w14:paraId="64076EC2" w14:textId="2479B37A" w:rsidR="00154C82" w:rsidRDefault="00154C82" w:rsidP="00154C82">
      <w:pPr>
        <w:rPr>
          <w:lang w:val="en-US"/>
        </w:rPr>
      </w:pPr>
      <w:proofErr w:type="spellStart"/>
      <w:r>
        <w:rPr>
          <w:lang w:val="en-US"/>
        </w:rPr>
        <w:t>MeCAR</w:t>
      </w:r>
      <w:proofErr w:type="spellEnd"/>
      <w:r>
        <w:rPr>
          <w:lang w:val="en-US"/>
        </w:rPr>
        <w:t xml:space="preserve"> has invested significant time to develop </w:t>
      </w:r>
      <w:proofErr w:type="gramStart"/>
      <w:r>
        <w:rPr>
          <w:lang w:val="en-US"/>
        </w:rPr>
        <w:t>a client</w:t>
      </w:r>
      <w:proofErr w:type="gramEnd"/>
      <w:r>
        <w:rPr>
          <w:lang w:val="en-US"/>
        </w:rPr>
        <w:t xml:space="preserve"> architecture for XR services and applications.</w:t>
      </w:r>
    </w:p>
    <w:p w14:paraId="740E39D2" w14:textId="7B0D7CDE" w:rsidR="00154C82" w:rsidRDefault="00154C82" w:rsidP="00154C82">
      <w:pPr>
        <w:rPr>
          <w:lang w:val="en-US"/>
        </w:rPr>
      </w:pPr>
      <w:r>
        <w:rPr>
          <w:lang w:val="en-US"/>
        </w:rPr>
        <w:t xml:space="preserve">The following diagram is a simplified version that abstracts the architecture into its main components. </w:t>
      </w:r>
    </w:p>
    <w:p w14:paraId="7C9B7EE4" w14:textId="25D63FEA" w:rsidR="00154C82" w:rsidRDefault="00154C82" w:rsidP="00154C82">
      <w:pPr>
        <w:rPr>
          <w:lang w:val="en-US"/>
        </w:rPr>
      </w:pPr>
      <w:r>
        <w:rPr>
          <w:noProof/>
        </w:rPr>
        <w:drawing>
          <wp:inline distT="0" distB="0" distL="0" distR="0" wp14:anchorId="6C51F71A" wp14:editId="08E07431">
            <wp:extent cx="6153785" cy="3060065"/>
            <wp:effectExtent l="0" t="0" r="0" b="698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3060065"/>
                    </a:xfrm>
                    <a:prstGeom prst="rect">
                      <a:avLst/>
                    </a:prstGeom>
                    <a:noFill/>
                    <a:ln>
                      <a:noFill/>
                    </a:ln>
                  </pic:spPr>
                </pic:pic>
              </a:graphicData>
            </a:graphic>
          </wp:inline>
        </w:drawing>
      </w:r>
      <w:r>
        <w:rPr>
          <w:color w:val="000000"/>
          <w:sz w:val="20"/>
          <w:shd w:val="clear" w:color="auto" w:fill="FFFFFF"/>
        </w:rPr>
        <w:br/>
      </w:r>
    </w:p>
    <w:p w14:paraId="3555EDBD" w14:textId="62602DF2" w:rsidR="00154C82" w:rsidRDefault="00154C82" w:rsidP="00154C82">
      <w:pPr>
        <w:rPr>
          <w:lang w:val="en-US"/>
        </w:rPr>
      </w:pPr>
      <w:r>
        <w:rPr>
          <w:lang w:val="en-US"/>
        </w:rPr>
        <w:t>The XR application is composed of several components such as:</w:t>
      </w:r>
    </w:p>
    <w:p w14:paraId="4CA8B761" w14:textId="1AABB6FF" w:rsidR="00154C82" w:rsidRDefault="00154C82" w:rsidP="00154C82">
      <w:pPr>
        <w:pStyle w:val="ListParagraph"/>
        <w:numPr>
          <w:ilvl w:val="0"/>
          <w:numId w:val="23"/>
        </w:numPr>
      </w:pPr>
      <w:r>
        <w:t>A Presentation Engine that is responsible for exchanging and rendering the scene description for the application</w:t>
      </w:r>
    </w:p>
    <w:p w14:paraId="4FEC60AF" w14:textId="59C4A639" w:rsidR="00154C82" w:rsidRDefault="00154C82" w:rsidP="00154C82">
      <w:pPr>
        <w:pStyle w:val="ListParagraph"/>
        <w:numPr>
          <w:ilvl w:val="0"/>
          <w:numId w:val="23"/>
        </w:numPr>
      </w:pPr>
      <w:r>
        <w:lastRenderedPageBreak/>
        <w:t>A</w:t>
      </w:r>
      <w:r w:rsidR="001B5133">
        <w:t xml:space="preserve"> Media Access Function that is responsible for receiving and decoding the media of the presentation </w:t>
      </w:r>
    </w:p>
    <w:p w14:paraId="7A7F6ADF" w14:textId="77777777" w:rsidR="001B5133" w:rsidRDefault="001B5133" w:rsidP="001B5133"/>
    <w:p w14:paraId="2EA4B593" w14:textId="270D1B8A" w:rsidR="00154C82" w:rsidRDefault="001B5133" w:rsidP="001B5133">
      <w:r>
        <w:t xml:space="preserve">In the case of </w:t>
      </w:r>
      <w:proofErr w:type="spellStart"/>
      <w:r>
        <w:t>iRTCW</w:t>
      </w:r>
      <w:proofErr w:type="spellEnd"/>
      <w:r>
        <w:t xml:space="preserve">, the UE will typically contain a WebRTC stack and a WebRTC </w:t>
      </w:r>
      <w:proofErr w:type="spellStart"/>
      <w:r>
        <w:t>signaling</w:t>
      </w:r>
      <w:proofErr w:type="spellEnd"/>
      <w:r>
        <w:t xml:space="preserve"> function client that will setup the WebRTC session. The WebRTC API may </w:t>
      </w:r>
      <w:proofErr w:type="gramStart"/>
      <w:r>
        <w:t>be considered to be</w:t>
      </w:r>
      <w:proofErr w:type="gramEnd"/>
      <w:r>
        <w:t xml:space="preserve"> part of the Media APIs, which allows the XR Application to communicate with the WebRTC Stack.</w:t>
      </w:r>
    </w:p>
    <w:p w14:paraId="476F9AE8" w14:textId="3C202D8C" w:rsidR="001B5133" w:rsidRPr="00154C82" w:rsidRDefault="001B5133" w:rsidP="001B5133">
      <w:r>
        <w:t>Some blocks of this reference architecture may be optional. For example, in the case of a pure 2D application, the XR Runtime may not be present.</w:t>
      </w:r>
    </w:p>
    <w:p w14:paraId="00AAB516" w14:textId="141769BB" w:rsidR="007F6DA5" w:rsidRDefault="007F6DA5" w:rsidP="007F6DA5">
      <w:pPr>
        <w:rPr>
          <w:lang w:val="en-US"/>
        </w:rPr>
      </w:pPr>
    </w:p>
    <w:p w14:paraId="613FE5E7" w14:textId="779255CF" w:rsidR="00090904" w:rsidRDefault="00090904" w:rsidP="00090904">
      <w:pPr>
        <w:pStyle w:val="Heading1"/>
        <w:numPr>
          <w:ilvl w:val="0"/>
          <w:numId w:val="3"/>
        </w:numPr>
      </w:pPr>
      <w:r>
        <w:t>Proposal</w:t>
      </w:r>
    </w:p>
    <w:p w14:paraId="43F2D1A6" w14:textId="5C7D078F" w:rsidR="00090904" w:rsidRPr="007F6DA5" w:rsidRDefault="00090904" w:rsidP="007F6DA5">
      <w:pPr>
        <w:rPr>
          <w:lang w:val="en-US"/>
        </w:rPr>
      </w:pPr>
      <w:r>
        <w:rPr>
          <w:lang w:val="en-US"/>
        </w:rPr>
        <w:t xml:space="preserve">We propose to </w:t>
      </w:r>
      <w:r w:rsidR="001B5133">
        <w:rPr>
          <w:lang w:val="en-US"/>
        </w:rPr>
        <w:t xml:space="preserve">agree the proposed reference architecture for </w:t>
      </w:r>
      <w:proofErr w:type="spellStart"/>
      <w:r w:rsidR="001B5133">
        <w:rPr>
          <w:lang w:val="en-US"/>
        </w:rPr>
        <w:t>iRTCW</w:t>
      </w:r>
      <w:proofErr w:type="spellEnd"/>
      <w:r w:rsidR="001B5133">
        <w:rPr>
          <w:lang w:val="en-US"/>
        </w:rPr>
        <w:t xml:space="preserve"> and continue alignment with </w:t>
      </w:r>
      <w:proofErr w:type="spellStart"/>
      <w:r w:rsidR="001B5133">
        <w:rPr>
          <w:lang w:val="en-US"/>
        </w:rPr>
        <w:t>MeCAR</w:t>
      </w:r>
      <w:proofErr w:type="spellEnd"/>
      <w:r w:rsidR="001B5133">
        <w:rPr>
          <w:lang w:val="en-US"/>
        </w:rPr>
        <w:t xml:space="preserve"> on this topic</w:t>
      </w:r>
      <w:r>
        <w:rPr>
          <w:lang w:val="en-US"/>
        </w:rPr>
        <w:t>.</w:t>
      </w:r>
      <w:bookmarkEnd w:id="0"/>
    </w:p>
    <w:sectPr w:rsidR="00090904" w:rsidRPr="007F6DA5"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5352" w14:textId="77777777" w:rsidR="0093784E" w:rsidRDefault="0093784E">
      <w:r>
        <w:separator/>
      </w:r>
    </w:p>
  </w:endnote>
  <w:endnote w:type="continuationSeparator" w:id="0">
    <w:p w14:paraId="5D4EE076" w14:textId="77777777" w:rsidR="0093784E" w:rsidRDefault="0093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111B6" w14:textId="77777777" w:rsidR="0093784E" w:rsidRDefault="0093784E">
      <w:r>
        <w:separator/>
      </w:r>
    </w:p>
  </w:footnote>
  <w:footnote w:type="continuationSeparator" w:id="0">
    <w:p w14:paraId="039A83FA" w14:textId="77777777" w:rsidR="0093784E" w:rsidRDefault="0093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32B01598"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9A3DA7" w:rsidRPr="009A3DA7">
      <w:rPr>
        <w:rFonts w:ascii="Arial" w:eastAsia="SimSun" w:hAnsi="Arial" w:cs="Arial"/>
        <w:sz w:val="22"/>
        <w:lang w:val="en-US"/>
      </w:rPr>
      <w:t>3-e</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AC2039">
      <w:rPr>
        <w:rFonts w:ascii="Arial" w:eastAsia="SimSun" w:hAnsi="Arial" w:cs="Arial"/>
        <w:b/>
        <w:i/>
        <w:sz w:val="28"/>
        <w:szCs w:val="28"/>
        <w:lang w:val="en-US"/>
      </w:rPr>
      <w:t>2</w:t>
    </w:r>
    <w:r w:rsidR="009A3DA7">
      <w:rPr>
        <w:rFonts w:ascii="Arial" w:eastAsia="SimSun" w:hAnsi="Arial" w:cs="Arial"/>
        <w:b/>
        <w:i/>
        <w:sz w:val="28"/>
        <w:szCs w:val="28"/>
        <w:lang w:val="en-US"/>
      </w:rPr>
      <w:t>3</w:t>
    </w:r>
    <w:r w:rsidR="00AC2039">
      <w:rPr>
        <w:rFonts w:ascii="Arial" w:eastAsia="SimSun" w:hAnsi="Arial" w:cs="Arial"/>
        <w:b/>
        <w:i/>
        <w:sz w:val="28"/>
        <w:szCs w:val="28"/>
        <w:lang w:val="en-US"/>
      </w:rPr>
      <w:t>0614</w:t>
    </w:r>
  </w:p>
  <w:p w14:paraId="3B56539F" w14:textId="171E58A7" w:rsidR="008075BF" w:rsidRPr="00DA292D" w:rsidRDefault="009A3DA7"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Pr="009A3DA7">
      <w:rPr>
        <w:rFonts w:ascii="Arial" w:eastAsia="SimSun" w:hAnsi="Arial" w:cs="Arial"/>
        <w:sz w:val="22"/>
        <w:vertAlign w:val="superscript"/>
        <w:lang w:eastAsia="zh-CN"/>
      </w:rPr>
      <w:t>th</w:t>
    </w:r>
    <w:r>
      <w:rPr>
        <w:rFonts w:ascii="Arial" w:eastAsia="SimSun" w:hAnsi="Arial" w:cs="Arial"/>
        <w:sz w:val="22"/>
        <w:lang w:eastAsia="zh-CN"/>
      </w:rPr>
      <w:t xml:space="preserve"> – 21</w:t>
    </w:r>
    <w:r w:rsidRPr="009A3DA7">
      <w:rPr>
        <w:rFonts w:ascii="Arial" w:eastAsia="SimSun" w:hAnsi="Arial" w:cs="Arial"/>
        <w:sz w:val="22"/>
        <w:vertAlign w:val="superscript"/>
        <w:lang w:eastAsia="zh-CN"/>
      </w:rPr>
      <w:t>st</w:t>
    </w:r>
    <w:r>
      <w:rPr>
        <w:rFonts w:ascii="Arial" w:eastAsia="SimSun" w:hAnsi="Arial" w:cs="Arial"/>
        <w:sz w:val="22"/>
        <w:lang w:eastAsia="zh-CN"/>
      </w:rPr>
      <w:t xml:space="preserve"> April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F57CE"/>
    <w:multiLevelType w:val="hybridMultilevel"/>
    <w:tmpl w:val="773A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3"/>
  </w:num>
  <w:num w:numId="6" w16cid:durableId="735123984">
    <w:abstractNumId w:val="5"/>
  </w:num>
  <w:num w:numId="7" w16cid:durableId="788552162">
    <w:abstractNumId w:val="6"/>
  </w:num>
  <w:num w:numId="8" w16cid:durableId="283195772">
    <w:abstractNumId w:val="0"/>
  </w:num>
  <w:num w:numId="9" w16cid:durableId="1031805320">
    <w:abstractNumId w:val="2"/>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4"/>
  </w:num>
  <w:num w:numId="20" w16cid:durableId="69009680">
    <w:abstractNumId w:val="14"/>
  </w:num>
  <w:num w:numId="21" w16cid:durableId="1903441439">
    <w:abstractNumId w:val="14"/>
  </w:num>
  <w:num w:numId="22" w16cid:durableId="168373479">
    <w:abstractNumId w:val="14"/>
  </w:num>
  <w:num w:numId="23" w16cid:durableId="7850072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C82"/>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133"/>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1DE"/>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3784E"/>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2039"/>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235</Words>
  <Characters>1342</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2023-04-11T20:42:00Z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