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577B2E5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bookmarkStart w:id="2" w:name="specVersion"/>
            <w:r w:rsidR="000B689C" w:rsidRPr="004D3578">
              <w:t>V</w:t>
            </w:r>
            <w:r w:rsidR="000B689C">
              <w:t>1</w:t>
            </w:r>
            <w:r w:rsidR="00E41D5E">
              <w:t>.</w:t>
            </w:r>
            <w:bookmarkEnd w:id="2"/>
            <w:r w:rsidR="000B689C">
              <w:t>0</w:t>
            </w:r>
            <w:r w:rsidR="001E55BD">
              <w:t>.0</w:t>
            </w:r>
            <w:r w:rsidRPr="004D3578">
              <w:t xml:space="preserve"> </w:t>
            </w:r>
            <w:r w:rsidRPr="00133525">
              <w:rPr>
                <w:sz w:val="32"/>
              </w:rPr>
              <w:t>(</w:t>
            </w:r>
            <w:bookmarkStart w:id="3" w:name="issueDate"/>
            <w:r w:rsidR="00E41D5E">
              <w:rPr>
                <w:sz w:val="32"/>
              </w:rPr>
              <w:t>2021-</w:t>
            </w:r>
            <w:bookmarkEnd w:id="3"/>
            <w:r w:rsidR="000B689C">
              <w:rPr>
                <w:sz w:val="32"/>
              </w:rPr>
              <w:t>12</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2EC143DF" w:rsidR="004F0988" w:rsidRPr="005E4BB2" w:rsidRDefault="005949AA" w:rsidP="00133525">
            <w:pPr>
              <w:pStyle w:val="ZT"/>
              <w:framePr w:wrap="auto" w:hAnchor="text" w:yAlign="inline"/>
              <w:rPr>
                <w:highlight w:val="yellow"/>
              </w:rPr>
            </w:pPr>
            <w:r w:rsidRPr="009C4BCE">
              <w:rPr>
                <w:rStyle w:val="ZGSM"/>
              </w:rPr>
              <w:t>Technical Specification Group Services and System Aspects</w:t>
            </w:r>
            <w:bookmarkStart w:id="5" w:name="specTitle"/>
            <w:r w:rsidR="00E41D5E">
              <w:t>;</w:t>
            </w:r>
          </w:p>
          <w:bookmarkEnd w:id="5"/>
          <w:p w14:paraId="5E0F9525" w14:textId="40C97605" w:rsidR="00E41D5E" w:rsidRDefault="00E41D5E" w:rsidP="00133525">
            <w:pPr>
              <w:pStyle w:val="ZT"/>
              <w:framePr w:wrap="auto" w:hAnchor="text" w:yAlign="inline"/>
            </w:pPr>
            <w:r>
              <w:t>Data Collection and Reporting;</w:t>
            </w:r>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093A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49C85272" w14:textId="1B7F40BC" w:rsidR="00997BFF"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997BFF">
        <w:t>Foreword</w:t>
      </w:r>
      <w:r w:rsidR="00997BFF">
        <w:tab/>
      </w:r>
      <w:r w:rsidR="00997BFF">
        <w:fldChar w:fldCharType="begin"/>
      </w:r>
      <w:r w:rsidR="00997BFF">
        <w:instrText xml:space="preserve"> PAGEREF _Toc87848771 \h </w:instrText>
      </w:r>
      <w:r w:rsidR="00997BFF">
        <w:fldChar w:fldCharType="separate"/>
      </w:r>
      <w:r w:rsidR="00997BFF">
        <w:t>4</w:t>
      </w:r>
      <w:r w:rsidR="00997BFF">
        <w:fldChar w:fldCharType="end"/>
      </w:r>
    </w:p>
    <w:p w14:paraId="250FB522" w14:textId="71A0D16E" w:rsidR="00997BFF" w:rsidRDefault="00997BF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_Toc87848772 \h </w:instrText>
      </w:r>
      <w:r>
        <w:fldChar w:fldCharType="separate"/>
      </w:r>
      <w:r>
        <w:t>6</w:t>
      </w:r>
      <w:r>
        <w:fldChar w:fldCharType="end"/>
      </w:r>
    </w:p>
    <w:p w14:paraId="66A4AB65" w14:textId="14265F73" w:rsidR="00997BFF" w:rsidRDefault="00997BF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_Toc87848773 \h </w:instrText>
      </w:r>
      <w:r>
        <w:fldChar w:fldCharType="separate"/>
      </w:r>
      <w:r>
        <w:t>6</w:t>
      </w:r>
      <w:r>
        <w:fldChar w:fldCharType="end"/>
      </w:r>
    </w:p>
    <w:p w14:paraId="56503DEC" w14:textId="29CDAC35" w:rsidR="00997BFF" w:rsidRDefault="00997BF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_Toc87848774 \h </w:instrText>
      </w:r>
      <w:r>
        <w:fldChar w:fldCharType="separate"/>
      </w:r>
      <w:r>
        <w:t>6</w:t>
      </w:r>
      <w:r>
        <w:fldChar w:fldCharType="end"/>
      </w:r>
    </w:p>
    <w:p w14:paraId="5F6466B7" w14:textId="1E9265F4" w:rsidR="00997BFF" w:rsidRDefault="00997BF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_Toc87848775 \h </w:instrText>
      </w:r>
      <w:r>
        <w:fldChar w:fldCharType="separate"/>
      </w:r>
      <w:r>
        <w:t>6</w:t>
      </w:r>
      <w:r>
        <w:fldChar w:fldCharType="end"/>
      </w:r>
    </w:p>
    <w:p w14:paraId="29C56E79" w14:textId="390FBAE7" w:rsidR="00997BFF" w:rsidRDefault="00997BF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_Toc87848776 \h </w:instrText>
      </w:r>
      <w:r>
        <w:fldChar w:fldCharType="separate"/>
      </w:r>
      <w:r>
        <w:t>7</w:t>
      </w:r>
      <w:r>
        <w:fldChar w:fldCharType="end"/>
      </w:r>
    </w:p>
    <w:p w14:paraId="162BD254" w14:textId="11FF8D4E" w:rsidR="00997BFF" w:rsidRDefault="00997BF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_Toc87848777 \h </w:instrText>
      </w:r>
      <w:r>
        <w:fldChar w:fldCharType="separate"/>
      </w:r>
      <w:r>
        <w:t>7</w:t>
      </w:r>
      <w:r>
        <w:fldChar w:fldCharType="end"/>
      </w:r>
    </w:p>
    <w:p w14:paraId="2A30A71A" w14:textId="25CE78B1" w:rsidR="00997BFF" w:rsidRDefault="00997BF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_Toc87848778 \h </w:instrText>
      </w:r>
      <w:r>
        <w:fldChar w:fldCharType="separate"/>
      </w:r>
      <w:r>
        <w:t>7</w:t>
      </w:r>
      <w:r>
        <w:fldChar w:fldCharType="end"/>
      </w:r>
    </w:p>
    <w:p w14:paraId="278747F8" w14:textId="35EA3EA6" w:rsidR="00997BFF" w:rsidRDefault="00997BF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_Toc87848779 \h </w:instrText>
      </w:r>
      <w:r>
        <w:fldChar w:fldCharType="separate"/>
      </w:r>
      <w:r>
        <w:t>7</w:t>
      </w:r>
      <w:r>
        <w:fldChar w:fldCharType="end"/>
      </w:r>
    </w:p>
    <w:p w14:paraId="0BE0BF6D" w14:textId="41985703" w:rsidR="00997BFF" w:rsidRDefault="00997BF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_Toc87848780 \h </w:instrText>
      </w:r>
      <w:r>
        <w:fldChar w:fldCharType="separate"/>
      </w:r>
      <w:r>
        <w:t>8</w:t>
      </w:r>
      <w:r>
        <w:fldChar w:fldCharType="end"/>
      </w:r>
    </w:p>
    <w:p w14:paraId="481C7344" w14:textId="4299BB08" w:rsidR="00997BFF" w:rsidRDefault="00997BF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 Reference points for data collection and reporting</w:t>
      </w:r>
      <w:r>
        <w:tab/>
      </w:r>
      <w:r>
        <w:fldChar w:fldCharType="begin"/>
      </w:r>
      <w:r>
        <w:instrText xml:space="preserve"> PAGEREF _Toc87848781 \h </w:instrText>
      </w:r>
      <w:r>
        <w:fldChar w:fldCharType="separate"/>
      </w:r>
      <w:r>
        <w:t>11</w:t>
      </w:r>
      <w:r>
        <w:fldChar w:fldCharType="end"/>
      </w:r>
    </w:p>
    <w:p w14:paraId="067EDA2A" w14:textId="22FA8348" w:rsidR="00997BFF" w:rsidRDefault="00997BF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_Toc87848782 \h </w:instrText>
      </w:r>
      <w:r>
        <w:fldChar w:fldCharType="separate"/>
      </w:r>
      <w:r>
        <w:t>13</w:t>
      </w:r>
      <w:r>
        <w:fldChar w:fldCharType="end"/>
      </w:r>
    </w:p>
    <w:p w14:paraId="4B84244C" w14:textId="0507B14E" w:rsidR="00997BFF" w:rsidRDefault="00997BFF">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Information security model</w:t>
      </w:r>
      <w:r>
        <w:tab/>
      </w:r>
      <w:r>
        <w:fldChar w:fldCharType="begin"/>
      </w:r>
      <w:r>
        <w:instrText xml:space="preserve"> PAGEREF _Toc87848783 \h </w:instrText>
      </w:r>
      <w:r>
        <w:fldChar w:fldCharType="separate"/>
      </w:r>
      <w:r>
        <w:t>14</w:t>
      </w:r>
      <w:r>
        <w:fldChar w:fldCharType="end"/>
      </w:r>
    </w:p>
    <w:p w14:paraId="27714370" w14:textId="416CDEAE" w:rsidR="00997BFF" w:rsidRDefault="00997BFF">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_Toc87848784 \h </w:instrText>
      </w:r>
      <w:r>
        <w:fldChar w:fldCharType="separate"/>
      </w:r>
      <w:r>
        <w:t>15</w:t>
      </w:r>
      <w:r>
        <w:fldChar w:fldCharType="end"/>
      </w:r>
    </w:p>
    <w:p w14:paraId="3F34F2A2" w14:textId="040F9675" w:rsidR="00997BFF" w:rsidRDefault="00997BFF">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_Toc87848785 \h </w:instrText>
      </w:r>
      <w:r>
        <w:fldChar w:fldCharType="separate"/>
      </w:r>
      <w:r>
        <w:t>15</w:t>
      </w:r>
      <w:r>
        <w:fldChar w:fldCharType="end"/>
      </w:r>
    </w:p>
    <w:p w14:paraId="6D4D0D9C" w14:textId="46C775C5" w:rsidR="00997BFF" w:rsidRDefault="00997BFF">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_Toc87848786 \h </w:instrText>
      </w:r>
      <w:r>
        <w:fldChar w:fldCharType="separate"/>
      </w:r>
      <w:r>
        <w:t>16</w:t>
      </w:r>
      <w:r>
        <w:fldChar w:fldCharType="end"/>
      </w:r>
    </w:p>
    <w:p w14:paraId="401014EE" w14:textId="1048DCA1" w:rsidR="00997BFF" w:rsidRDefault="00997BFF">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Configuration information for data collection clients</w:t>
      </w:r>
      <w:r>
        <w:tab/>
      </w:r>
      <w:r>
        <w:fldChar w:fldCharType="begin"/>
      </w:r>
      <w:r>
        <w:instrText xml:space="preserve"> PAGEREF _Toc87848787 \h </w:instrText>
      </w:r>
      <w:r>
        <w:fldChar w:fldCharType="separate"/>
      </w:r>
      <w:r>
        <w:t>16</w:t>
      </w:r>
      <w:r>
        <w:fldChar w:fldCharType="end"/>
      </w:r>
    </w:p>
    <w:p w14:paraId="43FFC0A8" w14:textId="6973323B" w:rsidR="00997BFF" w:rsidRDefault="00997BFF">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_Toc87848788 \h </w:instrText>
      </w:r>
      <w:r>
        <w:fldChar w:fldCharType="separate"/>
      </w:r>
      <w:r>
        <w:t>17</w:t>
      </w:r>
      <w:r>
        <w:fldChar w:fldCharType="end"/>
      </w:r>
    </w:p>
    <w:p w14:paraId="458ED0D6" w14:textId="6ECD1EE9" w:rsidR="00997BFF" w:rsidRDefault="00997BF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_Toc87848789 \h </w:instrText>
      </w:r>
      <w:r>
        <w:fldChar w:fldCharType="separate"/>
      </w:r>
      <w:r>
        <w:t>18</w:t>
      </w:r>
      <w:r>
        <w:fldChar w:fldCharType="end"/>
      </w:r>
    </w:p>
    <w:p w14:paraId="12EE797C" w14:textId="48DA2184" w:rsidR="00997BFF" w:rsidRDefault="00997BF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_Toc87848790 \h </w:instrText>
      </w:r>
      <w:r>
        <w:fldChar w:fldCharType="separate"/>
      </w:r>
      <w:r>
        <w:t>18</w:t>
      </w:r>
      <w:r>
        <w:fldChar w:fldCharType="end"/>
      </w:r>
    </w:p>
    <w:p w14:paraId="61B7586C" w14:textId="60F0BE89" w:rsidR="00997BFF" w:rsidRDefault="00997BF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_Toc87848791 \h </w:instrText>
      </w:r>
      <w:r>
        <w:fldChar w:fldCharType="separate"/>
      </w:r>
      <w:r>
        <w:t>19</w:t>
      </w:r>
      <w:r>
        <w:fldChar w:fldCharType="end"/>
      </w:r>
    </w:p>
    <w:p w14:paraId="51C800EC" w14:textId="425CBFB9" w:rsidR="00997BFF" w:rsidRDefault="00997BF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Data Collection AF subscription</w:t>
      </w:r>
      <w:r>
        <w:tab/>
      </w:r>
      <w:r>
        <w:fldChar w:fldCharType="begin"/>
      </w:r>
      <w:r>
        <w:instrText xml:space="preserve"> PAGEREF _Toc87848792 \h </w:instrText>
      </w:r>
      <w:r>
        <w:fldChar w:fldCharType="separate"/>
      </w:r>
      <w:r>
        <w:t>20</w:t>
      </w:r>
      <w:r>
        <w:fldChar w:fldCharType="end"/>
      </w:r>
    </w:p>
    <w:p w14:paraId="00D847D6" w14:textId="126B1630" w:rsidR="00997BFF" w:rsidRDefault="00997BF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configuring data collection client</w:t>
      </w:r>
      <w:r>
        <w:tab/>
      </w:r>
      <w:r>
        <w:fldChar w:fldCharType="begin"/>
      </w:r>
      <w:r>
        <w:instrText xml:space="preserve"> PAGEREF _Toc87848793 \h </w:instrText>
      </w:r>
      <w:r>
        <w:fldChar w:fldCharType="separate"/>
      </w:r>
      <w:r>
        <w:t>21</w:t>
      </w:r>
      <w:r>
        <w:fldChar w:fldCharType="end"/>
      </w:r>
    </w:p>
    <w:p w14:paraId="04489804" w14:textId="774117F7" w:rsidR="00997BFF" w:rsidRDefault="00997BF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_Toc87848794 \h </w:instrText>
      </w:r>
      <w:r>
        <w:fldChar w:fldCharType="separate"/>
      </w:r>
      <w:r>
        <w:t>22</w:t>
      </w:r>
      <w:r>
        <w:fldChar w:fldCharType="end"/>
      </w:r>
    </w:p>
    <w:p w14:paraId="6FFC7890" w14:textId="52F6D924" w:rsidR="00997BFF" w:rsidRDefault="00997BF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_Toc87848795 \h </w:instrText>
      </w:r>
      <w:r>
        <w:fldChar w:fldCharType="separate"/>
      </w:r>
      <w:r>
        <w:t>22</w:t>
      </w:r>
      <w:r>
        <w:fldChar w:fldCharType="end"/>
      </w:r>
    </w:p>
    <w:p w14:paraId="43AA30F8" w14:textId="6925911B" w:rsidR="00997BFF" w:rsidRDefault="00997BF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Procedures for Data Collection AF unsubscription</w:t>
      </w:r>
      <w:r>
        <w:tab/>
      </w:r>
      <w:r>
        <w:fldChar w:fldCharType="begin"/>
      </w:r>
      <w:r>
        <w:instrText xml:space="preserve"> PAGEREF _Toc87848796 \h </w:instrText>
      </w:r>
      <w:r>
        <w:fldChar w:fldCharType="separate"/>
      </w:r>
      <w:r>
        <w:t>23</w:t>
      </w:r>
      <w:r>
        <w:fldChar w:fldCharType="end"/>
      </w:r>
    </w:p>
    <w:p w14:paraId="73257009" w14:textId="2D6CF4A9" w:rsidR="00997BFF" w:rsidRDefault="00997BFF">
      <w:pPr>
        <w:pStyle w:val="TOC8"/>
        <w:rPr>
          <w:rFonts w:asciiTheme="minorHAnsi" w:eastAsiaTheme="minorEastAsia" w:hAnsiTheme="minorHAnsi" w:cstheme="minorBidi"/>
          <w:b w:val="0"/>
          <w:szCs w:val="22"/>
          <w:lang w:eastAsia="en-GB"/>
        </w:rPr>
      </w:pPr>
      <w:r>
        <w:t>Annex A (informative): Collaboration scenarios for data collection and reporting</w:t>
      </w:r>
      <w:r>
        <w:tab/>
      </w:r>
      <w:r>
        <w:fldChar w:fldCharType="begin"/>
      </w:r>
      <w:r>
        <w:instrText xml:space="preserve"> PAGEREF _Toc87848797 \h </w:instrText>
      </w:r>
      <w:r>
        <w:fldChar w:fldCharType="separate"/>
      </w:r>
      <w:r>
        <w:t>24</w:t>
      </w:r>
      <w:r>
        <w:fldChar w:fldCharType="end"/>
      </w:r>
    </w:p>
    <w:p w14:paraId="7E47F038" w14:textId="7D76A102" w:rsidR="00997BFF" w:rsidRDefault="00997BF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_Toc87848798 \h </w:instrText>
      </w:r>
      <w:r>
        <w:fldChar w:fldCharType="separate"/>
      </w:r>
      <w:r>
        <w:t>24</w:t>
      </w:r>
      <w:r>
        <w:fldChar w:fldCharType="end"/>
      </w:r>
    </w:p>
    <w:p w14:paraId="28D7845D" w14:textId="21ACB996" w:rsidR="00997BFF" w:rsidRDefault="00997BF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Collaboration A</w:t>
      </w:r>
      <w:r>
        <w:tab/>
      </w:r>
      <w:r>
        <w:fldChar w:fldCharType="begin"/>
      </w:r>
      <w:r>
        <w:instrText xml:space="preserve"> PAGEREF _Toc87848799 \h </w:instrText>
      </w:r>
      <w:r>
        <w:fldChar w:fldCharType="separate"/>
      </w:r>
      <w:r>
        <w:t>25</w:t>
      </w:r>
      <w:r>
        <w:fldChar w:fldCharType="end"/>
      </w:r>
    </w:p>
    <w:p w14:paraId="6EFDAC8A" w14:textId="257DEC23" w:rsidR="00997BFF" w:rsidRDefault="00997BFF">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Collaboration B</w:t>
      </w:r>
      <w:r>
        <w:tab/>
      </w:r>
      <w:r>
        <w:fldChar w:fldCharType="begin"/>
      </w:r>
      <w:r>
        <w:instrText xml:space="preserve"> PAGEREF _Toc87848800 \h </w:instrText>
      </w:r>
      <w:r>
        <w:fldChar w:fldCharType="separate"/>
      </w:r>
      <w:r>
        <w:t>26</w:t>
      </w:r>
      <w:r>
        <w:fldChar w:fldCharType="end"/>
      </w:r>
    </w:p>
    <w:p w14:paraId="14D11249" w14:textId="50A9AE0B" w:rsidR="00997BFF" w:rsidRDefault="00997BFF">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Collaboration C</w:t>
      </w:r>
      <w:r>
        <w:tab/>
      </w:r>
      <w:r>
        <w:fldChar w:fldCharType="begin"/>
      </w:r>
      <w:r>
        <w:instrText xml:space="preserve"> PAGEREF _Toc87848801 \h </w:instrText>
      </w:r>
      <w:r>
        <w:fldChar w:fldCharType="separate"/>
      </w:r>
      <w:r>
        <w:t>27</w:t>
      </w:r>
      <w:r>
        <w:fldChar w:fldCharType="end"/>
      </w:r>
    </w:p>
    <w:p w14:paraId="33B74094" w14:textId="05B140BC" w:rsidR="00997BFF" w:rsidRDefault="00997BFF">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Collaboration D</w:t>
      </w:r>
      <w:r>
        <w:tab/>
      </w:r>
      <w:r>
        <w:fldChar w:fldCharType="begin"/>
      </w:r>
      <w:r>
        <w:instrText xml:space="preserve"> PAGEREF _Toc87848802 \h </w:instrText>
      </w:r>
      <w:r>
        <w:fldChar w:fldCharType="separate"/>
      </w:r>
      <w:r>
        <w:t>28</w:t>
      </w:r>
      <w:r>
        <w:fldChar w:fldCharType="end"/>
      </w:r>
    </w:p>
    <w:p w14:paraId="1835413D" w14:textId="53C67C6F" w:rsidR="00997BFF" w:rsidRDefault="00997BFF">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Collaboration E</w:t>
      </w:r>
      <w:r>
        <w:tab/>
      </w:r>
      <w:r>
        <w:fldChar w:fldCharType="begin"/>
      </w:r>
      <w:r>
        <w:instrText xml:space="preserve"> PAGEREF _Toc87848803 \h </w:instrText>
      </w:r>
      <w:r>
        <w:fldChar w:fldCharType="separate"/>
      </w:r>
      <w:r>
        <w:t>29</w:t>
      </w:r>
      <w:r>
        <w:fldChar w:fldCharType="end"/>
      </w:r>
    </w:p>
    <w:p w14:paraId="4E1481F9" w14:textId="168E9E46" w:rsidR="00997BFF" w:rsidRDefault="00997BFF">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_Toc87848804 \h </w:instrText>
      </w:r>
      <w:r>
        <w:fldChar w:fldCharType="separate"/>
      </w:r>
      <w:r>
        <w:t>30</w:t>
      </w:r>
      <w:r>
        <w:fldChar w:fldCharType="end"/>
      </w:r>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87848771"/>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87848772"/>
      <w:bookmarkEnd w:id="17"/>
      <w:r w:rsidRPr="004D3578">
        <w:lastRenderedPageBreak/>
        <w:t>1</w:t>
      </w:r>
      <w:r w:rsidRPr="004D3578">
        <w:tab/>
        <w:t>Scope</w:t>
      </w:r>
      <w:bookmarkEnd w:id="18"/>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19" w:name="references"/>
      <w:bookmarkStart w:id="20" w:name="_Toc87848773"/>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21" w:name="definitions"/>
      <w:bookmarkEnd w:id="21"/>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796819AB" w:rsidR="00145CDF" w:rsidRPr="00A852EA" w:rsidRDefault="00145CDF" w:rsidP="00145CDF">
      <w:pPr>
        <w:pStyle w:val="EX"/>
      </w:pPr>
      <w:r>
        <w:t>[8]</w:t>
      </w:r>
      <w:r>
        <w:tab/>
      </w:r>
      <w:r w:rsidRPr="00CB3DD1">
        <w:t>3GPP TS 23.222: "Common API Framework for 3GPP Northbound APIs"</w:t>
      </w:r>
      <w:r>
        <w:t>.</w:t>
      </w:r>
    </w:p>
    <w:p w14:paraId="35798998" w14:textId="77777777" w:rsidR="00080512" w:rsidRPr="004D3578" w:rsidRDefault="00080512">
      <w:pPr>
        <w:pStyle w:val="Heading1"/>
      </w:pPr>
      <w:bookmarkStart w:id="22" w:name="_Toc87848774"/>
      <w:r w:rsidRPr="004D3578">
        <w:t>3</w:t>
      </w:r>
      <w:r w:rsidRPr="004D3578">
        <w:tab/>
        <w:t>Definitions</w:t>
      </w:r>
      <w:r w:rsidR="00602AEA">
        <w:t xml:space="preserve"> of terms, symbols and abbreviations</w:t>
      </w:r>
      <w:bookmarkEnd w:id="22"/>
    </w:p>
    <w:p w14:paraId="2B2B0525" w14:textId="77777777" w:rsidR="00080512" w:rsidRPr="004D3578" w:rsidRDefault="00080512">
      <w:pPr>
        <w:pStyle w:val="Heading2"/>
      </w:pPr>
      <w:bookmarkStart w:id="23" w:name="_Toc87848775"/>
      <w:r w:rsidRPr="004D3578">
        <w:t>3.1</w:t>
      </w:r>
      <w:r w:rsidRPr="004D3578">
        <w:tab/>
      </w:r>
      <w:r w:rsidR="002B6339">
        <w:t>Terms</w:t>
      </w:r>
      <w:bookmarkEnd w:id="23"/>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72CA" w14:textId="77777777" w:rsidR="00684097" w:rsidRPr="00FE41AB" w:rsidRDefault="00684097" w:rsidP="00684097">
      <w:r>
        <w:rPr>
          <w:b/>
          <w:bCs/>
        </w:rPr>
        <w:t>data collection client:</w:t>
      </w:r>
      <w:r>
        <w:t xml:space="preserve"> functional entity that collects data and reports it to the Data Collection AF, </w:t>
      </w:r>
      <w:r w:rsidRPr="00FE41AB">
        <w:rPr>
          <w:i/>
          <w:iCs/>
        </w:rPr>
        <w:t>viz</w:t>
      </w:r>
      <w:r>
        <w:rPr>
          <w:i/>
          <w:iCs/>
        </w:rPr>
        <w:t>.</w:t>
      </w:r>
      <w:r>
        <w:t xml:space="preserve"> Direct Data Collection Client, Indirect Data Collection Client or AS</w:t>
      </w:r>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47CF6FEF"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 xml:space="preserve">Indirect Data </w:t>
      </w:r>
      <w:r w:rsidR="00D75F60">
        <w:t>Collection</w:t>
      </w:r>
      <w:r>
        <w:t xml:space="preserve"> Client function of an</w:t>
      </w:r>
      <w:r w:rsidRPr="007E2B9C">
        <w:t xml:space="preserve"> Application Service Provider</w:t>
      </w:r>
    </w:p>
    <w:p w14:paraId="705F824C" w14:textId="77777777" w:rsidR="00080512" w:rsidRPr="004D3578" w:rsidRDefault="00080512">
      <w:pPr>
        <w:pStyle w:val="Heading2"/>
      </w:pPr>
      <w:bookmarkStart w:id="24" w:name="_Toc87848776"/>
      <w:r w:rsidRPr="004D3578">
        <w:lastRenderedPageBreak/>
        <w:t>3.2</w:t>
      </w:r>
      <w:r w:rsidRPr="004D3578">
        <w:tab/>
        <w:t>Symbols</w:t>
      </w:r>
      <w:bookmarkEnd w:id="24"/>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25" w:name="_Toc87848777"/>
      <w:r w:rsidRPr="004D3578">
        <w:t>3.3</w:t>
      </w:r>
      <w:r w:rsidRPr="004D3578">
        <w:tab/>
        <w:t>Abbreviations</w:t>
      </w:r>
      <w:bookmarkEnd w:id="25"/>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26" w:name="clause4"/>
      <w:bookmarkEnd w:id="26"/>
      <w:r w:rsidRPr="008E70E1">
        <w:t>UE</w:t>
      </w:r>
      <w:r w:rsidRPr="008E70E1">
        <w:tab/>
        <w:t>User Equipment</w:t>
      </w:r>
    </w:p>
    <w:p w14:paraId="662BBCA3" w14:textId="3323B25F" w:rsidR="007A504A" w:rsidRDefault="00080512" w:rsidP="007A504A">
      <w:pPr>
        <w:pStyle w:val="Heading1"/>
      </w:pPr>
      <w:bookmarkStart w:id="27" w:name="_Toc87848778"/>
      <w:r w:rsidRPr="004D3578">
        <w:t>4</w:t>
      </w:r>
      <w:r w:rsidRPr="004D3578">
        <w:tab/>
      </w:r>
      <w:r w:rsidR="007A504A">
        <w:t>Reference architecture for data collection and reporting</w:t>
      </w:r>
      <w:bookmarkEnd w:id="27"/>
    </w:p>
    <w:p w14:paraId="7B7EBF4C" w14:textId="154B6E6C" w:rsidR="007A504A" w:rsidRPr="007A504A" w:rsidRDefault="007A504A" w:rsidP="007A504A">
      <w:pPr>
        <w:pStyle w:val="Heading2"/>
      </w:pPr>
      <w:bookmarkStart w:id="28" w:name="_Toc87848779"/>
      <w:r>
        <w:t>4.1</w:t>
      </w:r>
      <w:r>
        <w:tab/>
        <w:t>General</w:t>
      </w:r>
      <w:bookmarkEnd w:id="28"/>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(i.e.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r w:rsidRPr="00CB3DD1">
        <w:t xml:space="preserve">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29" w:name="_Toc87848780"/>
      <w:r>
        <w:lastRenderedPageBreak/>
        <w:t>4.2</w:t>
      </w:r>
      <w:r>
        <w:tab/>
      </w:r>
      <w:r w:rsidR="003A035A">
        <w:t>F</w:t>
      </w:r>
      <w:r>
        <w:t>unctional entities for data collection and reporting</w:t>
      </w:r>
      <w:bookmarkEnd w:id="29"/>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2B1CC3F0" w:rsidR="00E75D74" w:rsidRDefault="00E75D74" w:rsidP="00E75D74">
      <w:pPr>
        <w:pStyle w:val="TAN"/>
      </w:pPr>
      <w:r>
        <w:t>NOTE:</w:t>
      </w:r>
      <w:r>
        <w:tab/>
        <w:t xml:space="preserve">The Data Collection AF may be deployed outside the trusted domain, in which case the services </w:t>
      </w:r>
      <w:r w:rsidR="00D75F60">
        <w:t>it</w:t>
      </w:r>
      <w:r>
        <w:t xml:space="preserve"> expose</w:t>
      </w:r>
      <w:r w:rsidR="00D75F60">
        <w:t>s</w:t>
      </w:r>
      <w:r>
        <w:t xml:space="preserve"> to API invokers are mediated by the NEF.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0995912D" w:rsidR="00E75D74" w:rsidRDefault="00E75D74" w:rsidP="00E75D74">
      <w:pPr>
        <w:pStyle w:val="B1"/>
        <w:keepLines/>
      </w:pPr>
      <w:r>
        <w:t>1.</w:t>
      </w:r>
      <w:r>
        <w:tab/>
        <w:t xml:space="preserve">Data collection and reporting functionality is provisioned at reference point R1 by a </w:t>
      </w:r>
      <w:r w:rsidRPr="006D38AA">
        <w:rPr>
          <w:i/>
          <w:iCs/>
        </w:rPr>
        <w:t>Provisioning AF</w:t>
      </w:r>
      <w:r>
        <w:t xml:space="preserve"> </w:t>
      </w:r>
      <w:r w:rsidR="00D75F60">
        <w:t>of</w:t>
      </w:r>
      <w:r>
        <w:t xml:space="preserve"> 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FE0D18">
        <w:rPr>
          <w:rStyle w:val="Code"/>
        </w:rPr>
        <w:t>Nnrf_NFManagement</w:t>
      </w:r>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B77CB7" w:rsidR="00E75D74" w:rsidRDefault="00437FA0" w:rsidP="00E75D74">
      <w:pPr>
        <w:pStyle w:val="B1"/>
        <w:keepNext/>
        <w:keepLines/>
        <w:ind w:firstLine="0"/>
      </w:pPr>
      <w:r>
        <w:lastRenderedPageBreak/>
        <w:t>Depending on the provisioning information provided by the Application Service Provider (see clause 4.6.2), t</w:t>
      </w:r>
      <w:r w:rsidR="00E75D74">
        <w:t xml:space="preserve">he Data Collection AF provides a data collection and reporting configuration to the </w:t>
      </w:r>
      <w:r w:rsidR="00E75D74" w:rsidRPr="006D38AA">
        <w:rPr>
          <w:i/>
          <w:iCs/>
        </w:rPr>
        <w:t>Direct Data Collection Client</w:t>
      </w:r>
      <w:r w:rsidR="00E75D74">
        <w:t xml:space="preserve"> at reference point R2, to the </w:t>
      </w:r>
      <w:r w:rsidR="00E75D74" w:rsidRPr="006D38AA">
        <w:rPr>
          <w:i/>
          <w:iCs/>
        </w:rPr>
        <w:t>Indirect Data Collection Client</w:t>
      </w:r>
      <w:r w:rsidR="00E75D74">
        <w:t xml:space="preserve"> at reference point R3 </w:t>
      </w:r>
      <w:r>
        <w:t>or to the</w:t>
      </w:r>
      <w:r w:rsidR="00E75D74">
        <w:t xml:space="preserve"> Application Server (</w:t>
      </w:r>
      <w:r w:rsidR="00E75D74" w:rsidRPr="00546512">
        <w:rPr>
          <w:i/>
          <w:iCs/>
        </w:rPr>
        <w:t>AS</w:t>
      </w:r>
      <w:r w:rsidR="00E75D74">
        <w:t>) instances at reference point R4, and receives data reports from them respectively at those same reference points.</w:t>
      </w:r>
    </w:p>
    <w:p w14:paraId="6F06ACA6" w14:textId="77777777" w:rsidR="00E75D74" w:rsidRDefault="00E75D74" w:rsidP="00E75D74">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70B15178" w14:textId="61A50BCC" w:rsidR="007D301F" w:rsidRDefault="007D301F" w:rsidP="007D301F">
      <w:pPr>
        <w:pStyle w:val="EditorsNote"/>
      </w:pPr>
      <w:r>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A113568" w:rsidR="00E75D74" w:rsidRDefault="00E75D74" w:rsidP="00E75D74">
      <w:pPr>
        <w:pStyle w:val="B1"/>
        <w:keepNext/>
        <w:ind w:firstLine="0"/>
      </w:pPr>
      <w:commentRangeStart w:id="30"/>
      <w:r>
        <w:t>The set of UE data to be collected and exposed by the Data Collection AF is determined by the intersection</w:t>
      </w:r>
      <w:r w:rsidR="007D301F">
        <w:rPr>
          <w:rStyle w:val="FootnoteReference"/>
        </w:rPr>
        <w:footnoteReference w:id="1"/>
      </w:r>
      <w:r>
        <w:t xml:space="preserve"> between its provisioning state provided at R1 and the current set of subscriptions. This is reflected in the data collection and reporting configuration exposed at reference points R2, R3 and R4</w:t>
      </w:r>
      <w:r w:rsidR="007D301F">
        <w:t>, and the subscription-driven event notifications sent to consumer entities such as the NWDAF or Event Consumer of an A</w:t>
      </w:r>
      <w:r w:rsidR="00FB055E">
        <w:t xml:space="preserve">pplication </w:t>
      </w:r>
      <w:r w:rsidR="007D301F">
        <w:t>S</w:t>
      </w:r>
      <w:r w:rsidR="00FB055E">
        <w:t xml:space="preserve">ervice </w:t>
      </w:r>
      <w:r w:rsidR="007D301F">
        <w:t>P</w:t>
      </w:r>
      <w:r w:rsidR="00FB055E">
        <w:t>rovider</w:t>
      </w:r>
      <w:r w:rsidR="007D301F">
        <w:t xml:space="preserve"> over reference points R5 and R6</w:t>
      </w:r>
      <w:r>
        <w:t>.</w:t>
      </w:r>
      <w:commentRangeEnd w:id="30"/>
      <w:r>
        <w:rPr>
          <w:rStyle w:val="CommentReference"/>
        </w:rPr>
        <w:commentReference w:id="30"/>
      </w:r>
      <w:r>
        <w:t xml:space="preserve"> 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1FB8602E"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r>
        <w:rPr>
          <w:rStyle w:val="Code"/>
        </w:rPr>
        <w:t>Ndcaf_DataReporting</w:t>
      </w:r>
      <w:r>
        <w:t xml:space="preserve"> service according to a data collection and reporting configuration that it has previously obtained from the Data Collection AF</w:t>
      </w:r>
      <w:r w:rsidR="00D75F60">
        <w:t xml:space="preserve"> by invoking the same service at reference point R2</w:t>
      </w:r>
      <w:r>
        <w:t>.</w:t>
      </w:r>
    </w:p>
    <w:p w14:paraId="67719B07" w14:textId="77777777" w:rsidR="00E75D74" w:rsidRDefault="00E75D74" w:rsidP="00E75D74">
      <w:pPr>
        <w:pStyle w:val="NO"/>
      </w:pPr>
      <w:r>
        <w:t>NOTE 1:</w:t>
      </w:r>
      <w:r>
        <w:tab/>
        <w:t>This method of reporting corresponds to the direct data collection procedure defined in clause 6.2.8 of TS 23.288 [4].</w:t>
      </w:r>
    </w:p>
    <w:p w14:paraId="0C555C33" w14:textId="77777777" w:rsidR="00E75D74" w:rsidRDefault="00E75D74" w:rsidP="00E75D74">
      <w:pPr>
        <w:pStyle w:val="NO"/>
      </w:pPr>
      <w:r>
        <w:t>NOTE 2:</w:t>
      </w:r>
      <w:r>
        <w:tab/>
        <w:t xml:space="preserve">In the case where the Data Collection AF is deployed in a different trust domain than the UE, the Direct Data Collection Client instead invokes the equivalent </w:t>
      </w:r>
      <w:r w:rsidRPr="001B6475">
        <w:rPr>
          <w:rStyle w:val="Code"/>
        </w:rPr>
        <w:t>Nnef_DataReporting</w:t>
      </w:r>
      <w:r>
        <w:t xml:space="preserve"> API via the NEF.</w:t>
      </w:r>
    </w:p>
    <w:p w14:paraId="41BEBF48" w14:textId="77777777" w:rsidR="00E75D74" w:rsidRDefault="00E75D74" w:rsidP="00E75D74">
      <w:pPr>
        <w:pStyle w:val="NO"/>
      </w:pPr>
      <w:r>
        <w:t>NOTE 3:</w:t>
      </w:r>
      <w:r>
        <w:tab/>
      </w:r>
      <w:commentRangeStart w:id="31"/>
      <w:r>
        <w:t>The Direct Data Collection Client function is intended to be instantiated inside other UE functions in order to satisfy the domain-specific data collection and reporting requirements corresponding to particular features of the 5G System.</w:t>
      </w:r>
      <w:commentRangeEnd w:id="31"/>
      <w:r>
        <w:rPr>
          <w:rStyle w:val="CommentReference"/>
        </w:rPr>
        <w:commentReference w:id="31"/>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lastRenderedPageBreak/>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2C679963"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r>
        <w:rPr>
          <w:rStyle w:val="Code"/>
        </w:rPr>
        <w:t>Ndcaf_DataReporting</w:t>
      </w:r>
      <w:r>
        <w:t xml:space="preserve"> service according to a data collection and reporting configuration that it has previously obtained from the Data Collection AF </w:t>
      </w:r>
      <w:r w:rsidR="0035600B">
        <w:t>by invoking the same service at</w:t>
      </w:r>
      <w:r>
        <w:t xml:space="preserve"> reference point R3.</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77777777" w:rsidR="00E75D74" w:rsidRPr="007C68E4" w:rsidRDefault="00E75D74" w:rsidP="00E75D74">
      <w:pPr>
        <w:pStyle w:val="NO"/>
      </w:pPr>
      <w:r>
        <w:t>NOTE 2:</w:t>
      </w:r>
      <w:r>
        <w:tab/>
        <w:t xml:space="preserve">In the case where the Application Service Provider server is deployed in a different trust domain than the Data Collection AF, the Indirect Data Collection Client instead invokes the equivalent </w:t>
      </w:r>
      <w:r w:rsidRPr="001B6475">
        <w:rPr>
          <w:rStyle w:val="Code"/>
        </w:rPr>
        <w:t>Nnef_DataReporting</w:t>
      </w:r>
      <w:r>
        <w:t xml:space="preserve"> API via the NEF at reference point R3.</w:t>
      </w:r>
    </w:p>
    <w:p w14:paraId="1B882BEB" w14:textId="77777777" w:rsidR="005836BC" w:rsidRPr="007C68E4" w:rsidRDefault="005836BC" w:rsidP="005836BC">
      <w:pPr>
        <w:pStyle w:val="NO"/>
      </w:pPr>
      <w:r>
        <w:t>NOTE 3:</w:t>
      </w:r>
      <w:r>
        <w:tab/>
        <w:t>Collection of UE data via reference point R8 and processing by the Application Server Provider are outside 3GPP scope. The Indirect Data Collection Client may modify the collected UE data to satisfy the requirements of its data collection and reporting configuration.</w:t>
      </w:r>
    </w:p>
    <w:p w14:paraId="2308139A" w14:textId="682D77FC" w:rsidR="007D301F" w:rsidRDefault="007D301F" w:rsidP="005836BC">
      <w:pPr>
        <w:pStyle w:val="EditorsNote"/>
      </w:pPr>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p>
    <w:p w14:paraId="7B6BAED2" w14:textId="1D742410"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R</w:t>
      </w:r>
      <w:r w:rsidR="007D301F">
        <w:t>4</w:t>
      </w:r>
      <w:r>
        <w:t xml:space="preserve"> by invoking the </w:t>
      </w:r>
      <w:r>
        <w:rPr>
          <w:rStyle w:val="Code"/>
        </w:rPr>
        <w:t>Ndcaf_DataReporting</w:t>
      </w:r>
      <w:r>
        <w:t xml:space="preserve"> service, according to a data collection and reporting configuration previously obtained from the Data Collection AF </w:t>
      </w:r>
      <w:r w:rsidR="00D75F60">
        <w:t>by invoking the same service at</w:t>
      </w:r>
      <w:r>
        <w:t xml:space="preserve"> reference point R</w:t>
      </w:r>
      <w:r w:rsidR="007D301F">
        <w:t>4</w:t>
      </w:r>
      <w:r>
        <w:t>.</w:t>
      </w:r>
    </w:p>
    <w:p w14:paraId="19F8560D" w14:textId="0AF73113" w:rsidR="007D301F" w:rsidRDefault="007D301F" w:rsidP="005836BC">
      <w:pPr>
        <w:pStyle w:val="EditorsNote"/>
      </w:pPr>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p>
    <w:p w14:paraId="6D1EB29C" w14:textId="77777777" w:rsidR="00E75D74" w:rsidRPr="007C68E4" w:rsidRDefault="00E75D74" w:rsidP="00E75D74">
      <w:pPr>
        <w:pStyle w:val="NO"/>
      </w:pPr>
      <w:r>
        <w:t>NOTE 1:</w:t>
      </w:r>
      <w:r>
        <w:tab/>
        <w:t xml:space="preserve">In the case where the Application Server is deployed in a different trust domain than the Data Collection AF, the AS instead invokes the equivalent </w:t>
      </w:r>
      <w:r w:rsidRPr="001B6475">
        <w:rPr>
          <w:rStyle w:val="Code"/>
        </w:rPr>
        <w:t>Nnef_DataReporting</w:t>
      </w:r>
      <w:r>
        <w:t xml:space="preserve"> service via the NEF.</w:t>
      </w:r>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27625CFD"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w:t>
      </w:r>
      <w:r w:rsidR="00AD3270">
        <w:t>procesing instructions</w:t>
      </w:r>
      <w:r>
        <w:t>.</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r w:rsidRPr="005712DF">
        <w:rPr>
          <w:rStyle w:val="Code"/>
        </w:rPr>
        <w:t>Nnef_EventExposure</w:t>
      </w:r>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w:t>
      </w:r>
      <w:commentRangeStart w:id="32"/>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commentRangeEnd w:id="32"/>
      <w:r>
        <w:rPr>
          <w:rStyle w:val="CommentReference"/>
        </w:rPr>
        <w:commentReference w:id="32"/>
      </w:r>
    </w:p>
    <w:p w14:paraId="211271EA" w14:textId="77777777" w:rsidR="00E75D74" w:rsidRDefault="00E75D74" w:rsidP="00E75D74">
      <w:pPr>
        <w:pStyle w:val="NO"/>
      </w:pPr>
      <w:r>
        <w:t>NOTE:</w:t>
      </w:r>
      <w:r>
        <w:tab/>
        <w:t xml:space="preserve">In the case where the Application Service Provider server is deployed outside the trusted domain, the </w:t>
      </w:r>
      <w:r w:rsidRPr="00583A6A">
        <w:rPr>
          <w:rStyle w:val="Code"/>
        </w:rPr>
        <w:t>Nnef_EventExposure</w:t>
      </w:r>
      <w:r>
        <w:t xml:space="preserve"> service, as defined in clause 5.2.6.2 of TS 23.502 [3], is invoked instead.</w:t>
      </w:r>
    </w:p>
    <w:p w14:paraId="5BA8E470" w14:textId="77777777" w:rsidR="00E75D74" w:rsidRDefault="00E75D74" w:rsidP="00E75D74">
      <w:pPr>
        <w:pStyle w:val="Heading2"/>
      </w:pPr>
      <w:bookmarkStart w:id="33" w:name="_Toc87848781"/>
      <w:r>
        <w:lastRenderedPageBreak/>
        <w:t>4.3</w:t>
      </w:r>
      <w:r>
        <w:tab/>
      </w:r>
      <w:r>
        <w:tab/>
        <w:t>Reference points for data collection and reporting</w:t>
      </w:r>
      <w:bookmarkEnd w:id="33"/>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r>
      <w:commentRangeStart w:id="34"/>
      <w:r w:rsidRPr="00C44458">
        <w:t xml:space="preserve">Used by the Application Service Provider to provision data collection and reporting in </w:t>
      </w:r>
      <w:r>
        <w:t>a</w:t>
      </w:r>
      <w:r w:rsidRPr="00C44458">
        <w:t xml:space="preserve"> Data Collection AF</w:t>
      </w:r>
      <w:commentRangeEnd w:id="34"/>
      <w:r>
        <w:t xml:space="preserve"> instance</w:t>
      </w:r>
      <w:r>
        <w:rPr>
          <w:rStyle w:val="CommentReference"/>
        </w:rPr>
        <w:commentReference w:id="34"/>
      </w:r>
      <w:r>
        <w:t xml:space="preserve"> by means of the </w:t>
      </w:r>
      <w:r>
        <w:rPr>
          <w:rStyle w:val="Code"/>
        </w:rPr>
        <w:t>Ndcaf_DataReportingProvisioning</w:t>
      </w:r>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subscribers</w:t>
      </w:r>
      <w:r w:rsidRPr="00C44458">
        <w:t>.</w:t>
      </w:r>
      <w:r>
        <w:t xml:space="preserve"> </w:t>
      </w:r>
      <w:commentRangeStart w:id="35"/>
      <w:r>
        <w:t>A generic provisioning envelope for data collection and reporting is defined in clause 4.6 of the present document</w:t>
      </w:r>
      <w:commentRangeEnd w:id="35"/>
      <w:r>
        <w:rPr>
          <w:rStyle w:val="CommentReference"/>
        </w:rPr>
        <w:commentReference w:id="35"/>
      </w:r>
      <w:r>
        <w:t xml:space="preserve">, but </w:t>
      </w:r>
      <w:commentRangeStart w:id="36"/>
      <w:r>
        <w:t>this is expected to be extended by individual reporting domains</w:t>
      </w:r>
      <w:commentRangeEnd w:id="36"/>
      <w:r>
        <w:rPr>
          <w:rStyle w:val="CommentReference"/>
        </w:rPr>
        <w:commentReference w:id="36"/>
      </w:r>
      <w:r>
        <w:t>.</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0B983D0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r>
        <w:rPr>
          <w:rStyle w:val="Code"/>
        </w:rPr>
        <w:t>Ndcaf_DataReporting</w:t>
      </w:r>
      <w:r>
        <w:t xml:space="preserve"> service defined in clause 4.4 of the present document</w:t>
      </w:r>
      <w:r w:rsidRPr="00C44458">
        <w:t>.</w:t>
      </w:r>
      <w:r>
        <w:t xml:space="preserve"> </w:t>
      </w:r>
      <w:commentRangeStart w:id="37"/>
      <w:r>
        <w:t>A generic data collection and reporting configuration envelope is defined in clause </w:t>
      </w:r>
      <w:r w:rsidR="0035600B">
        <w:t>4.6.3</w:t>
      </w:r>
      <w:r>
        <w:t xml:space="preserve"> of the present document</w:t>
      </w:r>
      <w:commentRangeEnd w:id="37"/>
      <w:r>
        <w:rPr>
          <w:rStyle w:val="CommentReference"/>
        </w:rPr>
        <w:commentReference w:id="37"/>
      </w:r>
      <w:r>
        <w:t xml:space="preserve">, but </w:t>
      </w:r>
      <w:commentRangeStart w:id="38"/>
      <w:r>
        <w:t>details of the configuration are specific to individual reporting domains and are specified elsewhere</w:t>
      </w:r>
      <w:commentRangeEnd w:id="38"/>
      <w:r>
        <w:rPr>
          <w:rStyle w:val="CommentReference"/>
        </w:rPr>
        <w:commentReference w:id="38"/>
      </w:r>
      <w:r>
        <w:t>.</w:t>
      </w:r>
    </w:p>
    <w:p w14:paraId="190AC4EA" w14:textId="6A69E665"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w:t>
      </w:r>
      <w:r w:rsidRPr="00C44458">
        <w:t>.</w:t>
      </w:r>
      <w:r>
        <w:t xml:space="preserve"> </w:t>
      </w:r>
      <w:commentRangeStart w:id="39"/>
      <w:r>
        <w:t>A generic data reporting envelope is defined in clause </w:t>
      </w:r>
      <w:r w:rsidR="0035600B">
        <w:t>4.6.4</w:t>
      </w:r>
      <w:r>
        <w:t xml:space="preserve"> of the present document</w:t>
      </w:r>
      <w:commentRangeEnd w:id="39"/>
      <w:r>
        <w:rPr>
          <w:rStyle w:val="CommentReference"/>
        </w:rPr>
        <w:commentReference w:id="39"/>
      </w:r>
      <w:r>
        <w:t xml:space="preserve">, but </w:t>
      </w:r>
      <w:commentRangeStart w:id="40"/>
      <w:r>
        <w:t>details of the reporting format are specific to individual reporting domains and are specified elsewhere</w:t>
      </w:r>
      <w:commentRangeEnd w:id="40"/>
      <w:r>
        <w:rPr>
          <w:rStyle w:val="CommentReference"/>
        </w:rPr>
        <w:commentReference w:id="40"/>
      </w:r>
      <w:r>
        <w:t>.</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7BB89B03"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41"/>
      <w:r>
        <w:t>A generic data collection and reporting configuration envelope is defined in clause </w:t>
      </w:r>
      <w:r w:rsidR="0035600B">
        <w:t>4.6.3</w:t>
      </w:r>
      <w:r>
        <w:t xml:space="preserve"> of the present document</w:t>
      </w:r>
      <w:commentRangeEnd w:id="41"/>
      <w:r>
        <w:rPr>
          <w:rStyle w:val="CommentReference"/>
        </w:rPr>
        <w:commentReference w:id="41"/>
      </w:r>
      <w:r>
        <w:t xml:space="preserve">, but </w:t>
      </w:r>
      <w:commentRangeStart w:id="42"/>
      <w:r>
        <w:t>details of the configuration are specific to individual reporting domains and are specified elsewhere</w:t>
      </w:r>
      <w:commentRangeEnd w:id="42"/>
      <w:r>
        <w:rPr>
          <w:rStyle w:val="CommentReference"/>
        </w:rPr>
        <w:commentReference w:id="42"/>
      </w:r>
      <w:r>
        <w:t>.</w:t>
      </w:r>
    </w:p>
    <w:p w14:paraId="172562BF" w14:textId="741FB8A0"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43"/>
      <w:r>
        <w:t>A generic data reporting envelope is defined in clause </w:t>
      </w:r>
      <w:r w:rsidR="0035600B">
        <w:t>4.6.4</w:t>
      </w:r>
      <w:r>
        <w:t xml:space="preserve"> of the present document</w:t>
      </w:r>
      <w:commentRangeEnd w:id="43"/>
      <w:r>
        <w:rPr>
          <w:rStyle w:val="CommentReference"/>
        </w:rPr>
        <w:commentReference w:id="43"/>
      </w:r>
      <w:r>
        <w:t xml:space="preserve">, but </w:t>
      </w:r>
      <w:commentRangeStart w:id="44"/>
      <w:r>
        <w:t>details of the reporting format are specific to individual reporting domains and are specified elsewhere</w:t>
      </w:r>
      <w:commentRangeEnd w:id="44"/>
      <w:r>
        <w:rPr>
          <w:rStyle w:val="CommentReference"/>
        </w:rPr>
        <w:commentReference w:id="44"/>
      </w:r>
      <w:r>
        <w:t>.</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7FFAB9BF"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45"/>
      <w:r>
        <w:t>A generic data collection and reporting configuration envelope is defined in clause </w:t>
      </w:r>
      <w:r w:rsidR="0035600B">
        <w:t>4.6.3</w:t>
      </w:r>
      <w:r>
        <w:t xml:space="preserve"> of the present document</w:t>
      </w:r>
      <w:commentRangeEnd w:id="45"/>
      <w:r>
        <w:rPr>
          <w:rStyle w:val="CommentReference"/>
        </w:rPr>
        <w:commentReference w:id="45"/>
      </w:r>
      <w:r>
        <w:t xml:space="preserve">, but </w:t>
      </w:r>
      <w:commentRangeStart w:id="46"/>
      <w:r>
        <w:t>details of the configuration are specific to individual reporting domains and are specified elsewhere</w:t>
      </w:r>
      <w:commentRangeEnd w:id="46"/>
      <w:r>
        <w:rPr>
          <w:rStyle w:val="CommentReference"/>
        </w:rPr>
        <w:commentReference w:id="46"/>
      </w:r>
      <w:r>
        <w:t>.</w:t>
      </w:r>
    </w:p>
    <w:p w14:paraId="4168FFE1" w14:textId="6D385A92" w:rsidR="00E75D74" w:rsidRDefault="00E75D74" w:rsidP="00E75D74">
      <w:pPr>
        <w:pStyle w:val="B2"/>
      </w:pPr>
      <w:r>
        <w:t>-</w:t>
      </w:r>
      <w:r>
        <w:tab/>
        <w:t xml:space="preserve">Subsequently </w:t>
      </w:r>
      <w:commentRangeStart w:id="47"/>
      <w:r>
        <w:t>used by the AS instance to send data reports to its Data Collection AF</w:t>
      </w:r>
      <w:commentRangeEnd w:id="47"/>
      <w:r>
        <w:rPr>
          <w:rStyle w:val="CommentReference"/>
        </w:rPr>
        <w:commentReference w:id="47"/>
      </w:r>
      <w:r w:rsidRPr="00F14CDF">
        <w:t xml:space="preserve"> </w:t>
      </w:r>
      <w:r>
        <w:t xml:space="preserve">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0035600B" w:rsidRPr="0035600B">
        <w:t xml:space="preserve"> </w:t>
      </w:r>
      <w:commentRangeStart w:id="48"/>
      <w:r w:rsidR="0035600B">
        <w:t xml:space="preserve">A generic data reporting </w:t>
      </w:r>
      <w:r w:rsidR="0035600B">
        <w:lastRenderedPageBreak/>
        <w:t>envelope is defined in clause 4.6.4 of the present document</w:t>
      </w:r>
      <w:commentRangeEnd w:id="48"/>
      <w:r w:rsidR="0035600B">
        <w:rPr>
          <w:rStyle w:val="CommentReference"/>
        </w:rPr>
        <w:commentReference w:id="48"/>
      </w:r>
      <w:r w:rsidR="0035600B">
        <w:t xml:space="preserve">, but </w:t>
      </w:r>
      <w:commentRangeStart w:id="49"/>
      <w:r w:rsidR="0035600B">
        <w:t>details of the reporting format are specific to individual reporting domains and are specified elsewhere</w:t>
      </w:r>
      <w:commentRangeEnd w:id="49"/>
      <w:r w:rsidR="0035600B">
        <w:rPr>
          <w:rStyle w:val="CommentReference"/>
        </w:rPr>
        <w:commentReference w:id="49"/>
      </w:r>
      <w:r w:rsidR="0035600B">
        <w:t>.</w:t>
      </w:r>
    </w:p>
    <w:p w14:paraId="742D3CE4" w14:textId="77777777" w:rsidR="00E75D74" w:rsidRDefault="00E75D74" w:rsidP="00E75D74">
      <w:pPr>
        <w:pStyle w:val="NO"/>
      </w:pPr>
      <w:r>
        <w:t>NOTE 3:</w:t>
      </w:r>
      <w:r>
        <w:tab/>
        <w:t xml:space="preserve">The AS plays the role of a Network Function when it invokes the </w:t>
      </w:r>
      <w:r>
        <w:rPr>
          <w:rStyle w:val="Code"/>
        </w:rPr>
        <w:t>Ndcaf_DataReporting</w:t>
      </w:r>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Naf_EventExposure_Subscribe</w:t>
      </w:r>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s specified in TS</w:t>
      </w:r>
      <w:r>
        <w:t> </w:t>
      </w:r>
      <w:r w:rsidRPr="00476103">
        <w:t>29.517</w:t>
      </w:r>
      <w:r>
        <w:t> </w:t>
      </w:r>
      <w:r w:rsidRPr="00476103">
        <w:t>[5]</w:t>
      </w:r>
      <w:r>
        <w:t xml:space="preserve">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r w:rsidRPr="00C40DB8">
        <w:rPr>
          <w:rStyle w:val="Code"/>
        </w:rPr>
        <w:t>Naf_EventExposure_Notify</w:t>
      </w:r>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Naf_EventExposure_Subscribe</w:t>
      </w:r>
      <w:r>
        <w:t xml:space="preserve"> procedure defined in clause 5.2.19.1 of TS 23.502 [3] and specified in TS 29.517 [5]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r w:rsidRPr="0048315B">
        <w:rPr>
          <w:rStyle w:val="Code"/>
        </w:rPr>
        <w:t>Naf_EventExposure</w:t>
      </w:r>
      <w:r>
        <w:rPr>
          <w:rStyle w:val="Code"/>
        </w:rPr>
        <w:t>_Notify</w:t>
      </w:r>
      <w:r>
        <w:t xml:space="preserve"> procedure defined in clause 5.2.19.1 of TS 23.502 [3] and specified in TS 29.517</w:t>
      </w:r>
      <w:r w:rsidRPr="00C44458">
        <w:t xml:space="preserve"> [5]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1830758A" w14:textId="52A42182" w:rsidR="00AA4AF4" w:rsidRDefault="00AA4AF4" w:rsidP="00E75D74">
      <w:pPr>
        <w:pStyle w:val="B1"/>
        <w:keepNext/>
      </w:pPr>
      <w:r>
        <w:t>NOTE 5:</w:t>
      </w:r>
      <w:r>
        <w:tab/>
      </w:r>
      <w:r w:rsidR="00612F26">
        <w:t>Interactions at r</w:t>
      </w:r>
      <w:r>
        <w:t xml:space="preserve">eference point R7 </w:t>
      </w:r>
      <w:r w:rsidR="00612F26">
        <w:t>are not fully</w:t>
      </w:r>
      <w:r>
        <w:t xml:space="preserve"> specified in </w:t>
      </w:r>
      <w:r w:rsidR="00612F26">
        <w:t>this release.</w:t>
      </w:r>
    </w:p>
    <w:p w14:paraId="0796D506" w14:textId="586AE718"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6BD0B73D" w:rsidR="00E75D74" w:rsidRDefault="00E75D74" w:rsidP="00E75D74">
      <w:pPr>
        <w:pStyle w:val="B1"/>
      </w:pPr>
      <w:r>
        <w:t>NOTE </w:t>
      </w:r>
      <w:r w:rsidR="00612F26">
        <w:t>6</w:t>
      </w:r>
      <w:r>
        <w:t>:</w:t>
      </w:r>
      <w:r>
        <w:tab/>
        <w:t>Interactions at reference point R8 are beyond the scope of 3GPP standardisation.</w:t>
      </w:r>
    </w:p>
    <w:p w14:paraId="2EFF3644" w14:textId="77777777" w:rsidR="00E75D74" w:rsidRDefault="00E75D74" w:rsidP="00E75D74">
      <w:pPr>
        <w:pStyle w:val="Heading2"/>
      </w:pPr>
      <w:bookmarkStart w:id="50" w:name="_Toc87848782"/>
      <w:r>
        <w:lastRenderedPageBreak/>
        <w:t>4.4</w:t>
      </w:r>
      <w:r>
        <w:tab/>
        <w:t>Service-based architecture for data collection and reporting</w:t>
      </w:r>
      <w:bookmarkEnd w:id="50"/>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 xml:space="preserve">1 below shows the reference architecture for data collection and reporting in service-based architecture notation. </w:t>
      </w:r>
      <w:commentRangeStart w:id="51"/>
      <w:r>
        <w:t>It depicts the case where the Data Collection AF is deployed inside the trusted domain, while the Application Service Provider and the AS may be deployed independently either inside or outside the trusted domain.</w:t>
      </w:r>
      <w:commentRangeEnd w:id="51"/>
      <w:r>
        <w:rPr>
          <w:rStyle w:val="CommentReference"/>
        </w:rPr>
        <w:commentReference w:id="51"/>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r w:rsidRPr="00E508DB">
        <w:rPr>
          <w:rStyle w:val="Code"/>
        </w:rPr>
        <w:t>N</w:t>
      </w:r>
      <w:r>
        <w:rPr>
          <w:rStyle w:val="Code"/>
        </w:rPr>
        <w:t>ne</w:t>
      </w:r>
      <w:r w:rsidRPr="00E508DB">
        <w:rPr>
          <w:rStyle w:val="Code"/>
        </w:rPr>
        <w:t>f_EventExposure</w:t>
      </w:r>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r w:rsidRPr="00E508DB">
        <w:rPr>
          <w:rStyle w:val="Code"/>
        </w:rPr>
        <w:t>N</w:t>
      </w:r>
      <w:r>
        <w:rPr>
          <w:rStyle w:val="Code"/>
        </w:rPr>
        <w:t>nef</w:t>
      </w:r>
      <w:r w:rsidRPr="00E508DB">
        <w:rPr>
          <w:rStyle w:val="Code"/>
        </w:rPr>
        <w:t>_EventExposure</w:t>
      </w:r>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1A2155B9" w14:textId="4A237E7F" w:rsidR="00E75D74" w:rsidRDefault="00E75D74" w:rsidP="00FE31FB">
      <w:pPr>
        <w:pStyle w:val="B1"/>
      </w:pPr>
      <w:r>
        <w:t>1.</w:t>
      </w:r>
      <w:r w:rsidRPr="002C62E8">
        <w:t xml:space="preserve"> </w:t>
      </w:r>
      <w:r>
        <w:tab/>
        <w:t xml:space="preserve">The </w:t>
      </w:r>
      <w:r>
        <w:rPr>
          <w:rStyle w:val="Code"/>
        </w:rPr>
        <w:t>Ndcaf_DataReportingProvisioning</w:t>
      </w:r>
      <w:r>
        <w:t xml:space="preserve"> service is provided by the Data Collection AF. It is defined by the present document and is specified in TS 26.532 [7].</w:t>
      </w:r>
      <w:r w:rsidR="0035600B">
        <w:t xml:space="preserve"> This service is u</w:t>
      </w:r>
      <w:r>
        <w:t>sed by Provisioning AF instances to provision data collection and reporting in the Data Collection AF.</w:t>
      </w:r>
    </w:p>
    <w:p w14:paraId="03358AFA" w14:textId="1B05CB08" w:rsidR="00E75D74" w:rsidRDefault="00E75D74" w:rsidP="00FE31FB">
      <w:pPr>
        <w:pStyle w:val="B1"/>
        <w:keepNext/>
      </w:pPr>
      <w:r>
        <w:t xml:space="preserve">2. The </w:t>
      </w:r>
      <w:r w:rsidRPr="00F35246">
        <w:rPr>
          <w:rStyle w:val="Code"/>
        </w:rPr>
        <w:t>Nnrf_NFManagement</w:t>
      </w:r>
      <w:r>
        <w:t xml:space="preserve"> service is provided by the NRF. It is defined in clause 5.2.7.2 of TS 23.502 [3] and specified in clause 6.1 of TS 29.510 [6].</w:t>
      </w:r>
      <w:r w:rsidR="00FE31FB">
        <w:t xml:space="preserve"> This service is u</w:t>
      </w:r>
      <w:r>
        <w:t>sed by the Data Collection AF to register an available NF profile with the NRF for each set of data collection and reporting provisioning information held by the former.</w:t>
      </w:r>
    </w:p>
    <w:p w14:paraId="38213BF6" w14:textId="77777777" w:rsidR="00E75D74" w:rsidRDefault="00E75D74" w:rsidP="00E75D7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FE31FB">
      <w:pPr>
        <w:pStyle w:val="B1"/>
        <w:keepNext/>
      </w:pPr>
      <w:r>
        <w:t>3.</w:t>
      </w:r>
      <w:r>
        <w:tab/>
        <w:t xml:space="preserve">The </w:t>
      </w:r>
      <w:r>
        <w:rPr>
          <w:rStyle w:val="Code"/>
        </w:rPr>
        <w:t>Ndcaf_DataReporting</w:t>
      </w:r>
      <w:r>
        <w:t xml:space="preserve"> service is</w:t>
      </w:r>
      <w:r w:rsidRPr="007B6210">
        <w:t xml:space="preserve"> </w:t>
      </w:r>
      <w:r>
        <w:t>provided by the Data Collection AF. It is defined by the present document and is specified in TS 26.532 [7].</w:t>
      </w:r>
    </w:p>
    <w:p w14:paraId="7E0B7B61" w14:textId="484ABA10" w:rsidR="00E75D74" w:rsidRDefault="00E75D74" w:rsidP="00E75D74">
      <w:pPr>
        <w:pStyle w:val="B2"/>
      </w:pPr>
      <w:r>
        <w:t>a.</w:t>
      </w:r>
      <w:r>
        <w:tab/>
      </w:r>
      <w:r w:rsidR="00FE31FB">
        <w:t>This service is u</w:t>
      </w:r>
      <w:r>
        <w:t>sed by the Direct Data Collection Client, by the Indirect Data Collection Client in the Application Service Provider server and by AS instances to obtain their data collection and reporting configuration from the Data Collection AF.</w:t>
      </w:r>
    </w:p>
    <w:p w14:paraId="19894555" w14:textId="412A1C6D" w:rsidR="00E75D74" w:rsidRPr="007C79E1" w:rsidRDefault="00E75D74" w:rsidP="00FE31FB">
      <w:pPr>
        <w:pStyle w:val="B2"/>
        <w:keepNext/>
      </w:pPr>
      <w:r>
        <w:lastRenderedPageBreak/>
        <w:t>b.</w:t>
      </w:r>
      <w:r>
        <w:tab/>
        <w:t>Subsequently</w:t>
      </w:r>
      <w:r w:rsidR="00FE31FB">
        <w:t>, this service is</w:t>
      </w:r>
      <w:r>
        <w:t xml:space="preserve"> used by the Direct Data Collection Client, by the Indirect Data Collection Client and by AS instances to send data reports to the Data Collection AF.</w:t>
      </w:r>
    </w:p>
    <w:p w14:paraId="4235828E" w14:textId="1FD3A918" w:rsidR="00E75D74" w:rsidRDefault="00E75D74" w:rsidP="00E75D74">
      <w:pPr>
        <w:pStyle w:val="NO"/>
      </w:pPr>
      <w:r>
        <w:t>NOTE:</w:t>
      </w:r>
      <w:r>
        <w:tab/>
      </w:r>
      <w:r w:rsidR="007D301F">
        <w:t xml:space="preserve">Trusted </w:t>
      </w:r>
      <w:r>
        <w:t xml:space="preserve">AS instances play the role of a Network Function when invoking the </w:t>
      </w:r>
      <w:r>
        <w:rPr>
          <w:rStyle w:val="Code"/>
        </w:rPr>
        <w:t>Ndcaf_DataReporting</w:t>
      </w:r>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 and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Default="00712387" w:rsidP="00712387">
      <w:pPr>
        <w:keepNext/>
        <w:keepLines/>
      </w:pPr>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r w:rsidRPr="00EF4DA4">
        <w:rPr>
          <w:rStyle w:val="Code"/>
        </w:rPr>
        <w:t>Ndcaf</w:t>
      </w:r>
      <w:r>
        <w:t xml:space="preserve"> service is therefore not required in such deployments. The interactions at the relevant reference points are outside the scope of 3GPP and are depicted as R1′, R3′, R4′ and R6′ to reflect this.</w:t>
      </w:r>
    </w:p>
    <w:p w14:paraId="1D75AA8F" w14:textId="77777777" w:rsidR="00712387" w:rsidRDefault="00712387" w:rsidP="00712387">
      <w:pPr>
        <w:keepNext/>
        <w:jc w:val="center"/>
      </w:pPr>
      <w:r>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Default="00712387" w:rsidP="00712387">
      <w:pPr>
        <w:pStyle w:val="TF"/>
      </w:pPr>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p>
    <w:p w14:paraId="0686C024" w14:textId="77777777" w:rsidR="00AD3270" w:rsidRDefault="00E75D74" w:rsidP="00AD3270">
      <w:pPr>
        <w:pStyle w:val="Heading2"/>
      </w:pPr>
      <w:bookmarkStart w:id="52" w:name="_Toc87848783"/>
      <w:r w:rsidRPr="002C62E8">
        <w:t>4.</w:t>
      </w:r>
      <w:r>
        <w:t>5</w:t>
      </w:r>
      <w:r w:rsidRPr="002C62E8">
        <w:tab/>
      </w:r>
      <w:r w:rsidR="00AD3270">
        <w:t>Information security model</w:t>
      </w:r>
      <w:bookmarkEnd w:id="52"/>
    </w:p>
    <w:p w14:paraId="7A85CAEA" w14:textId="77777777" w:rsidR="00AD3270" w:rsidRPr="00B64422" w:rsidRDefault="00AD3270" w:rsidP="00AD3270">
      <w:pPr>
        <w:keepNext/>
      </w:pPr>
      <w:r>
        <w:t>An encrypted data transfer protocol shall be employed at reference point R2 to protect the secrecy and integrity of collected UE data in transit between the Direct Data Collection Client and the Data Collection AF.</w:t>
      </w:r>
    </w:p>
    <w:p w14:paraId="79C668CB" w14:textId="77777777" w:rsidR="00AD3270" w:rsidRDefault="00AD3270" w:rsidP="00AD3270">
      <w:pPr>
        <w:pStyle w:val="EditorsNote"/>
      </w:pPr>
      <w:r>
        <w:t>Editor’s Note: Provide normative description of stage 2 information security model, including the concept of “access level”.</w:t>
      </w:r>
    </w:p>
    <w:p w14:paraId="4BAF2244" w14:textId="77777777" w:rsidR="00AD3270" w:rsidRDefault="00AD3270" w:rsidP="00AD3270">
      <w:r>
        <w:lastRenderedPageBreak/>
        <w:t>For example, the Application Service Provider, as provider of the UE Application, is granted complete and fine-grained access to UE data reports pertaining to that application, whereas the NWDAF is granted partial and coarse-grained access to that data, possibly in aggregated and anonymized form, under Application Service Provider control. The Application Service Provider is able, through provisioning, to authorise event exposure for each of the specified access levels.</w:t>
      </w:r>
    </w:p>
    <w:p w14:paraId="7FFBFCE4" w14:textId="2D437356" w:rsidR="00E75D74" w:rsidRDefault="001E55BD" w:rsidP="00E75D74">
      <w:pPr>
        <w:pStyle w:val="Heading2"/>
      </w:pPr>
      <w:bookmarkStart w:id="53" w:name="_Toc87848784"/>
      <w:r>
        <w:t>4.6</w:t>
      </w:r>
      <w:r>
        <w:tab/>
      </w:r>
      <w:r w:rsidR="00E75D74">
        <w:t>Domain model</w:t>
      </w:r>
      <w:bookmarkEnd w:id="53"/>
    </w:p>
    <w:p w14:paraId="7343836E" w14:textId="77777777" w:rsidR="00AD3270" w:rsidRDefault="00AD3270" w:rsidP="00AD3270">
      <w:pPr>
        <w:pStyle w:val="Heading3"/>
      </w:pPr>
      <w:bookmarkStart w:id="54" w:name="_Toc87848785"/>
      <w:r>
        <w:t>4.6.1</w:t>
      </w:r>
      <w:r>
        <w:tab/>
        <w:t>General</w:t>
      </w:r>
      <w:bookmarkEnd w:id="54"/>
    </w:p>
    <w:p w14:paraId="001608AD" w14:textId="77777777" w:rsidR="00AD3270" w:rsidRDefault="00AD3270" w:rsidP="00AD3270">
      <w:pPr>
        <w:keepNext/>
      </w:pPr>
      <w:r w:rsidRPr="00434313">
        <w:t>Figure 4.</w:t>
      </w:r>
      <w:r>
        <w:t>6.1</w:t>
      </w:r>
      <w:r w:rsidRPr="00434313">
        <w:noBreakHyphen/>
        <w:t>1 depicts the static data model for the data collection and reporting domain.</w:t>
      </w:r>
      <w:r>
        <w:t xml:space="preserve"> It is further described below.</w:t>
      </w:r>
    </w:p>
    <w:p w14:paraId="6857961C" w14:textId="77777777" w:rsidR="00AD3270" w:rsidRDefault="00AD3270" w:rsidP="00AD3270">
      <w:pPr>
        <w:keepNext/>
        <w:jc w:val="center"/>
      </w:pPr>
      <w:r>
        <w:rPr>
          <w:noProof/>
        </w:rPr>
        <w:drawing>
          <wp:inline distT="0" distB="0" distL="0" distR="0" wp14:anchorId="5F2291B3" wp14:editId="4C3C6841">
            <wp:extent cx="6090489" cy="208597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097081" cy="2088233"/>
                    </a:xfrm>
                    <a:prstGeom prst="rect">
                      <a:avLst/>
                    </a:prstGeom>
                    <a:noFill/>
                    <a:ln>
                      <a:noFill/>
                    </a:ln>
                  </pic:spPr>
                </pic:pic>
              </a:graphicData>
            </a:graphic>
          </wp:inline>
        </w:drawing>
      </w:r>
    </w:p>
    <w:p w14:paraId="03269209" w14:textId="77777777" w:rsidR="00AD3270" w:rsidRDefault="00AD3270" w:rsidP="00AD3270">
      <w:pPr>
        <w:pStyle w:val="TF"/>
      </w:pPr>
      <w:r w:rsidRPr="00434313">
        <w:t>Figure 4.</w:t>
      </w:r>
      <w:r>
        <w:t>6.1</w:t>
      </w:r>
      <w:r>
        <w:noBreakHyphen/>
        <w:t>1: Static domain model</w:t>
      </w:r>
    </w:p>
    <w:p w14:paraId="79BD068F" w14:textId="77777777" w:rsidR="00AD3270" w:rsidRDefault="00AD3270" w:rsidP="00AD3270">
      <w:pPr>
        <w:keepLines/>
      </w:pPr>
      <w:r>
        <w:t>The Application Service Provider provisions zero or more sets of provisioning information in the Data Collection AF at reference point R1. The baseline set of information provisioned is described in clause 4.6.2. Each set of provisioning information pertains to one application, identified by its external application identifier, and one type of exposed event, uniquely identified in the 5G System by its Event ID,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63B18AFE" w14:textId="77777777" w:rsidR="00AD3270" w:rsidRDefault="00AD3270" w:rsidP="00AD3270">
      <w:r>
        <w:t>Each set of provisioning information is manifested as a data collection client configuration that the Data Collection AF makes available to Direct Data Collection Client instances at reference point R2, to Indirect Data Collection Client instances at R3 and to AS instances at R4.</w:t>
      </w:r>
    </w:p>
    <w:p w14:paraId="2D2E2A89" w14:textId="57B46C13" w:rsidR="00AD3270" w:rsidRDefault="00AD3270" w:rsidP="00AD3270">
      <w:r>
        <w:t>These data collection clients then send data reports to the Data Collection AF associated with the data collection client configuration. It is the responsibility of the data collection client to discover its external application identifier by means outside the scope of the present document.</w:t>
      </w:r>
    </w:p>
    <w:p w14:paraId="0772AACA" w14:textId="4C0A88EE" w:rsidR="00E75D74" w:rsidRPr="002C62E8" w:rsidRDefault="00E75D74" w:rsidP="001E55BD">
      <w:pPr>
        <w:pStyle w:val="Heading3"/>
      </w:pPr>
      <w:bookmarkStart w:id="55" w:name="_Toc87848786"/>
      <w:r>
        <w:lastRenderedPageBreak/>
        <w:t>4.6</w:t>
      </w:r>
      <w:r w:rsidR="00AD3270">
        <w:t>.2</w:t>
      </w:r>
      <w:r>
        <w:tab/>
      </w:r>
      <w:r w:rsidRPr="002C62E8">
        <w:t>Provisioning information for data collection and reporting</w:t>
      </w:r>
      <w:bookmarkEnd w:id="55"/>
    </w:p>
    <w:p w14:paraId="550EAB33" w14:textId="0D61C44E"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r w:rsidR="00AD3270">
        <w:t>6.2</w:t>
      </w:r>
      <w:r>
        <w:noBreakHyphen/>
        <w:t>1 below:</w:t>
      </w:r>
    </w:p>
    <w:p w14:paraId="2ECAA220" w14:textId="6DEAB784" w:rsidR="00E75D74" w:rsidRDefault="00E75D74" w:rsidP="00E75D74">
      <w:pPr>
        <w:pStyle w:val="TH"/>
      </w:pPr>
      <w:r>
        <w:t>Table 4.6</w:t>
      </w:r>
      <w:r w:rsidR="00AD3270">
        <w:t>.2</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3FA30C43" w:rsidR="00E75D74" w:rsidRDefault="00E75D74" w:rsidP="00833717">
            <w:pPr>
              <w:pStyle w:val="TAL"/>
            </w:pPr>
            <w:r>
              <w:t xml:space="preserve">The identifier </w:t>
            </w:r>
            <w:r w:rsidR="00AD3270">
              <w:t xml:space="preserve">to be </w:t>
            </w:r>
            <w:r>
              <w:t>used in reports sent to the Data Collection AF</w:t>
            </w:r>
            <w:r w:rsidR="00AD3270">
              <w:t xml:space="preserve"> by data collection clients</w:t>
            </w:r>
            <w:r>
              <w:t>.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7EAEE9B1" w:rsidR="00E75D74" w:rsidRDefault="00E75D74" w:rsidP="00833717">
            <w:pPr>
              <w:pStyle w:val="TAL"/>
            </w:pPr>
            <w:r>
              <w:t xml:space="preserve">The identifier </w:t>
            </w:r>
            <w:r w:rsidR="00AD3270">
              <w:t xml:space="preserve">to be </w:t>
            </w:r>
            <w:r>
              <w:t xml:space="preserve">used by </w:t>
            </w:r>
            <w:r w:rsidR="00AD3270">
              <w:t xml:space="preserve">event consumers (including </w:t>
            </w:r>
            <w:r>
              <w:t xml:space="preserve">the NWDAF </w:t>
            </w:r>
            <w:r w:rsidR="00AD3270">
              <w:t>and the Event Con</w:t>
            </w:r>
            <w:r w:rsidR="001E55BD">
              <w:t>s</w:t>
            </w:r>
            <w:r w:rsidR="00AD3270">
              <w:t xml:space="preserve">umer AF) </w:t>
            </w:r>
            <w:r>
              <w:t>when subscribing to events in the Data Collection AF.</w:t>
            </w:r>
          </w:p>
        </w:tc>
      </w:tr>
      <w:tr w:rsidR="00E75D74" w:rsidRPr="00A4724B" w14:paraId="4E09DBC7" w14:textId="77777777" w:rsidTr="00833717">
        <w:tc>
          <w:tcPr>
            <w:tcW w:w="2689" w:type="dxa"/>
          </w:tcPr>
          <w:p w14:paraId="65D101AC" w14:textId="77777777" w:rsidR="00E75D74" w:rsidRPr="00A4724B" w:rsidRDefault="00E75D74" w:rsidP="00833717">
            <w:pPr>
              <w:pStyle w:val="TAL"/>
            </w:pPr>
            <w:r>
              <w:t>Event ID</w:t>
            </w:r>
          </w:p>
        </w:tc>
        <w:tc>
          <w:tcPr>
            <w:tcW w:w="1275" w:type="dxa"/>
          </w:tcPr>
          <w:p w14:paraId="1E3A003F" w14:textId="77777777" w:rsidR="00E75D74" w:rsidRPr="003C642F" w:rsidRDefault="00E75D74" w:rsidP="00833717">
            <w:pPr>
              <w:pStyle w:val="TAC"/>
            </w:pPr>
            <w:r w:rsidRPr="003C642F">
              <w:t>1..1</w:t>
            </w:r>
          </w:p>
        </w:tc>
        <w:tc>
          <w:tcPr>
            <w:tcW w:w="5665" w:type="dxa"/>
          </w:tcPr>
          <w:p w14:paraId="322845C8" w14:textId="77777777" w:rsidR="00E75D74" w:rsidRPr="00A4724B" w:rsidRDefault="00E75D74" w:rsidP="00833717">
            <w:pPr>
              <w:pStyle w:val="TAL"/>
            </w:pPr>
            <w:r>
              <w:t>The identifier of an AF event that will be exposed to event consumers as a result of the provisioning.</w:t>
            </w:r>
          </w:p>
        </w:tc>
      </w:tr>
      <w:tr w:rsidR="005836BC" w14:paraId="0DAC7A0F" w14:textId="77777777" w:rsidTr="003F353F">
        <w:tc>
          <w:tcPr>
            <w:tcW w:w="2689" w:type="dxa"/>
          </w:tcPr>
          <w:p w14:paraId="6C191016" w14:textId="77777777" w:rsidR="005836BC" w:rsidRDefault="005836BC" w:rsidP="003F353F">
            <w:pPr>
              <w:pStyle w:val="TAL"/>
              <w:rPr>
                <w:lang w:eastAsia="zh-CN"/>
              </w:rPr>
            </w:pPr>
            <w:r>
              <w:t>Data collection client type</w:t>
            </w:r>
          </w:p>
        </w:tc>
        <w:tc>
          <w:tcPr>
            <w:tcW w:w="1275" w:type="dxa"/>
          </w:tcPr>
          <w:p w14:paraId="188B0BB7" w14:textId="77777777" w:rsidR="005836BC" w:rsidRDefault="005836BC" w:rsidP="003F353F">
            <w:pPr>
              <w:pStyle w:val="TAC"/>
              <w:rPr>
                <w:lang w:eastAsia="zh-CN"/>
              </w:rPr>
            </w:pPr>
            <w:r>
              <w:rPr>
                <w:rFonts w:hint="eastAsia"/>
                <w:lang w:eastAsia="zh-CN"/>
              </w:rPr>
              <w:t>1</w:t>
            </w:r>
            <w:r>
              <w:rPr>
                <w:lang w:eastAsia="zh-CN"/>
              </w:rPr>
              <w:t>..1</w:t>
            </w:r>
          </w:p>
        </w:tc>
        <w:tc>
          <w:tcPr>
            <w:tcW w:w="5665" w:type="dxa"/>
          </w:tcPr>
          <w:p w14:paraId="294D185D" w14:textId="77777777" w:rsidR="005836BC" w:rsidRDefault="005836BC" w:rsidP="003F353F">
            <w:pPr>
              <w:pStyle w:val="TAL"/>
              <w:rPr>
                <w:lang w:eastAsia="zh-CN"/>
              </w:rPr>
            </w:pPr>
            <w:r w:rsidRPr="00AF0338">
              <w:rPr>
                <w:lang w:eastAsia="zh-CN"/>
              </w:rPr>
              <w:t>The type of data collection client that will submit data reports to the Data Collection AF.</w:t>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6D1A4DBD" w:rsidR="00E75D74" w:rsidRDefault="00E75D74" w:rsidP="00833717">
            <w:pPr>
              <w:pStyle w:val="TAL"/>
            </w:pPr>
            <w:r>
              <w:t xml:space="preserve">Parameters to be </w:t>
            </w:r>
            <w:r w:rsidR="005836BC">
              <w:t>reported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25253EFA" w:rsidR="00E75D74" w:rsidRDefault="00E75D74" w:rsidP="00833717">
            <w:pPr>
              <w:pStyle w:val="TAL"/>
            </w:pPr>
            <w:r>
              <w:t xml:space="preserve">The subset of domain-specific parameters associated with the specified Event ID to be </w:t>
            </w:r>
            <w:r w:rsidR="005836BC">
              <w:t>reported to</w:t>
            </w:r>
            <w:r>
              <w:t xml:space="preserve"> the Data Collection AF (subject to user consent).</w:t>
            </w:r>
          </w:p>
        </w:tc>
      </w:tr>
      <w:tr w:rsidR="00E75D74" w:rsidRPr="00A4724B" w14:paraId="379412FB" w14:textId="77777777" w:rsidTr="00833717">
        <w:tc>
          <w:tcPr>
            <w:tcW w:w="2689" w:type="dxa"/>
          </w:tcPr>
          <w:p w14:paraId="5D750D07" w14:textId="20EDC547" w:rsidR="00E75D74" w:rsidRDefault="00E75D74" w:rsidP="00833717">
            <w:pPr>
              <w:pStyle w:val="TAL"/>
            </w:pPr>
            <w:r>
              <w:t xml:space="preserve">Data </w:t>
            </w:r>
            <w:r w:rsidR="005836BC">
              <w:t>processing instructions</w:t>
            </w:r>
          </w:p>
        </w:tc>
        <w:tc>
          <w:tcPr>
            <w:tcW w:w="1275" w:type="dxa"/>
          </w:tcPr>
          <w:p w14:paraId="6E81B123" w14:textId="7AB4A9F1" w:rsidR="00E75D74" w:rsidRPr="003C642F" w:rsidRDefault="00E75D74" w:rsidP="00833717">
            <w:pPr>
              <w:pStyle w:val="TAC"/>
            </w:pPr>
            <w:r w:rsidRPr="003C642F">
              <w:t>1..</w:t>
            </w:r>
            <w:r w:rsidR="00AD3270">
              <w:t>*</w:t>
            </w:r>
          </w:p>
        </w:tc>
        <w:tc>
          <w:tcPr>
            <w:tcW w:w="5665" w:type="dxa"/>
          </w:tcPr>
          <w:p w14:paraId="24DD2B01" w14:textId="77777777" w:rsidR="00AD3270" w:rsidRDefault="00E75D74" w:rsidP="00AD3270">
            <w:pPr>
              <w:pStyle w:val="TAL"/>
            </w:pPr>
            <w:r>
              <w:t xml:space="preserve">A set of </w:t>
            </w:r>
            <w:r w:rsidR="00AD3270">
              <w:t>operations to be performed by the Data Collection AF on the parameters reported according to clause 4.6.4 prior to exposure as an event at a particular access level.</w:t>
            </w:r>
          </w:p>
          <w:p w14:paraId="007585A1" w14:textId="5CB60112" w:rsidR="00E75D74" w:rsidRDefault="00AD3270" w:rsidP="00AD3270">
            <w:pPr>
              <w:pStyle w:val="TALcontinuation"/>
            </w:pPr>
            <w:r>
              <w:t xml:space="preserve">The set of supported operations shall include at least: </w:t>
            </w:r>
            <w:r w:rsidRPr="005174B9">
              <w:rPr>
                <w:rStyle w:val="Code"/>
              </w:rPr>
              <w:t>COUNT</w:t>
            </w:r>
            <w:r>
              <w:t xml:space="preserve">, </w:t>
            </w:r>
            <w:r w:rsidRPr="005174B9">
              <w:rPr>
                <w:rStyle w:val="Code"/>
              </w:rPr>
              <w:t>MEAN</w:t>
            </w:r>
            <w:r>
              <w:t xml:space="preserve">, </w:t>
            </w:r>
            <w:r w:rsidRPr="005174B9">
              <w:rPr>
                <w:rStyle w:val="Code"/>
              </w:rPr>
              <w:t>MEDIAN</w:t>
            </w:r>
            <w:r>
              <w:t xml:space="preserve">, </w:t>
            </w:r>
            <w:r w:rsidRPr="005174B9">
              <w:rPr>
                <w:rStyle w:val="Code"/>
              </w:rPr>
              <w:t>MINIMUM</w:t>
            </w:r>
            <w:r>
              <w:t xml:space="preserve">, </w:t>
            </w:r>
            <w:r w:rsidRPr="005174B9">
              <w:rPr>
                <w:rStyle w:val="Code"/>
              </w:rPr>
              <w:t>MAXIMUM</w:t>
            </w:r>
            <w:r>
              <w:t xml:space="preserve"> and </w:t>
            </w:r>
            <w:r w:rsidRPr="005174B9">
              <w:rPr>
                <w:rStyle w:val="Code"/>
              </w:rPr>
              <w:t>SUM</w:t>
            </w:r>
            <w:r>
              <w:t>.</w:t>
            </w:r>
          </w:p>
        </w:tc>
      </w:tr>
      <w:tr w:rsidR="00AD3270" w:rsidRPr="00A4724B" w14:paraId="36731D04" w14:textId="77777777" w:rsidTr="00833717">
        <w:tc>
          <w:tcPr>
            <w:tcW w:w="2689" w:type="dxa"/>
          </w:tcPr>
          <w:p w14:paraId="509039DF" w14:textId="62A73816" w:rsidR="00AD3270" w:rsidRDefault="00AD3270" w:rsidP="00AD3270">
            <w:pPr>
              <w:pStyle w:val="TAL"/>
            </w:pPr>
            <w:r>
              <w:t>Data exposure restrictions</w:t>
            </w:r>
          </w:p>
        </w:tc>
        <w:tc>
          <w:tcPr>
            <w:tcW w:w="1275" w:type="dxa"/>
          </w:tcPr>
          <w:p w14:paraId="48090BAF" w14:textId="441F9D4D" w:rsidR="00AD3270" w:rsidRPr="003C642F" w:rsidRDefault="00AD3270" w:rsidP="00AD3270">
            <w:pPr>
              <w:pStyle w:val="TAC"/>
            </w:pPr>
            <w:r>
              <w:t>1..*</w:t>
            </w:r>
          </w:p>
        </w:tc>
        <w:tc>
          <w:tcPr>
            <w:tcW w:w="5665" w:type="dxa"/>
          </w:tcPr>
          <w:p w14:paraId="1E121317" w14:textId="08E55432" w:rsidR="00AD3270" w:rsidRDefault="00AD3270" w:rsidP="00AD3270">
            <w:pPr>
              <w:pStyle w:val="TAL"/>
            </w:pPr>
            <w:r>
              <w:t>A set of restrictions on the exposure of the collected data after any data processing, each corresponding to a different access level.</w:t>
            </w:r>
          </w:p>
        </w:tc>
      </w:tr>
    </w:tbl>
    <w:p w14:paraId="46A90871" w14:textId="77777777" w:rsidR="00E75D74" w:rsidRPr="00BA7B4D" w:rsidRDefault="00E75D74" w:rsidP="00E75D74">
      <w:pPr>
        <w:pStyle w:val="TAN"/>
        <w:keepNext w:val="0"/>
      </w:pPr>
    </w:p>
    <w:p w14:paraId="5DB5B383" w14:textId="4D53E5EE" w:rsidR="00E75D74" w:rsidRPr="002C62E8" w:rsidRDefault="00E75D74" w:rsidP="001E55BD">
      <w:pPr>
        <w:pStyle w:val="Heading3"/>
      </w:pPr>
      <w:bookmarkStart w:id="56" w:name="_Toc87848787"/>
      <w:r w:rsidRPr="002C62E8">
        <w:t>4.</w:t>
      </w:r>
      <w:r w:rsidR="00AD3270">
        <w:t>6.3</w:t>
      </w:r>
      <w:r w:rsidRPr="002C62E8">
        <w:tab/>
        <w:t>Configuration information for data collection clients</w:t>
      </w:r>
      <w:bookmarkEnd w:id="56"/>
    </w:p>
    <w:p w14:paraId="1EB487FA" w14:textId="377F5A87" w:rsidR="00E75D74" w:rsidRDefault="00E75D74" w:rsidP="00E75D74">
      <w:pPr>
        <w:keepNext/>
      </w:pPr>
      <w:r>
        <w:t xml:space="preserve">All clients of the Data Collection AF wishing to report data shall first obtain a data collection and reporting configuration from the Data Collection AF at reference point R2, R3 or R4 (as appropriate). </w:t>
      </w:r>
      <w:r w:rsidR="00FE31FB">
        <w:t>For each Event ID, t</w:t>
      </w:r>
      <w:r>
        <w:t>he data collection and reporting configuration shall include at least the parameters defined in table 4.6</w:t>
      </w:r>
      <w:r w:rsidR="00AD3270">
        <w:t>.3</w:t>
      </w:r>
      <w:r>
        <w:noBreakHyphen/>
        <w:t>1 below:</w:t>
      </w:r>
    </w:p>
    <w:p w14:paraId="0ED13E11" w14:textId="1CE766AE" w:rsidR="00E75D74" w:rsidRDefault="00E75D74" w:rsidP="00E75D74">
      <w:pPr>
        <w:pStyle w:val="TH"/>
      </w:pPr>
      <w:r>
        <w:t>Table 4.</w:t>
      </w:r>
      <w:r w:rsidR="00AD3270">
        <w:t>6.3</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c>
          <w:tcPr>
            <w:tcW w:w="2689" w:type="dxa"/>
            <w:shd w:val="clear" w:color="auto" w:fill="BFBFBF" w:themeFill="background1" w:themeFillShade="BF"/>
          </w:tcPr>
          <w:p w14:paraId="0C46C727" w14:textId="77777777" w:rsidR="00E75D74" w:rsidRPr="00A4724B" w:rsidRDefault="00E75D74" w:rsidP="00833717">
            <w:pPr>
              <w:pStyle w:val="TAH"/>
            </w:pPr>
            <w:r>
              <w:t>Parameter</w:t>
            </w:r>
          </w:p>
        </w:tc>
        <w:tc>
          <w:tcPr>
            <w:tcW w:w="1143" w:type="dxa"/>
            <w:shd w:val="clear" w:color="auto" w:fill="BFBFBF" w:themeFill="background1" w:themeFillShade="BF"/>
          </w:tcPr>
          <w:p w14:paraId="1252E6C2" w14:textId="77777777" w:rsidR="00E75D74" w:rsidRDefault="00E75D74" w:rsidP="00833717">
            <w:pPr>
              <w:pStyle w:val="TAH"/>
            </w:pPr>
            <w:r>
              <w:t>Cardinality</w:t>
            </w:r>
          </w:p>
        </w:tc>
        <w:tc>
          <w:tcPr>
            <w:tcW w:w="5797"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833717">
        <w:tc>
          <w:tcPr>
            <w:tcW w:w="2689" w:type="dxa"/>
          </w:tcPr>
          <w:p w14:paraId="5492B06B" w14:textId="77777777" w:rsidR="00E75D74" w:rsidRDefault="00E75D74" w:rsidP="00833717">
            <w:pPr>
              <w:pStyle w:val="TAL"/>
            </w:pPr>
            <w:r>
              <w:t>External Application Identifier</w:t>
            </w:r>
          </w:p>
        </w:tc>
        <w:tc>
          <w:tcPr>
            <w:tcW w:w="1143" w:type="dxa"/>
          </w:tcPr>
          <w:p w14:paraId="1A86CEBE" w14:textId="77777777" w:rsidR="00E75D74" w:rsidRDefault="00E75D74" w:rsidP="00833717">
            <w:pPr>
              <w:pStyle w:val="TAC"/>
            </w:pPr>
            <w:r>
              <w:t>1..1</w:t>
            </w:r>
          </w:p>
        </w:tc>
        <w:tc>
          <w:tcPr>
            <w:tcW w:w="5797"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E75D74" w:rsidRPr="00A4724B" w14:paraId="18C6D36A" w14:textId="77777777" w:rsidTr="00833717">
        <w:tc>
          <w:tcPr>
            <w:tcW w:w="2689" w:type="dxa"/>
          </w:tcPr>
          <w:p w14:paraId="69A0F8BA" w14:textId="77777777" w:rsidR="00E75D74" w:rsidRDefault="00E75D74" w:rsidP="00833717">
            <w:pPr>
              <w:pStyle w:val="TAL"/>
            </w:pPr>
            <w:r>
              <w:t>Parameters to be collected</w:t>
            </w:r>
          </w:p>
        </w:tc>
        <w:tc>
          <w:tcPr>
            <w:tcW w:w="1143" w:type="dxa"/>
          </w:tcPr>
          <w:p w14:paraId="5F72D574" w14:textId="77777777" w:rsidR="00E75D74" w:rsidRDefault="00E75D74" w:rsidP="00833717">
            <w:pPr>
              <w:pStyle w:val="TAC"/>
            </w:pPr>
            <w:r>
              <w:t>1..*</w:t>
            </w:r>
          </w:p>
        </w:tc>
        <w:tc>
          <w:tcPr>
            <w:tcW w:w="5797" w:type="dxa"/>
          </w:tcPr>
          <w:p w14:paraId="5373B3D5"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45AE9D0" w:rsidR="00E75D74" w:rsidRPr="002C62E8" w:rsidRDefault="00E75D74" w:rsidP="001E55BD">
      <w:pPr>
        <w:pStyle w:val="Heading3"/>
      </w:pPr>
      <w:bookmarkStart w:id="57" w:name="_Toc87848788"/>
      <w:r w:rsidRPr="002C62E8">
        <w:lastRenderedPageBreak/>
        <w:t>4.</w:t>
      </w:r>
      <w:r w:rsidR="00AD3270">
        <w:t>6.4</w:t>
      </w:r>
      <w:r w:rsidRPr="002C62E8">
        <w:tab/>
      </w:r>
      <w:r>
        <w:t>Information included in data reports to the Data Collection AF</w:t>
      </w:r>
      <w:bookmarkEnd w:id="57"/>
    </w:p>
    <w:p w14:paraId="69E0A8AE" w14:textId="77777777" w:rsidR="00FE31FB" w:rsidRDefault="00FE31FB" w:rsidP="00FE31FB">
      <w:pPr>
        <w:keepNext/>
      </w:pPr>
      <w:r>
        <w:t>For each Event ID, the data report shall include at least the parameters as defined in table 4.6.4-1 below:</w:t>
      </w:r>
    </w:p>
    <w:p w14:paraId="361C53D7" w14:textId="5EC8D123" w:rsidR="00E75D74" w:rsidRDefault="00E75D74" w:rsidP="00E75D74">
      <w:pPr>
        <w:pStyle w:val="TH"/>
      </w:pPr>
      <w:r>
        <w:t>Table 4.</w:t>
      </w:r>
      <w:r w:rsidR="00AD3270">
        <w:t>6.4</w:t>
      </w:r>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c>
          <w:tcPr>
            <w:tcW w:w="2689" w:type="dxa"/>
            <w:shd w:val="clear" w:color="auto" w:fill="BFBFBF" w:themeFill="background1" w:themeFillShade="BF"/>
          </w:tcPr>
          <w:p w14:paraId="77C93BDD" w14:textId="77777777" w:rsidR="00E75D74" w:rsidRPr="00A4724B" w:rsidRDefault="00E75D74" w:rsidP="00833717">
            <w:pPr>
              <w:pStyle w:val="TAH"/>
            </w:pPr>
            <w:r>
              <w:t>Parameter</w:t>
            </w:r>
          </w:p>
        </w:tc>
        <w:tc>
          <w:tcPr>
            <w:tcW w:w="1134" w:type="dxa"/>
            <w:shd w:val="clear" w:color="auto" w:fill="BFBFBF" w:themeFill="background1" w:themeFillShade="BF"/>
          </w:tcPr>
          <w:p w14:paraId="7E0A888A" w14:textId="77777777" w:rsidR="00E75D74" w:rsidRDefault="00E75D74" w:rsidP="00833717">
            <w:pPr>
              <w:pStyle w:val="TAH"/>
            </w:pPr>
            <w:r>
              <w:t>Cardinality</w:t>
            </w:r>
          </w:p>
        </w:tc>
        <w:tc>
          <w:tcPr>
            <w:tcW w:w="5806"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833717">
        <w:tc>
          <w:tcPr>
            <w:tcW w:w="2689" w:type="dxa"/>
          </w:tcPr>
          <w:p w14:paraId="198F437F" w14:textId="77777777" w:rsidR="00E75D74" w:rsidRDefault="00E75D74" w:rsidP="00833717">
            <w:pPr>
              <w:pStyle w:val="TAL"/>
            </w:pPr>
            <w:r>
              <w:t>External Application Identifier</w:t>
            </w:r>
          </w:p>
        </w:tc>
        <w:tc>
          <w:tcPr>
            <w:tcW w:w="1134" w:type="dxa"/>
          </w:tcPr>
          <w:p w14:paraId="281D305C" w14:textId="77777777" w:rsidR="00E75D74" w:rsidRDefault="00E75D74" w:rsidP="00833717">
            <w:pPr>
              <w:pStyle w:val="TAC"/>
            </w:pPr>
            <w:r>
              <w:t>1..1</w:t>
            </w:r>
          </w:p>
        </w:tc>
        <w:tc>
          <w:tcPr>
            <w:tcW w:w="5806" w:type="dxa"/>
          </w:tcPr>
          <w:p w14:paraId="02D50F5E" w14:textId="77777777" w:rsidR="00E75D74" w:rsidRDefault="00E75D74" w:rsidP="00833717">
            <w:pPr>
              <w:pStyle w:val="TAL"/>
            </w:pPr>
            <w:r>
              <w:t>Identifies the UE Application to which this data report pertains.</w:t>
            </w:r>
          </w:p>
        </w:tc>
      </w:tr>
      <w:tr w:rsidR="00E75D74" w:rsidRPr="00A4724B" w14:paraId="1AF96355" w14:textId="77777777" w:rsidTr="00833717">
        <w:tc>
          <w:tcPr>
            <w:tcW w:w="2689" w:type="dxa"/>
          </w:tcPr>
          <w:p w14:paraId="2608A12B" w14:textId="77777777" w:rsidR="00E75D74" w:rsidRDefault="00E75D74" w:rsidP="00833717">
            <w:pPr>
              <w:pStyle w:val="TAL"/>
            </w:pPr>
            <w:r>
              <w:t>Collected parameters</w:t>
            </w:r>
          </w:p>
        </w:tc>
        <w:tc>
          <w:tcPr>
            <w:tcW w:w="1134" w:type="dxa"/>
          </w:tcPr>
          <w:p w14:paraId="341BC05E" w14:textId="77777777" w:rsidR="00E75D74" w:rsidRDefault="00E75D74" w:rsidP="00833717">
            <w:pPr>
              <w:pStyle w:val="TAC"/>
            </w:pPr>
            <w:r>
              <w:t>1..*</w:t>
            </w:r>
          </w:p>
        </w:tc>
        <w:tc>
          <w:tcPr>
            <w:tcW w:w="5806" w:type="dxa"/>
          </w:tcPr>
          <w:p w14:paraId="27AFB682" w14:textId="49E9CF8F" w:rsidR="00E75D74" w:rsidRDefault="00E75D74" w:rsidP="00833717">
            <w:pPr>
              <w:pStyle w:val="TAL"/>
            </w:pPr>
            <w:r>
              <w:t xml:space="preserve">The set of parameters collected by the </w:t>
            </w:r>
            <w:r w:rsidR="00AD3270">
              <w:t>data collection and reporting client</w:t>
            </w:r>
            <w:r>
              <w: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58" w:name="_Toc87848789"/>
      <w:r>
        <w:lastRenderedPageBreak/>
        <w:t>5</w:t>
      </w:r>
      <w:r>
        <w:tab/>
        <w:t>Procedures for data collection and reporting</w:t>
      </w:r>
      <w:bookmarkEnd w:id="58"/>
    </w:p>
    <w:p w14:paraId="2E846A9B" w14:textId="77777777" w:rsidR="00E93B58" w:rsidRDefault="00E93B58" w:rsidP="00E93B58">
      <w:pPr>
        <w:pStyle w:val="Heading2"/>
      </w:pPr>
      <w:bookmarkStart w:id="59" w:name="_Toc87848790"/>
      <w:r>
        <w:t>5.1</w:t>
      </w:r>
      <w:r>
        <w:tab/>
        <w:t>General</w:t>
      </w:r>
      <w:bookmarkEnd w:id="59"/>
    </w:p>
    <w:p w14:paraId="5EAE2744" w14:textId="09A5C2A0" w:rsidR="007A504A" w:rsidRDefault="007A504A" w:rsidP="003D1605">
      <w:pPr>
        <w:keepNext/>
      </w:pPr>
      <w:r>
        <w:t>This clause defines the high-level procedures for data collection and reporting.</w:t>
      </w:r>
    </w:p>
    <w:p w14:paraId="41BC2D65" w14:textId="337B00C8" w:rsidR="00684097" w:rsidRDefault="00684097" w:rsidP="00684097">
      <w:pPr>
        <w:keepNext/>
      </w:pPr>
      <w:r>
        <w:t>Figure 5.1-1 below depicts the case where all functional entities lie inside the trusted domain.</w:t>
      </w:r>
      <w:r w:rsidR="00A43BE7">
        <w:t xml:space="preserve"> The detailed steps for each phase are further elaborated in the following clauses.</w:t>
      </w:r>
    </w:p>
    <w:p w14:paraId="6B26468B" w14:textId="77777777" w:rsidR="00684097" w:rsidRDefault="00684097" w:rsidP="003D1605">
      <w:pPr>
        <w:keepNext/>
        <w:jc w:val="center"/>
      </w:pPr>
      <w:r>
        <w:object w:dxaOrig="20740" w:dyaOrig="27140" w14:anchorId="5AD1E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544.1pt" o:ole="">
            <v:imagedata r:id="rId19" o:title=""/>
          </v:shape>
          <o:OLEObject Type="Embed" ProgID="Mscgen.Chart" ShapeID="_x0000_i1025" DrawAspect="Content" ObjectID="_1702923352" r:id="rId20"/>
        </w:object>
      </w:r>
    </w:p>
    <w:p w14:paraId="366D2DF2" w14:textId="77777777" w:rsidR="00684097" w:rsidRDefault="00684097" w:rsidP="00684097">
      <w:pPr>
        <w:pStyle w:val="TF"/>
      </w:pPr>
      <w:r>
        <w:t>Figure 5.1</w:t>
      </w:r>
      <w:r>
        <w:noBreakHyphen/>
        <w:t>1: High-level procedures for data collection and reporting</w:t>
      </w:r>
    </w:p>
    <w:p w14:paraId="1B46157C" w14:textId="5E77A63D" w:rsidR="00B71B73" w:rsidRDefault="00B71B73" w:rsidP="00E93B58">
      <w:pPr>
        <w:pStyle w:val="Heading2"/>
      </w:pPr>
      <w:bookmarkStart w:id="60" w:name="_Toc87848791"/>
      <w:r>
        <w:lastRenderedPageBreak/>
        <w:t>5.2</w:t>
      </w:r>
      <w:r>
        <w:tab/>
        <w:t>Procedures for data collection and reporting provisioning</w:t>
      </w:r>
      <w:bookmarkEnd w:id="60"/>
    </w:p>
    <w:p w14:paraId="2021E451" w14:textId="7B26E7DA" w:rsidR="00747C5F" w:rsidRDefault="00B71B73" w:rsidP="00684097">
      <w:pPr>
        <w:pStyle w:val="EditorsNote"/>
        <w:keepNext/>
      </w:pPr>
      <w:r>
        <w:t>Editor’s Note: High-level definition of how data collection and reporting is provisioned</w:t>
      </w:r>
      <w:r w:rsidR="00D30057">
        <w:t>, including, but not limited to:</w:t>
      </w:r>
    </w:p>
    <w:p w14:paraId="4F0DC27C" w14:textId="777F1032" w:rsidR="00747C5F" w:rsidRDefault="00747C5F" w:rsidP="00684097">
      <w:pPr>
        <w:pStyle w:val="EditorsNote"/>
        <w:keepNext/>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684097">
      <w:pPr>
        <w:pStyle w:val="EditorsNote"/>
        <w:keepNext/>
        <w:ind w:left="568" w:firstLine="0"/>
      </w:pPr>
      <w:r>
        <w:t>2.</w:t>
      </w:r>
      <w:r>
        <w:tab/>
      </w:r>
      <w:r w:rsidR="00D30057">
        <w:t>M</w:t>
      </w:r>
      <w:r>
        <w:t xml:space="preserve">anipulation of </w:t>
      </w:r>
      <w:r w:rsidR="00D30057">
        <w:t xml:space="preserve">collected </w:t>
      </w:r>
      <w:r>
        <w:t>data for subsequent reporting</w:t>
      </w:r>
      <w:r w:rsidR="00D30057">
        <w:t xml:space="preserve"> (e.g. summarisation, anonymisation, etc.).</w:t>
      </w:r>
    </w:p>
    <w:p w14:paraId="7FD1CBA7" w14:textId="77777777" w:rsidR="00684097" w:rsidRDefault="00684097" w:rsidP="00684097">
      <w:pPr>
        <w:keepNext/>
        <w:jc w:val="center"/>
      </w:pPr>
      <w:r>
        <w:object w:dxaOrig="11950" w:dyaOrig="6570" w14:anchorId="4544EA00">
          <v:shape id="_x0000_i1026" type="#_x0000_t75" style="width:478.05pt;height:262.05pt" o:ole="">
            <v:imagedata r:id="rId21" o:title=""/>
          </v:shape>
          <o:OLEObject Type="Embed" ProgID="Mscgen.Chart" ShapeID="_x0000_i1026" DrawAspect="Content" ObjectID="_1702923353" r:id="rId22"/>
        </w:object>
      </w:r>
    </w:p>
    <w:p w14:paraId="2E7EB4B7" w14:textId="77777777" w:rsidR="00684097" w:rsidRDefault="00684097" w:rsidP="00684097">
      <w:pPr>
        <w:pStyle w:val="TF"/>
        <w:keepNext/>
      </w:pPr>
      <w:r>
        <w:t>Figure 5.2</w:t>
      </w:r>
      <w:r>
        <w:noBreakHyphen/>
        <w:t>1: High-level procedures for AF registration and provisioning phases</w:t>
      </w:r>
    </w:p>
    <w:p w14:paraId="4DE78B73" w14:textId="77777777" w:rsidR="00684097" w:rsidRDefault="00684097" w:rsidP="00684097">
      <w:pPr>
        <w:keepNext/>
      </w:pPr>
      <w:r>
        <w:t xml:space="preserve">Initially, the different types of AF register themselves with the NRF using the </w:t>
      </w:r>
      <w:r w:rsidRPr="00A530D3">
        <w:rPr>
          <w:rStyle w:val="Code"/>
        </w:rPr>
        <w:t>Nnrf_NFManagement_NFRegister</w:t>
      </w:r>
      <w:r>
        <w:t xml:space="preserve"> service operation defined in clause 5.2.7.2.2 of TS 23.502 [3]:</w:t>
      </w:r>
    </w:p>
    <w:p w14:paraId="46DD92BE" w14:textId="77777777" w:rsidR="00684097" w:rsidRDefault="00684097" w:rsidP="00684097">
      <w:pPr>
        <w:pStyle w:val="B1"/>
        <w:keepNext/>
      </w:pPr>
      <w:r>
        <w:t>1.</w:t>
      </w:r>
      <w:r>
        <w:tab/>
        <w:t>The NWDAF registers itself with the NRF.</w:t>
      </w:r>
    </w:p>
    <w:p w14:paraId="3D53664E" w14:textId="77777777" w:rsidR="00684097" w:rsidRDefault="00684097" w:rsidP="00684097">
      <w:pPr>
        <w:pStyle w:val="B1"/>
        <w:keepNext/>
      </w:pPr>
      <w:r>
        <w:t>2.</w:t>
      </w:r>
      <w:r>
        <w:tab/>
        <w:t>The Data Collection AF registers itself with the NRF. This registration includes a list of Event IDs that it is capable of exposing to event consumers.</w:t>
      </w:r>
    </w:p>
    <w:p w14:paraId="43888BA9" w14:textId="77777777" w:rsidR="00684097" w:rsidRDefault="00684097" w:rsidP="00684097">
      <w:pPr>
        <w:keepNext/>
      </w:pPr>
      <w:r>
        <w:t>At some later point, Data Collection and Reporting features are provisioned by the Application Service Provider's Provisioning AF:</w:t>
      </w:r>
    </w:p>
    <w:p w14:paraId="6862BD9D" w14:textId="77777777" w:rsidR="00684097" w:rsidRDefault="00684097" w:rsidP="00684097">
      <w:pPr>
        <w:pStyle w:val="B1"/>
        <w:keepNext/>
      </w:pPr>
      <w:r>
        <w:t>3.</w:t>
      </w:r>
      <w:r>
        <w:tab/>
        <w:t xml:space="preserve">The Provisioning AF discovers the Data Collection AF by following the </w:t>
      </w:r>
      <w:r w:rsidRPr="00AE4B9E">
        <w:rPr>
          <w:rStyle w:val="Code"/>
        </w:rPr>
        <w:t>Nnrf_NFDiscovery</w:t>
      </w:r>
      <w:r>
        <w:t xml:space="preserve"> procedure defined in clause 5.2.7.3 of TS 23.502 [3].</w:t>
      </w:r>
    </w:p>
    <w:p w14:paraId="2F112D77" w14:textId="3AAF9641" w:rsidR="00684097" w:rsidRDefault="00684097" w:rsidP="00684097">
      <w:pPr>
        <w:pStyle w:val="B1"/>
      </w:pPr>
      <w:r>
        <w:t>4.</w:t>
      </w:r>
      <w:r>
        <w:tab/>
        <w:t xml:space="preserve">The Provisioning AF provisions data collection and reporting in the Data Collection AF for a specific Event ID, using the </w:t>
      </w:r>
      <w:r w:rsidRPr="00AE4B9E">
        <w:rPr>
          <w:rStyle w:val="Code"/>
        </w:rPr>
        <w:t>Ndcaf_DataReportingProvisioning</w:t>
      </w:r>
      <w:r w:rsidRPr="00AE4B9E">
        <w:t xml:space="preserve"> </w:t>
      </w:r>
      <w:r>
        <w:t>procedures defined in the present document.</w:t>
      </w:r>
      <w:r w:rsidR="005836BC">
        <w:t xml:space="preserve"> The provisioning information may vary depending on the data reporting method, i.e. direct reporting or indirect reporting.</w:t>
      </w:r>
    </w:p>
    <w:p w14:paraId="1B4351B2" w14:textId="469E701B" w:rsidR="00B71B73" w:rsidRDefault="00D30057" w:rsidP="00D30057">
      <w:pPr>
        <w:pStyle w:val="Heading2"/>
      </w:pPr>
      <w:bookmarkStart w:id="61" w:name="_Toc87848792"/>
      <w:r>
        <w:lastRenderedPageBreak/>
        <w:t>5.3</w:t>
      </w:r>
      <w:r>
        <w:tab/>
        <w:t>Procedures for Data Collection AF subscription</w:t>
      </w:r>
      <w:bookmarkEnd w:id="61"/>
    </w:p>
    <w:p w14:paraId="52CC4E2E" w14:textId="7C7676BC" w:rsidR="00AF52A2" w:rsidRPr="009858EC" w:rsidRDefault="00AF52A2" w:rsidP="003D1605">
      <w:pPr>
        <w:pStyle w:val="EditorsNote"/>
        <w:keepNext/>
      </w:pPr>
      <w:r>
        <w:t xml:space="preserve">Editor’s Note: </w:t>
      </w:r>
      <w:r w:rsidR="007D301F">
        <w:t xml:space="preserve">It appears that the specification of the </w:t>
      </w:r>
      <w:r w:rsidR="007D301F">
        <w:rPr>
          <w:rFonts w:ascii="Arial" w:hAnsi="Arial" w:cs="Arial"/>
          <w:i/>
          <w:iCs/>
          <w:sz w:val="18"/>
          <w:szCs w:val="18"/>
        </w:rPr>
        <w:t>Naf_EventExposure</w:t>
      </w:r>
      <w:r w:rsidR="007D301F">
        <w:t xml:space="preserve"> service to NF consumers residing outside the trusted domain is outside the current scope of </w:t>
      </w:r>
      <w:r>
        <w:t>SA2</w:t>
      </w:r>
      <w:r w:rsidR="007D301F">
        <w:t>. Therefore, it is unclear whether SA2 will wish</w:t>
      </w:r>
      <w:r>
        <w:t xml:space="preserve"> to take the lead on the design of the </w:t>
      </w:r>
      <w:r w:rsidRPr="00251F17">
        <w:rPr>
          <w:rStyle w:val="Code"/>
        </w:rPr>
        <w:t>Naf_EventExposure</w:t>
      </w:r>
      <w:r>
        <w:t xml:space="preserve"> API</w:t>
      </w:r>
      <w:r w:rsidR="007D301F">
        <w:t xml:space="preserve"> in support of subscription by and event notification to an ASP (i.e. its Event Consumer AF) located in an external DN. To be confirmed by LS exchange with SA2, SA4 may be responsible for defining </w:t>
      </w:r>
      <w:r w:rsidR="007D301F">
        <w:rPr>
          <w:rFonts w:ascii="Arial" w:hAnsi="Arial" w:cs="Arial"/>
          <w:i/>
          <w:iCs/>
          <w:sz w:val="18"/>
          <w:szCs w:val="18"/>
        </w:rPr>
        <w:t>Naf_EventExposure</w:t>
      </w:r>
      <w:r w:rsidR="007D301F">
        <w:t xml:space="preserve">, and whereby close coordination with SA2 and perhaps CT3 will be necessary to ensure appropriate handling and ownership of the stage 2 and stage 3 specifications of the associated </w:t>
      </w:r>
      <w:r w:rsidR="007D301F">
        <w:rPr>
          <w:rFonts w:ascii="Arial" w:hAnsi="Arial" w:cs="Arial"/>
          <w:i/>
          <w:iCs/>
          <w:sz w:val="18"/>
          <w:szCs w:val="18"/>
        </w:rPr>
        <w:t>Naf_EventExposure</w:t>
      </w:r>
      <w:r w:rsidR="007D301F">
        <w:t xml:space="preserve"> and</w:t>
      </w:r>
      <w:r w:rsidR="007D301F">
        <w:rPr>
          <w:rFonts w:ascii="Arial" w:hAnsi="Arial" w:cs="Arial"/>
          <w:i/>
          <w:iCs/>
          <w:sz w:val="18"/>
          <w:szCs w:val="18"/>
        </w:rPr>
        <w:t xml:space="preserve"> Nnef_EventExposure </w:t>
      </w:r>
      <w:r w:rsidR="007D301F">
        <w:t>service APIs</w:t>
      </w:r>
      <w:r>
        <w:t>.</w:t>
      </w:r>
    </w:p>
    <w:p w14:paraId="52AF0B57" w14:textId="77777777" w:rsidR="003D1605" w:rsidRDefault="003D1605" w:rsidP="003D1605">
      <w:pPr>
        <w:keepNext/>
      </w:pPr>
      <w:r>
        <w:t>Subsequently, one or more of the two types of event consumer discover the Data Collection AF and subscribe to events from it.</w:t>
      </w:r>
    </w:p>
    <w:p w14:paraId="2052E4FF" w14:textId="77777777" w:rsidR="003D1605" w:rsidRDefault="003D1605" w:rsidP="003D1605">
      <w:pPr>
        <w:keepNext/>
        <w:jc w:val="center"/>
      </w:pPr>
      <w:r>
        <w:object w:dxaOrig="10270" w:dyaOrig="6550" w14:anchorId="68E274FD">
          <v:shape id="_x0000_i1027" type="#_x0000_t75" style="width:399.65pt;height:255.65pt" o:ole="">
            <v:imagedata r:id="rId23" o:title=""/>
          </v:shape>
          <o:OLEObject Type="Embed" ProgID="Mscgen.Chart" ShapeID="_x0000_i1027" DrawAspect="Content" ObjectID="_1702923354" r:id="rId24"/>
        </w:object>
      </w:r>
    </w:p>
    <w:p w14:paraId="2727BCB1" w14:textId="77777777" w:rsidR="003D1605" w:rsidRDefault="003D1605" w:rsidP="003D1605">
      <w:pPr>
        <w:pStyle w:val="TF"/>
        <w:keepNext/>
      </w:pPr>
      <w:r>
        <w:t>Figure 5.3</w:t>
      </w:r>
      <w:r>
        <w:noBreakHyphen/>
        <w:t>1: High-level procedures for subscription phase</w:t>
      </w:r>
    </w:p>
    <w:p w14:paraId="3A7E92AA" w14:textId="77777777" w:rsidR="003D1605" w:rsidRDefault="003D1605" w:rsidP="003D1605">
      <w:pPr>
        <w:keepNext/>
      </w:pPr>
      <w:r>
        <w:t>The steps are as follows:</w:t>
      </w:r>
    </w:p>
    <w:p w14:paraId="24CD5EB9" w14:textId="77777777" w:rsidR="003D1605" w:rsidRDefault="003D1605" w:rsidP="003D1605">
      <w:pPr>
        <w:pStyle w:val="B1"/>
        <w:keepNext/>
      </w:pPr>
      <w:r>
        <w:t>5.</w:t>
      </w:r>
      <w:r>
        <w:tab/>
        <w:t xml:space="preserve">The NWDAF discovers the Data Collection AF by following the </w:t>
      </w:r>
      <w:r w:rsidRPr="00AE4B9E">
        <w:rPr>
          <w:rStyle w:val="Code"/>
        </w:rPr>
        <w:t>Nnrf_NFDiscovery</w:t>
      </w:r>
      <w:r>
        <w:t xml:space="preserve"> procedure defined in clause 5.2.7.3 of TS 23.502 [3]...</w:t>
      </w:r>
    </w:p>
    <w:p w14:paraId="75B7A650" w14:textId="67B6052D" w:rsidR="003D1605" w:rsidRDefault="003D1605" w:rsidP="003D1605">
      <w:pPr>
        <w:pStyle w:val="B1"/>
        <w:keepNext/>
      </w:pPr>
      <w:r>
        <w:t>6.</w:t>
      </w:r>
      <w:r>
        <w:tab/>
        <w:t xml:space="preserve">...and then subscribes to event(s) of interest by invoking the </w:t>
      </w:r>
      <w:r w:rsidRPr="003F5A40">
        <w:rPr>
          <w:rStyle w:val="Code"/>
        </w:rPr>
        <w:t>Naf_EventExposure_Subscribe</w:t>
      </w:r>
      <w:r>
        <w:t xml:space="preserve"> service operation defined in clause 5.2.19.2.2 of TS 23.502 [3] on </w:t>
      </w:r>
      <w:r w:rsidR="00A43BE7">
        <w:t xml:space="preserve">the </w:t>
      </w:r>
      <w:r w:rsidR="00FB055E">
        <w:t xml:space="preserve">discovered </w:t>
      </w:r>
      <w:r w:rsidR="00A43BE7">
        <w:t>Data Collection AF</w:t>
      </w:r>
      <w:r>
        <w:t>.</w:t>
      </w:r>
    </w:p>
    <w:p w14:paraId="2174335D" w14:textId="77777777" w:rsidR="003D1605" w:rsidRDefault="003D1605" w:rsidP="003D1605">
      <w:pPr>
        <w:pStyle w:val="B1"/>
        <w:keepNext/>
      </w:pPr>
      <w:r>
        <w:t>7.</w:t>
      </w:r>
      <w:r>
        <w:tab/>
        <w:t xml:space="preserve">The Event Consumer AF discovers the Data Collection AF by following the </w:t>
      </w:r>
      <w:r w:rsidRPr="00AE4B9E">
        <w:rPr>
          <w:rStyle w:val="Code"/>
        </w:rPr>
        <w:t>Nnrf_NFDiscovery</w:t>
      </w:r>
      <w:r>
        <w:t xml:space="preserve"> procedure defined in clause 5.2.7.3 of TS 23.502 [3]...</w:t>
      </w:r>
    </w:p>
    <w:p w14:paraId="01E34AA2" w14:textId="4CF18B5A" w:rsidR="003D1605" w:rsidRDefault="003D1605" w:rsidP="003D1605">
      <w:pPr>
        <w:pStyle w:val="B1"/>
      </w:pPr>
      <w:r>
        <w:t>8.</w:t>
      </w:r>
      <w:r>
        <w:tab/>
        <w:t xml:space="preserve">...and then subscribes to event(s) of interest by invoking the </w:t>
      </w:r>
      <w:r w:rsidRPr="003F5A40">
        <w:rPr>
          <w:rStyle w:val="Code"/>
        </w:rPr>
        <w:t>Naf_EventExposure_Subscribe</w:t>
      </w:r>
      <w:r>
        <w:t xml:space="preserve"> service operation defined in clause 5.2.19.2.2 of TS 23.502 [3] on </w:t>
      </w:r>
      <w:r w:rsidR="00A43BE7">
        <w:t xml:space="preserve">the </w:t>
      </w:r>
      <w:r w:rsidR="00FB055E">
        <w:t xml:space="preserve">discovered </w:t>
      </w:r>
      <w:r w:rsidR="00A43BE7">
        <w:t>Data Collection AF</w:t>
      </w:r>
      <w:r>
        <w:t>.</w:t>
      </w:r>
    </w:p>
    <w:p w14:paraId="2F7D919E" w14:textId="1EEF86E7" w:rsidR="003D1605" w:rsidRDefault="00E93B58" w:rsidP="003D1605">
      <w:pPr>
        <w:pStyle w:val="Heading2"/>
      </w:pPr>
      <w:bookmarkStart w:id="62" w:name="_Toc87848793"/>
      <w:r>
        <w:lastRenderedPageBreak/>
        <w:t>5.</w:t>
      </w:r>
      <w:r w:rsidR="00D30057">
        <w:t>4</w:t>
      </w:r>
      <w:r>
        <w:tab/>
      </w:r>
      <w:r w:rsidR="003D1605">
        <w:t xml:space="preserve">Procedures for configuring </w:t>
      </w:r>
      <w:r w:rsidR="0039509C">
        <w:t>d</w:t>
      </w:r>
      <w:r w:rsidR="003D1605">
        <w:t xml:space="preserve">ata </w:t>
      </w:r>
      <w:r w:rsidR="0039509C">
        <w:t>c</w:t>
      </w:r>
      <w:r w:rsidR="003D1605">
        <w:t xml:space="preserve">ollection </w:t>
      </w:r>
      <w:r w:rsidR="0039509C">
        <w:t>c</w:t>
      </w:r>
      <w:r w:rsidR="003D1605">
        <w:t>lient</w:t>
      </w:r>
      <w:bookmarkEnd w:id="62"/>
    </w:p>
    <w:p w14:paraId="252A9988" w14:textId="77777777" w:rsidR="003D1605" w:rsidRDefault="003D1605" w:rsidP="003D1605">
      <w:pPr>
        <w:keepNext/>
        <w:keepLines/>
      </w:pPr>
      <w:r>
        <w:t xml:space="preserve">At some later point, one or more of the three types of data collection client obtain their configuration from the Data Collection AF by invoking the </w:t>
      </w:r>
      <w:r>
        <w:rPr>
          <w:rStyle w:val="Code"/>
        </w:rPr>
        <w:t>Ndcaf_DataReporting</w:t>
      </w:r>
      <w:r>
        <w:t xml:space="preserve"> service defined in the present document and specified in TS 26.532 [7]. The intersection between the above provisioning information and current event consumer subscriptions determines the contents of this configuration.</w:t>
      </w:r>
    </w:p>
    <w:p w14:paraId="6E50B3C5" w14:textId="77777777" w:rsidR="003D1605" w:rsidRDefault="003D1605" w:rsidP="003D1605">
      <w:pPr>
        <w:keepNext/>
        <w:jc w:val="center"/>
      </w:pPr>
      <w:r>
        <w:object w:dxaOrig="10630" w:dyaOrig="6250" w14:anchorId="011F346B">
          <v:shape id="_x0000_i1028" type="#_x0000_t75" style="width:401.45pt;height:235.15pt" o:ole="">
            <v:imagedata r:id="rId25" o:title=""/>
          </v:shape>
          <o:OLEObject Type="Embed" ProgID="Mscgen.Chart" ShapeID="_x0000_i1028" DrawAspect="Content" ObjectID="_1702923355" r:id="rId26"/>
        </w:object>
      </w:r>
    </w:p>
    <w:p w14:paraId="290D8F35" w14:textId="77777777" w:rsidR="003D1605" w:rsidRDefault="003D1605" w:rsidP="003D1605">
      <w:pPr>
        <w:pStyle w:val="TF"/>
        <w:keepNext/>
      </w:pPr>
      <w:r>
        <w:t>Figure 5.4</w:t>
      </w:r>
      <w:r>
        <w:noBreakHyphen/>
        <w:t>1: High-level procedures for data collection client configuration phase</w:t>
      </w:r>
    </w:p>
    <w:p w14:paraId="083B9F14" w14:textId="77777777" w:rsidR="003D1605" w:rsidRDefault="003D1605" w:rsidP="003D1605">
      <w:pPr>
        <w:keepNext/>
      </w:pPr>
      <w:r>
        <w:t>The steps are as follows:</w:t>
      </w:r>
    </w:p>
    <w:p w14:paraId="725265EE" w14:textId="77777777" w:rsidR="003D1605" w:rsidRDefault="003D1605" w:rsidP="003D1605">
      <w:pPr>
        <w:pStyle w:val="B1"/>
        <w:keepNext/>
      </w:pPr>
      <w:r>
        <w:t>9.</w:t>
      </w:r>
      <w:r>
        <w:tab/>
        <w:t>The Direct Data Collection Client acquires its data collection and reporting configuration from the Data Collection AF, if relevant.</w:t>
      </w:r>
    </w:p>
    <w:p w14:paraId="5E1D46FB" w14:textId="77777777" w:rsidR="003D1605" w:rsidRDefault="003D1605" w:rsidP="003D1605">
      <w:pPr>
        <w:pStyle w:val="B1"/>
        <w:keepNext/>
      </w:pPr>
      <w:r>
        <w:t>10.</w:t>
      </w:r>
      <w:r>
        <w:tab/>
        <w:t>The Indirect Data Collection Client acquires its data collection and reporting configuration from the Data Collection AF, if relevant.</w:t>
      </w:r>
    </w:p>
    <w:p w14:paraId="2438FE33" w14:textId="77777777" w:rsidR="003D1605" w:rsidRDefault="003D1605" w:rsidP="003D1605">
      <w:pPr>
        <w:pStyle w:val="B1"/>
      </w:pPr>
      <w:r>
        <w:t>11.</w:t>
      </w:r>
      <w:r>
        <w:tab/>
        <w:t>The AS acquires its data collection and reporting configuration from the Data Collection AF, if relevant.</w:t>
      </w:r>
    </w:p>
    <w:p w14:paraId="397CBD66" w14:textId="2BC0C742" w:rsidR="003D1605" w:rsidRDefault="003D1605" w:rsidP="003D1605">
      <w:r>
        <w:t>Whenever the provisioning information changes, or the set of event exposure subscriptions changes, a new set of data collection and reporting configuration shall be made available to data collection clients by the Data Collection AF.</w:t>
      </w:r>
    </w:p>
    <w:p w14:paraId="5847013B" w14:textId="758B51F6" w:rsidR="003D1605" w:rsidRDefault="00805A9E" w:rsidP="003D1605">
      <w:pPr>
        <w:pStyle w:val="Heading2"/>
      </w:pPr>
      <w:bookmarkStart w:id="63" w:name="_Hlk85727605"/>
      <w:commentRangeStart w:id="64"/>
      <w:commentRangeEnd w:id="64"/>
      <w:r>
        <w:rPr>
          <w:rStyle w:val="CommentReference"/>
        </w:rPr>
        <w:lastRenderedPageBreak/>
        <w:commentReference w:id="64"/>
      </w:r>
      <w:bookmarkStart w:id="65" w:name="_Toc87848794"/>
      <w:bookmarkEnd w:id="63"/>
      <w:r w:rsidR="003D1605">
        <w:t>5.5</w:t>
      </w:r>
      <w:r w:rsidR="003D1605">
        <w:tab/>
        <w:t>Procedures for reporting to the Data Collection AF</w:t>
      </w:r>
      <w:bookmarkEnd w:id="65"/>
    </w:p>
    <w:p w14:paraId="37071578" w14:textId="77777777" w:rsidR="003D1605" w:rsidRDefault="003D1605" w:rsidP="003D1605">
      <w:pPr>
        <w:keepNext/>
      </w:pPr>
      <w:r>
        <w:object w:dxaOrig="15570" w:dyaOrig="10680" w14:anchorId="4F8273AD">
          <v:shape id="_x0000_i1029" type="#_x0000_t75" style="width:488.05pt;height:334.5pt" o:ole="">
            <v:imagedata r:id="rId27" o:title=""/>
          </v:shape>
          <o:OLEObject Type="Embed" ProgID="Mscgen.Chart" ShapeID="_x0000_i1029" DrawAspect="Content" ObjectID="_1702923356" r:id="rId28"/>
        </w:object>
      </w:r>
    </w:p>
    <w:p w14:paraId="25CF6713" w14:textId="77777777" w:rsidR="003D1605" w:rsidRDefault="003D1605" w:rsidP="003D1605">
      <w:pPr>
        <w:pStyle w:val="TF"/>
        <w:keepNext/>
      </w:pPr>
      <w:r>
        <w:t>Figure 5.5</w:t>
      </w:r>
      <w:r>
        <w:noBreakHyphen/>
        <w:t>1: High-level procedures for data reporting and exposure phase</w:t>
      </w:r>
    </w:p>
    <w:p w14:paraId="20B20C83" w14:textId="4D827178" w:rsidR="003D1605" w:rsidRDefault="003D1605" w:rsidP="003D1605">
      <w:pPr>
        <w:keepNext/>
      </w:pPr>
      <w:r>
        <w:t>The different data collection clients proceed as follows:</w:t>
      </w:r>
    </w:p>
    <w:p w14:paraId="6996B170" w14:textId="77777777" w:rsidR="003D1605" w:rsidRDefault="003D1605" w:rsidP="003D1605">
      <w:pPr>
        <w:pStyle w:val="B1"/>
        <w:keepNext/>
      </w:pPr>
      <w:r>
        <w:t>12.</w:t>
      </w:r>
      <w:r>
        <w:tab/>
        <w:t xml:space="preserve">The Direct Data Reporting Client may submit a data report to the Data Collection AF via reference point R2 by invoking the </w:t>
      </w:r>
      <w:r>
        <w:rPr>
          <w:rStyle w:val="Code"/>
        </w:rPr>
        <w:t>Ndcaf_DataReporting</w:t>
      </w:r>
      <w:r>
        <w:t xml:space="preserve"> service defined in the present document and specified in TS 26.532 [7].</w:t>
      </w:r>
    </w:p>
    <w:p w14:paraId="55220A33" w14:textId="77777777" w:rsidR="003D1605" w:rsidRDefault="003D1605" w:rsidP="003D1605">
      <w:pPr>
        <w:pStyle w:val="B1"/>
        <w:keepNext/>
      </w:pPr>
      <w:r>
        <w:t>13.</w:t>
      </w:r>
      <w:r>
        <w:tab/>
        <w:t>The UE Application may send application-specific data reporting to the Application Service Provider...</w:t>
      </w:r>
    </w:p>
    <w:p w14:paraId="15EE31AD" w14:textId="77777777" w:rsidR="003D1605" w:rsidRDefault="003D1605" w:rsidP="003D1605">
      <w:pPr>
        <w:pStyle w:val="B1"/>
        <w:keepNext/>
      </w:pPr>
      <w:r>
        <w:t>14.</w:t>
      </w:r>
      <w:r>
        <w:tab/>
        <w:t xml:space="preserve">...and the Indirect Data Collection Client may, as a result, submit a data report to the Data Collection AF by invoking the </w:t>
      </w:r>
      <w:r>
        <w:rPr>
          <w:rStyle w:val="Code"/>
        </w:rPr>
        <w:t>Ndcaf_DataReporting</w:t>
      </w:r>
      <w:r>
        <w:t xml:space="preserve"> service defined in the present document and specified in TS 26.532 [7].</w:t>
      </w:r>
    </w:p>
    <w:p w14:paraId="6DF489F2" w14:textId="77777777" w:rsidR="003D1605" w:rsidRDefault="003D1605" w:rsidP="003D1605">
      <w:pPr>
        <w:pStyle w:val="B1"/>
      </w:pPr>
      <w:r>
        <w:t>15.</w:t>
      </w:r>
      <w:r>
        <w:tab/>
        <w:t xml:space="preserve">The AS may submit a data report to the Data Collection AF by invoking the </w:t>
      </w:r>
      <w:r>
        <w:rPr>
          <w:rStyle w:val="Code"/>
        </w:rPr>
        <w:t>Ndcaf_DataReporting</w:t>
      </w:r>
      <w:r>
        <w:t xml:space="preserve"> service defined in the present document and specified in TS 26.532 [7].</w:t>
      </w:r>
    </w:p>
    <w:p w14:paraId="5688B0DA" w14:textId="4DFA3BB3" w:rsidR="009858EC" w:rsidRDefault="009858EC" w:rsidP="009858EC">
      <w:pPr>
        <w:pStyle w:val="Heading2"/>
      </w:pPr>
      <w:bookmarkStart w:id="66" w:name="_Toc87848795"/>
      <w:r>
        <w:t>5.</w:t>
      </w:r>
      <w:r w:rsidR="003D1605">
        <w:t>6</w:t>
      </w:r>
      <w:r>
        <w:tab/>
        <w:t>Procedures for Data Collection AF</w:t>
      </w:r>
      <w:r w:rsidR="00D10572">
        <w:t xml:space="preserve"> data exposure</w:t>
      </w:r>
      <w:bookmarkEnd w:id="66"/>
    </w:p>
    <w:p w14:paraId="261421BC" w14:textId="77777777" w:rsidR="003D1605" w:rsidRDefault="003D1605" w:rsidP="003D1605">
      <w:pPr>
        <w:keepNext/>
      </w:pPr>
      <w:r>
        <w:t>In response to receiving a data report:</w:t>
      </w:r>
    </w:p>
    <w:p w14:paraId="6D5EF798" w14:textId="77777777" w:rsidR="003D1605" w:rsidRDefault="003D1605" w:rsidP="003D1605">
      <w:pPr>
        <w:pStyle w:val="B1"/>
        <w:keepNext/>
      </w:pPr>
      <w:r>
        <w:t>16.</w:t>
      </w:r>
      <w:r>
        <w:tab/>
        <w:t>The Data Reporting AF processes the data report.</w:t>
      </w:r>
    </w:p>
    <w:p w14:paraId="6F4D7B4D" w14:textId="77777777" w:rsidR="003D1605" w:rsidRDefault="003D1605" w:rsidP="003D1605">
      <w:pPr>
        <w:keepNext/>
      </w:pPr>
      <w:r>
        <w:t>Reception of a data report by the Data Collection AF may result in an event being exposed to subscribed event consumers:</w:t>
      </w:r>
    </w:p>
    <w:p w14:paraId="0A802732" w14:textId="77777777" w:rsidR="003D1605" w:rsidRDefault="003D1605" w:rsidP="003D1605">
      <w:pPr>
        <w:pStyle w:val="B1"/>
        <w:keepNext/>
      </w:pPr>
      <w:r>
        <w:t>17.</w:t>
      </w:r>
      <w:r>
        <w:tab/>
        <w:t xml:space="preserve">The Data Collection AF may expose an event to the NWDAF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p>
    <w:p w14:paraId="716C6421" w14:textId="77777777" w:rsidR="003D1605" w:rsidRDefault="003D1605" w:rsidP="003D1605">
      <w:pPr>
        <w:pStyle w:val="B1"/>
      </w:pPr>
      <w:r>
        <w:t>18.</w:t>
      </w:r>
      <w:r>
        <w:tab/>
        <w:t xml:space="preserve">The Data Collection AF may expose an event to the Event Consumer 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p>
    <w:p w14:paraId="664A4451" w14:textId="77777777" w:rsidR="003D1605" w:rsidRDefault="003D1605" w:rsidP="003D1605">
      <w:pPr>
        <w:pStyle w:val="Heading2"/>
      </w:pPr>
      <w:bookmarkStart w:id="67" w:name="_Toc87848796"/>
      <w:r>
        <w:lastRenderedPageBreak/>
        <w:t>5.7</w:t>
      </w:r>
      <w:r>
        <w:tab/>
        <w:t>Procedures for Data Collection AF unsubscription</w:t>
      </w:r>
      <w:bookmarkEnd w:id="67"/>
    </w:p>
    <w:p w14:paraId="4A2BBADB" w14:textId="77777777" w:rsidR="003D1605" w:rsidRDefault="003D1605" w:rsidP="003D1605">
      <w:pPr>
        <w:pStyle w:val="B1"/>
        <w:keepNext/>
        <w:ind w:left="0" w:firstLine="0"/>
        <w:jc w:val="center"/>
      </w:pPr>
      <w:r>
        <w:object w:dxaOrig="9600" w:dyaOrig="3830" w14:anchorId="74C43437">
          <v:shape id="_x0000_i1030" type="#_x0000_t75" style="width:350.45pt;height:140.35pt" o:ole="">
            <v:imagedata r:id="rId29" o:title=""/>
          </v:shape>
          <o:OLEObject Type="Embed" ProgID="Mscgen.Chart" ShapeID="_x0000_i1030" DrawAspect="Content" ObjectID="_1702923357" r:id="rId30"/>
        </w:object>
      </w:r>
    </w:p>
    <w:p w14:paraId="0AAC3ED3" w14:textId="77777777" w:rsidR="003D1605" w:rsidRDefault="003D1605" w:rsidP="003D1605">
      <w:pPr>
        <w:pStyle w:val="TF"/>
        <w:keepNext/>
      </w:pPr>
      <w:r>
        <w:t>Figure 5.7</w:t>
      </w:r>
      <w:r>
        <w:noBreakHyphen/>
        <w:t>1: High-level procedures for unsubscription phases</w:t>
      </w:r>
    </w:p>
    <w:p w14:paraId="0CF2E146" w14:textId="77777777" w:rsidR="003D1605" w:rsidRDefault="003D1605" w:rsidP="003D1605">
      <w:pPr>
        <w:pStyle w:val="B1"/>
        <w:keepNext/>
        <w:ind w:left="0" w:firstLine="0"/>
      </w:pPr>
      <w:r>
        <w:t>Finally:</w:t>
      </w:r>
    </w:p>
    <w:p w14:paraId="5CB8EBE2" w14:textId="77777777" w:rsidR="003D1605" w:rsidRDefault="003D1605" w:rsidP="003D1605">
      <w:pPr>
        <w:pStyle w:val="B1"/>
        <w:keepNext/>
      </w:pPr>
      <w:r>
        <w:t>19.</w:t>
      </w:r>
      <w:r>
        <w:tab/>
        <w:t xml:space="preserve">The NWDAF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p>
    <w:p w14:paraId="3D3E1272" w14:textId="77777777" w:rsidR="003D1605" w:rsidRDefault="003D1605" w:rsidP="003D1605">
      <w:pPr>
        <w:pStyle w:val="B1"/>
      </w:pPr>
      <w:r>
        <w:t>20.</w:t>
      </w:r>
      <w:r>
        <w:tab/>
        <w:t xml:space="preserve">The Event Consumer 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p>
    <w:p w14:paraId="4E83ECB4" w14:textId="27D9E9D9" w:rsidR="00671216" w:rsidRDefault="00080512" w:rsidP="005F0F65">
      <w:pPr>
        <w:pStyle w:val="Heading8"/>
      </w:pPr>
      <w:bookmarkStart w:id="68" w:name="tsgNames"/>
      <w:bookmarkEnd w:id="68"/>
      <w:r w:rsidRPr="004D3578">
        <w:rPr>
          <w:i/>
        </w:rPr>
        <w:br w:type="page"/>
      </w:r>
      <w:bookmarkStart w:id="69" w:name="_Toc87848797"/>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69"/>
    </w:p>
    <w:p w14:paraId="361C896B" w14:textId="77777777" w:rsidR="00671216" w:rsidRDefault="00671216" w:rsidP="00671216">
      <w:pPr>
        <w:pStyle w:val="Heading1"/>
      </w:pPr>
      <w:bookmarkStart w:id="70" w:name="_Toc87848798"/>
      <w:r>
        <w:t>A.1</w:t>
      </w:r>
      <w:r>
        <w:tab/>
        <w:t>General</w:t>
      </w:r>
      <w:bookmarkEnd w:id="70"/>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71" w:name="_Toc87848799"/>
      <w:r>
        <w:lastRenderedPageBreak/>
        <w:t>A.2</w:t>
      </w:r>
      <w:r>
        <w:tab/>
        <w:t>Collaboration A</w:t>
      </w:r>
      <w:bookmarkEnd w:id="71"/>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72" w:name="_Toc87848800"/>
      <w:r>
        <w:lastRenderedPageBreak/>
        <w:t>A.3</w:t>
      </w:r>
      <w:r>
        <w:tab/>
        <w:t>Collaboration B</w:t>
      </w:r>
      <w:bookmarkEnd w:id="72"/>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73" w:name="_Toc87848801"/>
      <w:r>
        <w:lastRenderedPageBreak/>
        <w:t>A.4</w:t>
      </w:r>
      <w:r>
        <w:tab/>
        <w:t>Collaboration C</w:t>
      </w:r>
      <w:bookmarkEnd w:id="73"/>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74" w:name="_Toc87848802"/>
      <w:r>
        <w:lastRenderedPageBreak/>
        <w:t>A.5</w:t>
      </w:r>
      <w:r>
        <w:tab/>
        <w:t>Collaboration D</w:t>
      </w:r>
      <w:bookmarkEnd w:id="74"/>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r w:rsidRPr="00783988">
        <w:rPr>
          <w:rStyle w:val="Code"/>
        </w:rPr>
        <w:t>Nnef_NFManagement</w:t>
      </w:r>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r w:rsidRPr="00BB5768">
        <w:rPr>
          <w:rStyle w:val="Code"/>
        </w:rPr>
        <w:t>Nnef_EventExposure</w:t>
      </w:r>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58A5E3A"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Default="00712387" w:rsidP="00712387">
      <w:pPr>
        <w:pStyle w:val="Heading1"/>
      </w:pPr>
      <w:bookmarkStart w:id="75" w:name="_Toc87848803"/>
      <w:r>
        <w:lastRenderedPageBreak/>
        <w:t>A.6</w:t>
      </w:r>
      <w:r>
        <w:tab/>
        <w:t>Collaboration E</w:t>
      </w:r>
      <w:bookmarkEnd w:id="75"/>
    </w:p>
    <w:p w14:paraId="28CED634" w14:textId="77777777" w:rsidR="00712387" w:rsidRDefault="00712387" w:rsidP="00712387">
      <w:pPr>
        <w:keepNext/>
      </w:pPr>
      <w:r>
        <w:t>In this collaboration scenario, the Data Collection Client is deployed as a subfunction of the UE Application. As a consequence of this arrangement, reference point R7 is subsumed into the UE Application.</w:t>
      </w:r>
    </w:p>
    <w:p w14:paraId="21FC4822" w14:textId="77777777" w:rsidR="00712387" w:rsidRDefault="00712387" w:rsidP="00712387">
      <w:pPr>
        <w:keepNext/>
      </w:pPr>
      <w:r>
        <w:t>This collaboration may be combined with any of the preceding collaboration scenarios. Hence, only reference points R2 and R8 are depicted in the figure in the interests of brevity.</w:t>
      </w:r>
    </w:p>
    <w:p w14:paraId="6667FF84" w14:textId="77777777" w:rsidR="00712387" w:rsidRDefault="00712387" w:rsidP="00712387">
      <w:pPr>
        <w:jc w:val="center"/>
      </w:pPr>
      <w:r>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Default="00712387" w:rsidP="00712387">
      <w:pPr>
        <w:pStyle w:val="TF"/>
      </w:pPr>
      <w:r>
        <w:t>Figure A.6</w:t>
      </w:r>
      <w:r>
        <w:noBreakHyphen/>
        <w:t>1: Collaboration E with Data Collection Client deployed as part of the UE Application</w:t>
      </w:r>
    </w:p>
    <w:p w14:paraId="3E8B0945" w14:textId="77777777" w:rsidR="00712387" w:rsidRDefault="00712387" w:rsidP="00712387">
      <w:pPr>
        <w:keepNext/>
      </w:pPr>
      <w:r>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4D3578" w:rsidRDefault="007429F6" w:rsidP="005F0F65">
      <w:pPr>
        <w:pStyle w:val="Heading8"/>
      </w:pPr>
      <w:r>
        <w:br w:type="page"/>
      </w:r>
      <w:bookmarkStart w:id="76" w:name="_Toc87848804"/>
      <w:r w:rsidR="00080512" w:rsidRPr="004D3578">
        <w:lastRenderedPageBreak/>
        <w:t xml:space="preserve">Annex </w:t>
      </w:r>
      <w:r w:rsidR="00180B4E">
        <w:t>B</w:t>
      </w:r>
      <w:r w:rsidR="00080512" w:rsidRPr="004D3578">
        <w:t xml:space="preserve"> (informative):</w:t>
      </w:r>
      <w:r w:rsidR="00080512" w:rsidRPr="004D3578">
        <w:br/>
        <w:t>Change history</w:t>
      </w:r>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77" w:name="historyclause"/>
            <w:bookmarkEnd w:id="77"/>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r w:rsidR="003D1605" w:rsidRPr="006B0D02" w14:paraId="556364C6" w14:textId="77777777" w:rsidTr="00D036ED">
        <w:tc>
          <w:tcPr>
            <w:tcW w:w="800" w:type="dxa"/>
            <w:vMerge w:val="restart"/>
            <w:shd w:val="solid" w:color="FFFFFF" w:fill="auto"/>
          </w:tcPr>
          <w:p w14:paraId="424A2F09" w14:textId="69DBD78E" w:rsidR="003D1605" w:rsidRDefault="003D1605" w:rsidP="00C72833">
            <w:pPr>
              <w:pStyle w:val="TAC"/>
              <w:rPr>
                <w:sz w:val="16"/>
                <w:szCs w:val="16"/>
              </w:rPr>
            </w:pPr>
            <w:r>
              <w:rPr>
                <w:sz w:val="16"/>
                <w:szCs w:val="16"/>
              </w:rPr>
              <w:t>2021-10</w:t>
            </w:r>
          </w:p>
        </w:tc>
        <w:tc>
          <w:tcPr>
            <w:tcW w:w="995" w:type="dxa"/>
            <w:vMerge w:val="restart"/>
            <w:shd w:val="solid" w:color="FFFFFF" w:fill="auto"/>
          </w:tcPr>
          <w:p w14:paraId="32FB3673" w14:textId="753181D2" w:rsidR="003D1605" w:rsidRDefault="003D1605" w:rsidP="00C72833">
            <w:pPr>
              <w:pStyle w:val="TAC"/>
              <w:rPr>
                <w:sz w:val="16"/>
                <w:szCs w:val="16"/>
              </w:rPr>
            </w:pPr>
            <w:r>
              <w:rPr>
                <w:sz w:val="16"/>
                <w:szCs w:val="16"/>
              </w:rPr>
              <w:t>Post SA4#115-e ad hoc</w:t>
            </w:r>
          </w:p>
        </w:tc>
        <w:tc>
          <w:tcPr>
            <w:tcW w:w="992" w:type="dxa"/>
            <w:shd w:val="solid" w:color="FFFFFF" w:fill="auto"/>
          </w:tcPr>
          <w:p w14:paraId="5BE6FC82" w14:textId="77777777" w:rsidR="003D1605" w:rsidRDefault="003D1605" w:rsidP="00C72833">
            <w:pPr>
              <w:pStyle w:val="TAC"/>
              <w:rPr>
                <w:sz w:val="16"/>
                <w:szCs w:val="16"/>
              </w:rPr>
            </w:pPr>
            <w:r>
              <w:rPr>
                <w:sz w:val="16"/>
                <w:szCs w:val="16"/>
              </w:rPr>
              <w:t>S4aI211226</w:t>
            </w:r>
          </w:p>
          <w:p w14:paraId="13C70006" w14:textId="77777777" w:rsidR="003D1605" w:rsidRDefault="003D1605" w:rsidP="00C72833">
            <w:pPr>
              <w:pStyle w:val="TAC"/>
              <w:rPr>
                <w:sz w:val="16"/>
                <w:szCs w:val="16"/>
              </w:rPr>
            </w:pPr>
            <w:r>
              <w:rPr>
                <w:sz w:val="16"/>
                <w:szCs w:val="16"/>
              </w:rPr>
              <w:t>S4aI211227</w:t>
            </w:r>
          </w:p>
          <w:p w14:paraId="6A64ACDF" w14:textId="77777777" w:rsidR="003D1605" w:rsidRDefault="003D1605" w:rsidP="00C72833">
            <w:pPr>
              <w:pStyle w:val="TAC"/>
              <w:rPr>
                <w:sz w:val="16"/>
                <w:szCs w:val="16"/>
              </w:rPr>
            </w:pPr>
            <w:r>
              <w:rPr>
                <w:sz w:val="16"/>
                <w:szCs w:val="16"/>
              </w:rPr>
              <w:t>S4aI211233</w:t>
            </w:r>
          </w:p>
        </w:tc>
        <w:tc>
          <w:tcPr>
            <w:tcW w:w="567" w:type="dxa"/>
            <w:shd w:val="solid" w:color="FFFFFF" w:fill="auto"/>
          </w:tcPr>
          <w:p w14:paraId="3348D1B6" w14:textId="77777777" w:rsidR="003D1605" w:rsidRPr="006B0D02" w:rsidRDefault="003D1605" w:rsidP="00C72833">
            <w:pPr>
              <w:pStyle w:val="TAL"/>
              <w:rPr>
                <w:sz w:val="16"/>
                <w:szCs w:val="16"/>
              </w:rPr>
            </w:pPr>
          </w:p>
        </w:tc>
        <w:tc>
          <w:tcPr>
            <w:tcW w:w="426" w:type="dxa"/>
            <w:shd w:val="solid" w:color="FFFFFF" w:fill="auto"/>
          </w:tcPr>
          <w:p w14:paraId="0BA1FFC6" w14:textId="77777777" w:rsidR="003D1605" w:rsidRPr="006B0D02" w:rsidRDefault="003D1605" w:rsidP="00C72833">
            <w:pPr>
              <w:pStyle w:val="TAR"/>
              <w:rPr>
                <w:sz w:val="16"/>
                <w:szCs w:val="16"/>
              </w:rPr>
            </w:pPr>
          </w:p>
        </w:tc>
        <w:tc>
          <w:tcPr>
            <w:tcW w:w="425" w:type="dxa"/>
            <w:shd w:val="solid" w:color="FFFFFF" w:fill="auto"/>
          </w:tcPr>
          <w:p w14:paraId="60DDFB6F" w14:textId="77777777" w:rsidR="003D1605" w:rsidRPr="006B0D02" w:rsidRDefault="003D1605" w:rsidP="00C72833">
            <w:pPr>
              <w:pStyle w:val="TAC"/>
              <w:rPr>
                <w:sz w:val="16"/>
                <w:szCs w:val="16"/>
              </w:rPr>
            </w:pPr>
          </w:p>
        </w:tc>
        <w:tc>
          <w:tcPr>
            <w:tcW w:w="4726" w:type="dxa"/>
            <w:shd w:val="solid" w:color="FFFFFF" w:fill="auto"/>
          </w:tcPr>
          <w:p w14:paraId="708455CA" w14:textId="77777777" w:rsidR="003D1605" w:rsidRDefault="003D1605" w:rsidP="00C72833">
            <w:pPr>
              <w:pStyle w:val="TAL"/>
              <w:rPr>
                <w:sz w:val="16"/>
                <w:szCs w:val="16"/>
              </w:rPr>
            </w:pPr>
            <w:r>
              <w:rPr>
                <w:sz w:val="16"/>
                <w:szCs w:val="16"/>
              </w:rPr>
              <w:t>Additional collaboration scenario.</w:t>
            </w:r>
          </w:p>
          <w:p w14:paraId="49F6F827" w14:textId="77777777" w:rsidR="003D1605" w:rsidRDefault="003D1605" w:rsidP="00C72833">
            <w:pPr>
              <w:pStyle w:val="TAL"/>
              <w:rPr>
                <w:sz w:val="16"/>
                <w:szCs w:val="16"/>
              </w:rPr>
            </w:pPr>
            <w:r>
              <w:rPr>
                <w:sz w:val="16"/>
                <w:szCs w:val="16"/>
              </w:rPr>
              <w:t>Additional service-based reference architecture figure.</w:t>
            </w:r>
          </w:p>
          <w:p w14:paraId="3F03CD7B" w14:textId="00D3F818" w:rsidR="003D1605" w:rsidRDefault="003D1605" w:rsidP="00C72833">
            <w:pPr>
              <w:pStyle w:val="TAL"/>
              <w:rPr>
                <w:sz w:val="16"/>
                <w:szCs w:val="16"/>
              </w:rPr>
            </w:pPr>
            <w:r>
              <w:rPr>
                <w:sz w:val="16"/>
                <w:szCs w:val="16"/>
              </w:rPr>
              <w:t>Informative note declaring R7 for future study.</w:t>
            </w:r>
          </w:p>
        </w:tc>
        <w:tc>
          <w:tcPr>
            <w:tcW w:w="708" w:type="dxa"/>
            <w:shd w:val="solid" w:color="FFFFFF" w:fill="auto"/>
          </w:tcPr>
          <w:p w14:paraId="0FEEC0B4" w14:textId="0E48D836" w:rsidR="003D1605" w:rsidRDefault="003D1605" w:rsidP="00C72833">
            <w:pPr>
              <w:pStyle w:val="TAC"/>
              <w:rPr>
                <w:sz w:val="16"/>
                <w:szCs w:val="16"/>
              </w:rPr>
            </w:pPr>
            <w:r>
              <w:rPr>
                <w:sz w:val="16"/>
                <w:szCs w:val="16"/>
              </w:rPr>
              <w:t>0.1.1</w:t>
            </w:r>
          </w:p>
        </w:tc>
      </w:tr>
      <w:tr w:rsidR="003D1605" w:rsidRPr="006B0D02" w14:paraId="2D4E6F8B" w14:textId="77777777" w:rsidTr="00D036ED">
        <w:tc>
          <w:tcPr>
            <w:tcW w:w="800" w:type="dxa"/>
            <w:vMerge/>
            <w:shd w:val="solid" w:color="FFFFFF" w:fill="auto"/>
          </w:tcPr>
          <w:p w14:paraId="5B6426F1" w14:textId="77777777" w:rsidR="003D1605" w:rsidRDefault="003D1605" w:rsidP="00C72833">
            <w:pPr>
              <w:pStyle w:val="TAC"/>
              <w:rPr>
                <w:sz w:val="16"/>
                <w:szCs w:val="16"/>
              </w:rPr>
            </w:pPr>
          </w:p>
        </w:tc>
        <w:tc>
          <w:tcPr>
            <w:tcW w:w="995" w:type="dxa"/>
            <w:vMerge/>
            <w:shd w:val="solid" w:color="FFFFFF" w:fill="auto"/>
          </w:tcPr>
          <w:p w14:paraId="2C36DDD1" w14:textId="77777777" w:rsidR="003D1605" w:rsidRDefault="003D1605" w:rsidP="00C72833">
            <w:pPr>
              <w:pStyle w:val="TAC"/>
              <w:rPr>
                <w:sz w:val="16"/>
                <w:szCs w:val="16"/>
              </w:rPr>
            </w:pPr>
          </w:p>
        </w:tc>
        <w:tc>
          <w:tcPr>
            <w:tcW w:w="992" w:type="dxa"/>
            <w:shd w:val="solid" w:color="FFFFFF" w:fill="auto"/>
          </w:tcPr>
          <w:p w14:paraId="267AF440" w14:textId="46083BB0" w:rsidR="00AD3270" w:rsidRDefault="00AD3270" w:rsidP="00C72833">
            <w:pPr>
              <w:pStyle w:val="TAC"/>
              <w:rPr>
                <w:sz w:val="16"/>
                <w:szCs w:val="16"/>
              </w:rPr>
            </w:pPr>
            <w:r>
              <w:rPr>
                <w:sz w:val="16"/>
                <w:szCs w:val="16"/>
              </w:rPr>
              <w:t>S4aI211236</w:t>
            </w:r>
          </w:p>
          <w:p w14:paraId="761F3498" w14:textId="649AECCA" w:rsidR="003D1605" w:rsidRDefault="003D1605" w:rsidP="00C72833">
            <w:pPr>
              <w:pStyle w:val="TAC"/>
              <w:rPr>
                <w:sz w:val="16"/>
                <w:szCs w:val="16"/>
              </w:rPr>
            </w:pPr>
            <w:r>
              <w:rPr>
                <w:sz w:val="16"/>
                <w:szCs w:val="16"/>
              </w:rPr>
              <w:t>S4aI211242</w:t>
            </w:r>
          </w:p>
          <w:p w14:paraId="4FE874D7" w14:textId="2C59B071" w:rsidR="00C37AE8" w:rsidRDefault="00C37AE8" w:rsidP="00AD3270">
            <w:pPr>
              <w:pStyle w:val="TAC"/>
              <w:rPr>
                <w:sz w:val="16"/>
                <w:szCs w:val="16"/>
              </w:rPr>
            </w:pPr>
            <w:r>
              <w:rPr>
                <w:sz w:val="16"/>
                <w:szCs w:val="16"/>
              </w:rPr>
              <w:t>S4aI211244</w:t>
            </w:r>
          </w:p>
        </w:tc>
        <w:tc>
          <w:tcPr>
            <w:tcW w:w="567" w:type="dxa"/>
            <w:shd w:val="solid" w:color="FFFFFF" w:fill="auto"/>
          </w:tcPr>
          <w:p w14:paraId="23D734BF" w14:textId="77777777" w:rsidR="003D1605" w:rsidRPr="006B0D02" w:rsidRDefault="003D1605" w:rsidP="00C72833">
            <w:pPr>
              <w:pStyle w:val="TAL"/>
              <w:rPr>
                <w:sz w:val="16"/>
                <w:szCs w:val="16"/>
              </w:rPr>
            </w:pPr>
          </w:p>
        </w:tc>
        <w:tc>
          <w:tcPr>
            <w:tcW w:w="426" w:type="dxa"/>
            <w:shd w:val="solid" w:color="FFFFFF" w:fill="auto"/>
          </w:tcPr>
          <w:p w14:paraId="120F58A9" w14:textId="77777777" w:rsidR="003D1605" w:rsidRPr="006B0D02" w:rsidRDefault="003D1605" w:rsidP="00C72833">
            <w:pPr>
              <w:pStyle w:val="TAR"/>
              <w:rPr>
                <w:sz w:val="16"/>
                <w:szCs w:val="16"/>
              </w:rPr>
            </w:pPr>
          </w:p>
        </w:tc>
        <w:tc>
          <w:tcPr>
            <w:tcW w:w="425" w:type="dxa"/>
            <w:shd w:val="solid" w:color="FFFFFF" w:fill="auto"/>
          </w:tcPr>
          <w:p w14:paraId="71C8F3A1" w14:textId="77777777" w:rsidR="003D1605" w:rsidRPr="006B0D02" w:rsidRDefault="003D1605" w:rsidP="00C72833">
            <w:pPr>
              <w:pStyle w:val="TAC"/>
              <w:rPr>
                <w:sz w:val="16"/>
                <w:szCs w:val="16"/>
              </w:rPr>
            </w:pPr>
          </w:p>
        </w:tc>
        <w:tc>
          <w:tcPr>
            <w:tcW w:w="4726" w:type="dxa"/>
            <w:shd w:val="solid" w:color="FFFFFF" w:fill="auto"/>
          </w:tcPr>
          <w:p w14:paraId="1D4D0441" w14:textId="7C039B75" w:rsidR="00AD3270" w:rsidRDefault="00AD3270" w:rsidP="00C72833">
            <w:pPr>
              <w:pStyle w:val="TAL"/>
              <w:rPr>
                <w:sz w:val="16"/>
                <w:szCs w:val="16"/>
              </w:rPr>
            </w:pPr>
            <w:r>
              <w:rPr>
                <w:sz w:val="16"/>
                <w:szCs w:val="16"/>
              </w:rPr>
              <w:t>Domain model.</w:t>
            </w:r>
          </w:p>
          <w:p w14:paraId="30DCF77E" w14:textId="63E6836E" w:rsidR="003D1605" w:rsidRDefault="003D1605" w:rsidP="00C72833">
            <w:pPr>
              <w:pStyle w:val="TAL"/>
              <w:rPr>
                <w:sz w:val="16"/>
                <w:szCs w:val="16"/>
              </w:rPr>
            </w:pPr>
            <w:r>
              <w:rPr>
                <w:sz w:val="16"/>
                <w:szCs w:val="16"/>
              </w:rPr>
              <w:t>High-level procedures.</w:t>
            </w:r>
          </w:p>
          <w:p w14:paraId="45375615" w14:textId="504A0440" w:rsidR="00C37AE8" w:rsidRDefault="00C37AE8" w:rsidP="00C72833">
            <w:pPr>
              <w:pStyle w:val="TAL"/>
              <w:rPr>
                <w:sz w:val="16"/>
                <w:szCs w:val="16"/>
              </w:rPr>
            </w:pPr>
            <w:r>
              <w:rPr>
                <w:sz w:val="16"/>
                <w:szCs w:val="16"/>
              </w:rPr>
              <w:t>Corrections and updates to editor’s notes.</w:t>
            </w:r>
          </w:p>
        </w:tc>
        <w:tc>
          <w:tcPr>
            <w:tcW w:w="708" w:type="dxa"/>
            <w:shd w:val="solid" w:color="FFFFFF" w:fill="auto"/>
          </w:tcPr>
          <w:p w14:paraId="76EE415C" w14:textId="17766D08" w:rsidR="003D1605" w:rsidRDefault="00A43BE7" w:rsidP="00C72833">
            <w:pPr>
              <w:pStyle w:val="TAC"/>
              <w:rPr>
                <w:sz w:val="16"/>
                <w:szCs w:val="16"/>
              </w:rPr>
            </w:pPr>
            <w:r>
              <w:rPr>
                <w:sz w:val="16"/>
                <w:szCs w:val="16"/>
              </w:rPr>
              <w:t>0.1.2</w:t>
            </w:r>
          </w:p>
        </w:tc>
      </w:tr>
      <w:tr w:rsidR="001E55BD" w:rsidRPr="006B0D02" w14:paraId="7ABB288F" w14:textId="77777777" w:rsidTr="00D036ED">
        <w:tc>
          <w:tcPr>
            <w:tcW w:w="800" w:type="dxa"/>
            <w:shd w:val="solid" w:color="FFFFFF" w:fill="auto"/>
          </w:tcPr>
          <w:p w14:paraId="19BE9A71" w14:textId="093247D5" w:rsidR="001E55BD" w:rsidRDefault="001E55BD" w:rsidP="00C72833">
            <w:pPr>
              <w:pStyle w:val="TAC"/>
              <w:rPr>
                <w:sz w:val="16"/>
                <w:szCs w:val="16"/>
              </w:rPr>
            </w:pPr>
            <w:r>
              <w:rPr>
                <w:sz w:val="16"/>
                <w:szCs w:val="16"/>
              </w:rPr>
              <w:t>2021-11</w:t>
            </w:r>
          </w:p>
        </w:tc>
        <w:tc>
          <w:tcPr>
            <w:tcW w:w="995" w:type="dxa"/>
            <w:shd w:val="solid" w:color="FFFFFF" w:fill="auto"/>
          </w:tcPr>
          <w:p w14:paraId="40379E31" w14:textId="3AFBE11E" w:rsidR="001E55BD" w:rsidRDefault="001E55BD" w:rsidP="00C72833">
            <w:pPr>
              <w:pStyle w:val="TAC"/>
              <w:rPr>
                <w:sz w:val="16"/>
                <w:szCs w:val="16"/>
              </w:rPr>
            </w:pPr>
            <w:r>
              <w:rPr>
                <w:sz w:val="16"/>
                <w:szCs w:val="16"/>
              </w:rPr>
              <w:t>SA4#116-e</w:t>
            </w:r>
          </w:p>
        </w:tc>
        <w:tc>
          <w:tcPr>
            <w:tcW w:w="992" w:type="dxa"/>
            <w:shd w:val="solid" w:color="FFFFFF" w:fill="auto"/>
          </w:tcPr>
          <w:p w14:paraId="796890AC" w14:textId="7E75DDAD" w:rsidR="001E55BD" w:rsidRDefault="005836BC" w:rsidP="00C72833">
            <w:pPr>
              <w:pStyle w:val="TAC"/>
              <w:rPr>
                <w:sz w:val="16"/>
                <w:szCs w:val="16"/>
              </w:rPr>
            </w:pPr>
            <w:r>
              <w:rPr>
                <w:sz w:val="16"/>
                <w:szCs w:val="16"/>
              </w:rPr>
              <w:t>S4-2115</w:t>
            </w:r>
            <w:r w:rsidR="00BE290C">
              <w:rPr>
                <w:sz w:val="16"/>
                <w:szCs w:val="16"/>
              </w:rPr>
              <w:t>90</w:t>
            </w:r>
          </w:p>
          <w:p w14:paraId="30BCA008" w14:textId="2A46A48F" w:rsidR="005836BC" w:rsidRDefault="00D75F60" w:rsidP="00C72833">
            <w:pPr>
              <w:pStyle w:val="TAC"/>
              <w:rPr>
                <w:sz w:val="16"/>
                <w:szCs w:val="16"/>
              </w:rPr>
            </w:pPr>
            <w:r>
              <w:rPr>
                <w:sz w:val="16"/>
                <w:szCs w:val="16"/>
              </w:rPr>
              <w:t>S4-2115</w:t>
            </w:r>
            <w:r w:rsidR="009120CD">
              <w:rPr>
                <w:sz w:val="16"/>
                <w:szCs w:val="16"/>
              </w:rPr>
              <w:t>91</w:t>
            </w:r>
          </w:p>
        </w:tc>
        <w:tc>
          <w:tcPr>
            <w:tcW w:w="567" w:type="dxa"/>
            <w:shd w:val="solid" w:color="FFFFFF" w:fill="auto"/>
          </w:tcPr>
          <w:p w14:paraId="4F5431C4" w14:textId="77777777" w:rsidR="001E55BD" w:rsidRPr="006B0D02" w:rsidRDefault="001E55BD" w:rsidP="00C72833">
            <w:pPr>
              <w:pStyle w:val="TAL"/>
              <w:rPr>
                <w:sz w:val="16"/>
                <w:szCs w:val="16"/>
              </w:rPr>
            </w:pPr>
          </w:p>
        </w:tc>
        <w:tc>
          <w:tcPr>
            <w:tcW w:w="426" w:type="dxa"/>
            <w:shd w:val="solid" w:color="FFFFFF" w:fill="auto"/>
          </w:tcPr>
          <w:p w14:paraId="6C060464" w14:textId="77777777" w:rsidR="001E55BD" w:rsidRPr="006B0D02" w:rsidRDefault="001E55BD" w:rsidP="00C72833">
            <w:pPr>
              <w:pStyle w:val="TAR"/>
              <w:rPr>
                <w:sz w:val="16"/>
                <w:szCs w:val="16"/>
              </w:rPr>
            </w:pPr>
          </w:p>
        </w:tc>
        <w:tc>
          <w:tcPr>
            <w:tcW w:w="425" w:type="dxa"/>
            <w:shd w:val="solid" w:color="FFFFFF" w:fill="auto"/>
          </w:tcPr>
          <w:p w14:paraId="3DE36883" w14:textId="77777777" w:rsidR="001E55BD" w:rsidRPr="006B0D02" w:rsidRDefault="001E55BD" w:rsidP="00C72833">
            <w:pPr>
              <w:pStyle w:val="TAC"/>
              <w:rPr>
                <w:sz w:val="16"/>
                <w:szCs w:val="16"/>
              </w:rPr>
            </w:pPr>
          </w:p>
        </w:tc>
        <w:tc>
          <w:tcPr>
            <w:tcW w:w="4726" w:type="dxa"/>
            <w:shd w:val="solid" w:color="FFFFFF" w:fill="auto"/>
          </w:tcPr>
          <w:p w14:paraId="3599EF78" w14:textId="77777777" w:rsidR="001E55BD" w:rsidRDefault="005836BC" w:rsidP="00C72833">
            <w:pPr>
              <w:pStyle w:val="TAL"/>
              <w:rPr>
                <w:sz w:val="16"/>
                <w:szCs w:val="16"/>
              </w:rPr>
            </w:pPr>
            <w:r>
              <w:rPr>
                <w:sz w:val="16"/>
                <w:szCs w:val="16"/>
              </w:rPr>
              <w:t>Clarification of direct and indirect reporting.</w:t>
            </w:r>
          </w:p>
          <w:p w14:paraId="582D50EA" w14:textId="09A4C97B" w:rsidR="005836BC" w:rsidRDefault="00D75F60" w:rsidP="00C72833">
            <w:pPr>
              <w:pStyle w:val="TAL"/>
              <w:rPr>
                <w:sz w:val="16"/>
                <w:szCs w:val="16"/>
              </w:rPr>
            </w:pPr>
            <w:r>
              <w:rPr>
                <w:sz w:val="16"/>
                <w:szCs w:val="16"/>
              </w:rPr>
              <w:t>Miscellaneous clarifications</w:t>
            </w:r>
            <w:r w:rsidR="00FE31FB">
              <w:rPr>
                <w:sz w:val="16"/>
                <w:szCs w:val="16"/>
              </w:rPr>
              <w:t xml:space="preserve"> and corrections</w:t>
            </w:r>
            <w:r>
              <w:rPr>
                <w:sz w:val="16"/>
                <w:szCs w:val="16"/>
              </w:rPr>
              <w:t>.</w:t>
            </w:r>
          </w:p>
        </w:tc>
        <w:tc>
          <w:tcPr>
            <w:tcW w:w="708" w:type="dxa"/>
            <w:shd w:val="solid" w:color="FFFFFF" w:fill="auto"/>
          </w:tcPr>
          <w:p w14:paraId="5D860D5A" w14:textId="70815610" w:rsidR="001E55BD" w:rsidRDefault="001E55BD" w:rsidP="00C72833">
            <w:pPr>
              <w:pStyle w:val="TAC"/>
              <w:rPr>
                <w:sz w:val="16"/>
                <w:szCs w:val="16"/>
              </w:rPr>
            </w:pPr>
            <w:r>
              <w:rPr>
                <w:sz w:val="16"/>
                <w:szCs w:val="16"/>
              </w:rPr>
              <w:t>0.2.0</w:t>
            </w:r>
          </w:p>
        </w:tc>
      </w:tr>
      <w:tr w:rsidR="000B689C" w:rsidRPr="006B0D02" w14:paraId="1045F551" w14:textId="77777777" w:rsidTr="00D036ED">
        <w:tc>
          <w:tcPr>
            <w:tcW w:w="800" w:type="dxa"/>
            <w:shd w:val="solid" w:color="FFFFFF" w:fill="auto"/>
          </w:tcPr>
          <w:p w14:paraId="2335558C" w14:textId="1078D446" w:rsidR="000B689C" w:rsidRDefault="000B689C" w:rsidP="00C72833">
            <w:pPr>
              <w:pStyle w:val="TAC"/>
              <w:rPr>
                <w:sz w:val="16"/>
                <w:szCs w:val="16"/>
              </w:rPr>
            </w:pPr>
            <w:r>
              <w:rPr>
                <w:sz w:val="16"/>
                <w:szCs w:val="16"/>
              </w:rPr>
              <w:t>2021-12</w:t>
            </w:r>
          </w:p>
        </w:tc>
        <w:tc>
          <w:tcPr>
            <w:tcW w:w="995" w:type="dxa"/>
            <w:shd w:val="solid" w:color="FFFFFF" w:fill="auto"/>
          </w:tcPr>
          <w:p w14:paraId="501FAFC7" w14:textId="69EC596E" w:rsidR="000B689C" w:rsidRDefault="000B689C" w:rsidP="00C72833">
            <w:pPr>
              <w:pStyle w:val="TAC"/>
              <w:rPr>
                <w:sz w:val="16"/>
                <w:szCs w:val="16"/>
              </w:rPr>
            </w:pPr>
            <w:r>
              <w:rPr>
                <w:sz w:val="16"/>
                <w:szCs w:val="16"/>
              </w:rPr>
              <w:t>SA#94-e</w:t>
            </w:r>
          </w:p>
        </w:tc>
        <w:tc>
          <w:tcPr>
            <w:tcW w:w="992" w:type="dxa"/>
            <w:shd w:val="solid" w:color="FFFFFF" w:fill="auto"/>
          </w:tcPr>
          <w:p w14:paraId="6AA74FEA" w14:textId="7FB4A9BA" w:rsidR="000B689C" w:rsidRDefault="000B689C" w:rsidP="00C72833">
            <w:pPr>
              <w:pStyle w:val="TAC"/>
              <w:rPr>
                <w:sz w:val="16"/>
                <w:szCs w:val="16"/>
              </w:rPr>
            </w:pPr>
            <w:r w:rsidRPr="005949AA">
              <w:rPr>
                <w:sz w:val="16"/>
                <w:szCs w:val="16"/>
              </w:rPr>
              <w:t>SP-211342</w:t>
            </w:r>
          </w:p>
        </w:tc>
        <w:tc>
          <w:tcPr>
            <w:tcW w:w="567" w:type="dxa"/>
            <w:shd w:val="solid" w:color="FFFFFF" w:fill="auto"/>
          </w:tcPr>
          <w:p w14:paraId="2FB1B00E" w14:textId="77777777" w:rsidR="000B689C" w:rsidRPr="006B0D02" w:rsidRDefault="000B689C" w:rsidP="00C72833">
            <w:pPr>
              <w:pStyle w:val="TAL"/>
              <w:rPr>
                <w:sz w:val="16"/>
                <w:szCs w:val="16"/>
              </w:rPr>
            </w:pPr>
          </w:p>
        </w:tc>
        <w:tc>
          <w:tcPr>
            <w:tcW w:w="426" w:type="dxa"/>
            <w:shd w:val="solid" w:color="FFFFFF" w:fill="auto"/>
          </w:tcPr>
          <w:p w14:paraId="4EBBE014" w14:textId="77777777" w:rsidR="000B689C" w:rsidRPr="006B0D02" w:rsidRDefault="000B689C" w:rsidP="00C72833">
            <w:pPr>
              <w:pStyle w:val="TAR"/>
              <w:rPr>
                <w:sz w:val="16"/>
                <w:szCs w:val="16"/>
              </w:rPr>
            </w:pPr>
          </w:p>
        </w:tc>
        <w:tc>
          <w:tcPr>
            <w:tcW w:w="425" w:type="dxa"/>
            <w:shd w:val="solid" w:color="FFFFFF" w:fill="auto"/>
          </w:tcPr>
          <w:p w14:paraId="189034B0" w14:textId="77777777" w:rsidR="000B689C" w:rsidRPr="006B0D02" w:rsidRDefault="000B689C" w:rsidP="00C72833">
            <w:pPr>
              <w:pStyle w:val="TAC"/>
              <w:rPr>
                <w:sz w:val="16"/>
                <w:szCs w:val="16"/>
              </w:rPr>
            </w:pPr>
          </w:p>
        </w:tc>
        <w:tc>
          <w:tcPr>
            <w:tcW w:w="4726" w:type="dxa"/>
            <w:shd w:val="solid" w:color="FFFFFF" w:fill="auto"/>
          </w:tcPr>
          <w:p w14:paraId="6F41FA1C" w14:textId="429A28CC" w:rsidR="000B689C" w:rsidRDefault="000B689C" w:rsidP="00C72833">
            <w:pPr>
              <w:pStyle w:val="TAL"/>
              <w:rPr>
                <w:sz w:val="16"/>
                <w:szCs w:val="16"/>
              </w:rPr>
            </w:pPr>
            <w:r>
              <w:rPr>
                <w:sz w:val="16"/>
                <w:szCs w:val="16"/>
              </w:rPr>
              <w:t>Presentation to SA plenary for information</w:t>
            </w:r>
          </w:p>
        </w:tc>
        <w:tc>
          <w:tcPr>
            <w:tcW w:w="708" w:type="dxa"/>
            <w:shd w:val="solid" w:color="FFFFFF" w:fill="auto"/>
          </w:tcPr>
          <w:p w14:paraId="5124EA86" w14:textId="12780CBC" w:rsidR="000B689C" w:rsidRDefault="000B689C" w:rsidP="00C72833">
            <w:pPr>
              <w:pStyle w:val="TAC"/>
              <w:rPr>
                <w:sz w:val="16"/>
                <w:szCs w:val="16"/>
              </w:rPr>
            </w:pPr>
            <w:r>
              <w:rPr>
                <w:sz w:val="16"/>
                <w:szCs w:val="16"/>
              </w:rPr>
              <w:t>1.0.0</w:t>
            </w:r>
          </w:p>
        </w:tc>
      </w:tr>
    </w:tbl>
    <w:p w14:paraId="5F56CF70" w14:textId="67621B7D" w:rsidR="00080512" w:rsidRPr="00F62AF2" w:rsidRDefault="00080512" w:rsidP="00F62AF2"/>
    <w:sectPr w:rsidR="00080512" w:rsidRPr="00F62AF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31"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32"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34"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35" w:author="Richard Bradbury" w:date="2021-07-06T15:41:00Z" w:initials="RJB">
    <w:p w14:paraId="28664B78" w14:textId="77777777" w:rsidR="00E75D74" w:rsidRDefault="00E75D74" w:rsidP="00E75D74">
      <w:pPr>
        <w:pStyle w:val="CommentText"/>
      </w:pPr>
      <w:r>
        <w:rPr>
          <w:rStyle w:val="CommentReference"/>
        </w:rPr>
        <w:annotationRef/>
      </w:r>
      <w:r>
        <w:t>Plus Stage 3 in a companion specification.</w:t>
      </w:r>
    </w:p>
  </w:comment>
  <w:comment w:id="36"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37" w:author="Richard Bradbury" w:date="2021-07-06T15:41:00Z" w:initials="RJB">
    <w:p w14:paraId="30A3BC05" w14:textId="77777777" w:rsidR="00E75D74" w:rsidRDefault="00E75D74" w:rsidP="00E75D74">
      <w:pPr>
        <w:pStyle w:val="CommentText"/>
      </w:pPr>
      <w:r>
        <w:rPr>
          <w:rStyle w:val="CommentReference"/>
        </w:rPr>
        <w:annotationRef/>
      </w:r>
      <w:r>
        <w:t>Plus Stage 3 in a companion specification.</w:t>
      </w:r>
    </w:p>
  </w:comment>
  <w:comment w:id="38"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39" w:author="Richard Bradbury" w:date="2021-07-06T15:41:00Z" w:initials="RJB">
    <w:p w14:paraId="456FE605" w14:textId="77777777" w:rsidR="00E75D74" w:rsidRDefault="00E75D74" w:rsidP="00E75D74">
      <w:pPr>
        <w:pStyle w:val="CommentText"/>
      </w:pPr>
      <w:r>
        <w:rPr>
          <w:rStyle w:val="CommentReference"/>
        </w:rPr>
        <w:annotationRef/>
      </w:r>
      <w:r>
        <w:t>Plus Stage 3 in a companion specification.</w:t>
      </w:r>
    </w:p>
  </w:comment>
  <w:comment w:id="40"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41" w:author="Richard Bradbury" w:date="2021-07-06T15:41:00Z" w:initials="RJB">
    <w:p w14:paraId="301162B9" w14:textId="77777777" w:rsidR="00E75D74" w:rsidRDefault="00E75D74" w:rsidP="00E75D74">
      <w:pPr>
        <w:pStyle w:val="CommentText"/>
      </w:pPr>
      <w:r>
        <w:rPr>
          <w:rStyle w:val="CommentReference"/>
        </w:rPr>
        <w:annotationRef/>
      </w:r>
      <w:r>
        <w:t>Plus Stage 3 in a companion specification.</w:t>
      </w:r>
    </w:p>
  </w:comment>
  <w:comment w:id="42"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43" w:author="Richard Bradbury" w:date="2021-07-06T15:41:00Z" w:initials="RJB">
    <w:p w14:paraId="2AF22CD5" w14:textId="77777777" w:rsidR="00E75D74" w:rsidRDefault="00E75D74" w:rsidP="00E75D74">
      <w:pPr>
        <w:pStyle w:val="CommentText"/>
      </w:pPr>
      <w:r>
        <w:rPr>
          <w:rStyle w:val="CommentReference"/>
        </w:rPr>
        <w:annotationRef/>
      </w:r>
      <w:r>
        <w:t>Plus Stage 3 in a companion specification.</w:t>
      </w:r>
    </w:p>
  </w:comment>
  <w:comment w:id="44"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45" w:author="Richard Bradbury" w:date="2021-07-06T15:41:00Z" w:initials="RJB">
    <w:p w14:paraId="745A287B" w14:textId="77777777" w:rsidR="00E75D74" w:rsidRDefault="00E75D74" w:rsidP="00E75D74">
      <w:pPr>
        <w:pStyle w:val="CommentText"/>
      </w:pPr>
      <w:r>
        <w:rPr>
          <w:rStyle w:val="CommentReference"/>
        </w:rPr>
        <w:annotationRef/>
      </w:r>
      <w:r>
        <w:t>Plus Stage 3 in a companion specification.</w:t>
      </w:r>
    </w:p>
  </w:comment>
  <w:comment w:id="46"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47"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48" w:author="Richard Bradbury" w:date="2021-07-06T15:41:00Z" w:initials="RJB">
    <w:p w14:paraId="7A23CB36" w14:textId="77777777" w:rsidR="0035600B" w:rsidRDefault="0035600B" w:rsidP="0035600B">
      <w:pPr>
        <w:pStyle w:val="CommentText"/>
      </w:pPr>
      <w:r>
        <w:rPr>
          <w:rStyle w:val="CommentReference"/>
        </w:rPr>
        <w:annotationRef/>
      </w:r>
      <w:r>
        <w:t>Plus Stage 3 in a companion specification.</w:t>
      </w:r>
    </w:p>
  </w:comment>
  <w:comment w:id="49" w:author="Richard Bradbury" w:date="2021-07-06T15:32:00Z" w:initials="RJB">
    <w:p w14:paraId="4A37C091" w14:textId="77777777" w:rsidR="0035600B" w:rsidRDefault="0035600B" w:rsidP="0035600B">
      <w:pPr>
        <w:pStyle w:val="CommentText"/>
      </w:pPr>
      <w:r>
        <w:t xml:space="preserve">TS 26.501 and </w:t>
      </w:r>
      <w:r>
        <w:rPr>
          <w:rStyle w:val="CommentReference"/>
        </w:rPr>
        <w:annotationRef/>
      </w:r>
      <w:r>
        <w:t>TS 26.512 in the case of 5GMS.</w:t>
      </w:r>
    </w:p>
  </w:comment>
  <w:comment w:id="51" w:author="Richard Bradbury (rev3)" w:date="2021-08-06T17:29:00Z" w:initials="RJB">
    <w:p w14:paraId="7810FD44" w14:textId="77777777" w:rsidR="00E75D74" w:rsidRDefault="00E75D74" w:rsidP="00E75D74">
      <w:pPr>
        <w:pStyle w:val="CommentText"/>
      </w:pPr>
      <w:r>
        <w:rPr>
          <w:rStyle w:val="CommentReference"/>
        </w:rPr>
        <w:annotationRef/>
      </w:r>
      <w:r>
        <w:t>Maybe think about adding a second diagram to cover the case where the Data Collection AF is deployed outside the trusted domain.</w:t>
      </w:r>
    </w:p>
  </w:comment>
  <w:comment w:id="64" w:author="Richard Bradbury (editor)" w:date="2021-11-09T11:29:00Z" w:initials="RJB">
    <w:p w14:paraId="61A78B11" w14:textId="4FA190CA" w:rsidR="00805A9E" w:rsidRDefault="00805A9E">
      <w:pPr>
        <w:pStyle w:val="CommentText"/>
      </w:pPr>
      <w:r>
        <w:rPr>
          <w:rStyle w:val="CommentReference"/>
        </w:rPr>
        <w:annotationRef/>
      </w:r>
      <w:r>
        <w:t>Copy/paste duplication.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A23CB36" w15:done="0"/>
  <w15:commentEx w15:paraId="4A37C091" w15:done="0"/>
  <w15:commentEx w15:paraId="7810FD44" w15:done="0"/>
  <w15:commentEx w15:paraId="61A78B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53A7760" w16cex:dateUtc="2021-07-06T14:41:00Z"/>
  <w16cex:commentExtensible w16cex:durableId="253A775F" w16cex:dateUtc="2021-07-06T14:32:00Z"/>
  <w16cex:commentExtensible w16cex:durableId="24B7F009" w16cex:dateUtc="2021-08-06T16:29:00Z"/>
  <w16cex:commentExtensible w16cex:durableId="2534D9FC" w16cex:dateUtc="2021-11-09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A23CB36" w16cid:durableId="253A7760"/>
  <w16cid:commentId w16cid:paraId="4A37C091" w16cid:durableId="253A775F"/>
  <w16cid:commentId w16cid:paraId="7810FD44" w16cid:durableId="24B7F009"/>
  <w16cid:commentId w16cid:paraId="61A78B11" w16cid:durableId="2534D9FC"/>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75262" w14:textId="77777777" w:rsidR="0099082E" w:rsidRDefault="0099082E">
      <w:r>
        <w:separator/>
      </w:r>
    </w:p>
  </w:endnote>
  <w:endnote w:type="continuationSeparator" w:id="0">
    <w:p w14:paraId="75D122DD" w14:textId="77777777" w:rsidR="0099082E" w:rsidRDefault="0099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53D28" w14:textId="77777777" w:rsidR="0099082E" w:rsidRDefault="0099082E">
      <w:r>
        <w:separator/>
      </w:r>
    </w:p>
  </w:footnote>
  <w:footnote w:type="continuationSeparator" w:id="0">
    <w:p w14:paraId="5F4255A9" w14:textId="77777777" w:rsidR="0099082E" w:rsidRDefault="0099082E">
      <w:r>
        <w:continuationSeparator/>
      </w:r>
    </w:p>
  </w:footnote>
  <w:footnote w:id="1">
    <w:p w14:paraId="1D88160C" w14:textId="46C0C1DC" w:rsidR="007D301F" w:rsidRPr="007D301F" w:rsidRDefault="007D301F">
      <w:pPr>
        <w:pStyle w:val="FootnoteText"/>
      </w:pPr>
      <w:r>
        <w:rPr>
          <w:rStyle w:val="FootnoteReference"/>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FDECA" w14:textId="0984D0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49AA">
      <w:rPr>
        <w:rFonts w:ascii="Arial" w:hAnsi="Arial" w:cs="Arial"/>
        <w:b/>
        <w:noProof/>
        <w:sz w:val="18"/>
        <w:szCs w:val="18"/>
      </w:rPr>
      <w:t>3GPP TS 26.531 V1.0.0 (2021-12)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376B10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49AA">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SA4#115-e revisions)">
    <w15:presenceInfo w15:providerId="None" w15:userId="Richard Bradbury (SA4#115-e revisions)"/>
  </w15:person>
  <w15:person w15:author="Richard Bradbury">
    <w15:presenceInfo w15:providerId="None" w15:userId="Richard Bradbury"/>
  </w15:person>
  <w15:person w15:author="Richard Bradbury (rev3)">
    <w15:presenceInfo w15:providerId="None" w15:userId="Richard Bradbury (rev3)"/>
  </w15:person>
  <w15:person w15:author="Richard Bradbury (editor)">
    <w15:presenceInfo w15:providerId="None" w15:userId="Richard Bradbury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B689C"/>
    <w:rsid w:val="000C47C3"/>
    <w:rsid w:val="000D58AB"/>
    <w:rsid w:val="00133525"/>
    <w:rsid w:val="00145CDF"/>
    <w:rsid w:val="00180B4E"/>
    <w:rsid w:val="001A4C42"/>
    <w:rsid w:val="001A7420"/>
    <w:rsid w:val="001B6637"/>
    <w:rsid w:val="001C21C3"/>
    <w:rsid w:val="001D02C2"/>
    <w:rsid w:val="001E55BD"/>
    <w:rsid w:val="001F0C1D"/>
    <w:rsid w:val="001F1132"/>
    <w:rsid w:val="001F168B"/>
    <w:rsid w:val="00202CC6"/>
    <w:rsid w:val="002347A2"/>
    <w:rsid w:val="00251F17"/>
    <w:rsid w:val="0025767F"/>
    <w:rsid w:val="002675F0"/>
    <w:rsid w:val="002B6339"/>
    <w:rsid w:val="002E00EE"/>
    <w:rsid w:val="003172DC"/>
    <w:rsid w:val="00343020"/>
    <w:rsid w:val="00343988"/>
    <w:rsid w:val="003463B0"/>
    <w:rsid w:val="0035462D"/>
    <w:rsid w:val="0035600B"/>
    <w:rsid w:val="003765B8"/>
    <w:rsid w:val="0039509C"/>
    <w:rsid w:val="003A035A"/>
    <w:rsid w:val="003C3971"/>
    <w:rsid w:val="003D1605"/>
    <w:rsid w:val="003E00CA"/>
    <w:rsid w:val="003E5308"/>
    <w:rsid w:val="00423334"/>
    <w:rsid w:val="004345EC"/>
    <w:rsid w:val="00437FA0"/>
    <w:rsid w:val="00465515"/>
    <w:rsid w:val="00485406"/>
    <w:rsid w:val="004D3578"/>
    <w:rsid w:val="004E213A"/>
    <w:rsid w:val="004F0988"/>
    <w:rsid w:val="004F3340"/>
    <w:rsid w:val="004F563E"/>
    <w:rsid w:val="0051158D"/>
    <w:rsid w:val="0053388B"/>
    <w:rsid w:val="00535773"/>
    <w:rsid w:val="00543E6C"/>
    <w:rsid w:val="00561DB9"/>
    <w:rsid w:val="00563331"/>
    <w:rsid w:val="00565087"/>
    <w:rsid w:val="005836BC"/>
    <w:rsid w:val="00592179"/>
    <w:rsid w:val="005949AA"/>
    <w:rsid w:val="00597B11"/>
    <w:rsid w:val="005C1158"/>
    <w:rsid w:val="005D2E01"/>
    <w:rsid w:val="005D7526"/>
    <w:rsid w:val="005E2C55"/>
    <w:rsid w:val="005E4BB2"/>
    <w:rsid w:val="005F0F65"/>
    <w:rsid w:val="00602AEA"/>
    <w:rsid w:val="00612F26"/>
    <w:rsid w:val="00614FDF"/>
    <w:rsid w:val="0063543D"/>
    <w:rsid w:val="00647114"/>
    <w:rsid w:val="00671216"/>
    <w:rsid w:val="00684097"/>
    <w:rsid w:val="006A323F"/>
    <w:rsid w:val="006B30D0"/>
    <w:rsid w:val="006C3D95"/>
    <w:rsid w:val="006E5C86"/>
    <w:rsid w:val="00701116"/>
    <w:rsid w:val="00707E6A"/>
    <w:rsid w:val="00712387"/>
    <w:rsid w:val="00713C44"/>
    <w:rsid w:val="00734A5B"/>
    <w:rsid w:val="0074026F"/>
    <w:rsid w:val="007429F6"/>
    <w:rsid w:val="00744E76"/>
    <w:rsid w:val="00747C5F"/>
    <w:rsid w:val="00774DA4"/>
    <w:rsid w:val="00781F0F"/>
    <w:rsid w:val="007A504A"/>
    <w:rsid w:val="007B600E"/>
    <w:rsid w:val="007D301F"/>
    <w:rsid w:val="007F0F4A"/>
    <w:rsid w:val="008028A4"/>
    <w:rsid w:val="00805A9E"/>
    <w:rsid w:val="00805B9B"/>
    <w:rsid w:val="00817CF6"/>
    <w:rsid w:val="00830747"/>
    <w:rsid w:val="0087225E"/>
    <w:rsid w:val="008768CA"/>
    <w:rsid w:val="008A3ABA"/>
    <w:rsid w:val="008A4A37"/>
    <w:rsid w:val="008C384C"/>
    <w:rsid w:val="0090271F"/>
    <w:rsid w:val="00902E23"/>
    <w:rsid w:val="009114D7"/>
    <w:rsid w:val="009120CD"/>
    <w:rsid w:val="0091348E"/>
    <w:rsid w:val="00917CCB"/>
    <w:rsid w:val="00942EC2"/>
    <w:rsid w:val="009858EC"/>
    <w:rsid w:val="0099082E"/>
    <w:rsid w:val="00997BFF"/>
    <w:rsid w:val="009A34B0"/>
    <w:rsid w:val="009B767E"/>
    <w:rsid w:val="009F37B7"/>
    <w:rsid w:val="00A10F02"/>
    <w:rsid w:val="00A164B4"/>
    <w:rsid w:val="00A26956"/>
    <w:rsid w:val="00A27486"/>
    <w:rsid w:val="00A404B4"/>
    <w:rsid w:val="00A426EA"/>
    <w:rsid w:val="00A43BE7"/>
    <w:rsid w:val="00A53724"/>
    <w:rsid w:val="00A54C51"/>
    <w:rsid w:val="00A56066"/>
    <w:rsid w:val="00A73129"/>
    <w:rsid w:val="00A82346"/>
    <w:rsid w:val="00A92BA1"/>
    <w:rsid w:val="00AA4AF4"/>
    <w:rsid w:val="00AC23F3"/>
    <w:rsid w:val="00AC6BC6"/>
    <w:rsid w:val="00AD3270"/>
    <w:rsid w:val="00AD72C9"/>
    <w:rsid w:val="00AE30A6"/>
    <w:rsid w:val="00AE65E2"/>
    <w:rsid w:val="00AF52A2"/>
    <w:rsid w:val="00B127A1"/>
    <w:rsid w:val="00B15449"/>
    <w:rsid w:val="00B16B37"/>
    <w:rsid w:val="00B41B42"/>
    <w:rsid w:val="00B65341"/>
    <w:rsid w:val="00B71B73"/>
    <w:rsid w:val="00B862B3"/>
    <w:rsid w:val="00B93086"/>
    <w:rsid w:val="00BA19ED"/>
    <w:rsid w:val="00BA4B8D"/>
    <w:rsid w:val="00BC0F7D"/>
    <w:rsid w:val="00BD02FA"/>
    <w:rsid w:val="00BD3A3E"/>
    <w:rsid w:val="00BD7D31"/>
    <w:rsid w:val="00BE290C"/>
    <w:rsid w:val="00BE3255"/>
    <w:rsid w:val="00BF128E"/>
    <w:rsid w:val="00C074DD"/>
    <w:rsid w:val="00C1496A"/>
    <w:rsid w:val="00C164BE"/>
    <w:rsid w:val="00C33079"/>
    <w:rsid w:val="00C37AE8"/>
    <w:rsid w:val="00C45231"/>
    <w:rsid w:val="00C45DD4"/>
    <w:rsid w:val="00C545A7"/>
    <w:rsid w:val="00C72833"/>
    <w:rsid w:val="00C80F1D"/>
    <w:rsid w:val="00C93F40"/>
    <w:rsid w:val="00CA3D0C"/>
    <w:rsid w:val="00CD7E37"/>
    <w:rsid w:val="00CE2FE2"/>
    <w:rsid w:val="00D036ED"/>
    <w:rsid w:val="00D06AE8"/>
    <w:rsid w:val="00D10572"/>
    <w:rsid w:val="00D30057"/>
    <w:rsid w:val="00D57972"/>
    <w:rsid w:val="00D675A9"/>
    <w:rsid w:val="00D738D6"/>
    <w:rsid w:val="00D755EB"/>
    <w:rsid w:val="00D75F60"/>
    <w:rsid w:val="00D76048"/>
    <w:rsid w:val="00D87E00"/>
    <w:rsid w:val="00D9134D"/>
    <w:rsid w:val="00D9212B"/>
    <w:rsid w:val="00DA7A03"/>
    <w:rsid w:val="00DB1818"/>
    <w:rsid w:val="00DC309B"/>
    <w:rsid w:val="00DC4DA2"/>
    <w:rsid w:val="00DD188E"/>
    <w:rsid w:val="00DD4C17"/>
    <w:rsid w:val="00DD74A5"/>
    <w:rsid w:val="00DE1540"/>
    <w:rsid w:val="00DF2B1F"/>
    <w:rsid w:val="00DF62CD"/>
    <w:rsid w:val="00E16509"/>
    <w:rsid w:val="00E41D5E"/>
    <w:rsid w:val="00E44582"/>
    <w:rsid w:val="00E75D74"/>
    <w:rsid w:val="00E76996"/>
    <w:rsid w:val="00E77645"/>
    <w:rsid w:val="00E822E2"/>
    <w:rsid w:val="00E857C4"/>
    <w:rsid w:val="00E93B58"/>
    <w:rsid w:val="00EA0CD5"/>
    <w:rsid w:val="00EA15B0"/>
    <w:rsid w:val="00EA5EA7"/>
    <w:rsid w:val="00EA7287"/>
    <w:rsid w:val="00EB71EC"/>
    <w:rsid w:val="00EC4A25"/>
    <w:rsid w:val="00F025A2"/>
    <w:rsid w:val="00F04712"/>
    <w:rsid w:val="00F13360"/>
    <w:rsid w:val="00F22EC7"/>
    <w:rsid w:val="00F325C8"/>
    <w:rsid w:val="00F43116"/>
    <w:rsid w:val="00F62AF2"/>
    <w:rsid w:val="00F653B8"/>
    <w:rsid w:val="00F9008D"/>
    <w:rsid w:val="00FA1266"/>
    <w:rsid w:val="00FB055E"/>
    <w:rsid w:val="00FC1192"/>
    <w:rsid w:val="00FE31FB"/>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 w:type="paragraph" w:styleId="Revision">
    <w:name w:val="Revision"/>
    <w:hidden/>
    <w:uiPriority w:val="99"/>
    <w:semiHidden/>
    <w:rsid w:val="001E55BD"/>
    <w:rPr>
      <w:lang w:eastAsia="en-US"/>
    </w:rPr>
  </w:style>
  <w:style w:type="paragraph" w:styleId="CommentSubject">
    <w:name w:val="annotation subject"/>
    <w:basedOn w:val="CommentText"/>
    <w:next w:val="CommentText"/>
    <w:link w:val="CommentSubjectChar"/>
    <w:rsid w:val="00805A9E"/>
    <w:rPr>
      <w:b/>
      <w:bCs/>
    </w:rPr>
  </w:style>
  <w:style w:type="character" w:customStyle="1" w:styleId="CommentSubjectChar">
    <w:name w:val="Comment Subject Char"/>
    <w:basedOn w:val="CommentTextChar"/>
    <w:link w:val="CommentSubject"/>
    <w:rsid w:val="00805A9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oleObject" Target="embeddings/oleObject4.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6.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image" Target="media/image14.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7996</Words>
  <Characters>45579</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S4-211493_CR_0045</cp:lastModifiedBy>
  <cp:revision>2</cp:revision>
  <cp:lastPrinted>2019-02-25T14:05:00Z</cp:lastPrinted>
  <dcterms:created xsi:type="dcterms:W3CDTF">2022-01-05T20:28:00Z</dcterms:created>
  <dcterms:modified xsi:type="dcterms:W3CDTF">2022-01-05T20:28:00Z</dcterms:modified>
</cp:coreProperties>
</file>