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pPr>
        <w:spacing w:after="120"/>
        <w:ind w:left="1985" w:hanging="1985"/>
        <w:rPr>
          <w:rFonts w:hint="eastAsia"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[FS_AVATAR] UC5: Artificial Intelligence-Based Avatar</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3.9</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hint="eastAsia" w:ascii="Arial" w:hAnsi="Arial" w:cs="Arial"/>
          <w:b/>
          <w:bCs/>
        </w:rPr>
        <w:t>Discussion and Agreement</w:t>
      </w:r>
    </w:p>
    <w:p>
      <w:pPr>
        <w:pBdr>
          <w:bottom w:val="single" w:color="auto" w:sz="4" w:space="1"/>
        </w:pBdr>
        <w:rPr>
          <w:rFonts w:ascii="Arial" w:hAnsi="Arial" w:cs="Arial"/>
          <w:b/>
          <w:bCs/>
        </w:rPr>
      </w:pPr>
    </w:p>
    <w:p>
      <w:pPr>
        <w:pStyle w:val="2"/>
        <w:numPr>
          <w:ilvl w:val="-1"/>
          <w:numId w:val="0"/>
        </w:numPr>
        <w:ind w:left="0" w:firstLine="0"/>
        <w:rPr>
          <w:rFonts w:ascii="Times New Roman" w:hAnsi="Times New Roman" w:cs="Times New Roman"/>
          <w:b w:val="0"/>
          <w:bCs/>
          <w:sz w:val="28"/>
          <w:szCs w:val="28"/>
        </w:rPr>
      </w:pPr>
      <w:bookmarkStart w:id="0" w:name="_Toc504713888"/>
    </w:p>
    <w:p>
      <w:pPr>
        <w:pStyle w:val="2"/>
        <w:numPr>
          <w:ilvl w:val="0"/>
          <w:numId w:val="1"/>
        </w:numPr>
        <w:rPr>
          <w:rFonts w:ascii="Times New Roman" w:hAnsi="Times New Roman" w:cs="Times New Roman"/>
          <w:b w:val="0"/>
          <w:bCs/>
          <w:sz w:val="28"/>
          <w:szCs w:val="28"/>
        </w:rPr>
      </w:pPr>
      <w:r>
        <w:rPr>
          <w:rFonts w:ascii="Times New Roman" w:hAnsi="Times New Roman" w:cs="Times New Roman"/>
          <w:b w:val="0"/>
          <w:bCs/>
          <w:sz w:val="28"/>
          <w:szCs w:val="28"/>
        </w:rPr>
        <w:t>Introduction</w:t>
      </w:r>
    </w:p>
    <w:p>
      <w:pPr>
        <w:rPr>
          <w:rFonts w:hint="default" w:eastAsia="宋体"/>
          <w:lang w:val="en-US" w:eastAsia="zh-CN"/>
        </w:rPr>
      </w:pPr>
      <w:r>
        <w:t>Generative</w:t>
      </w:r>
      <w:r>
        <w:rPr>
          <w:rFonts w:hint="eastAsia" w:eastAsia="宋体"/>
          <w:lang w:val="en-US" w:eastAsia="zh-CN"/>
        </w:rPr>
        <w:t xml:space="preserve"> </w:t>
      </w:r>
      <w:r>
        <w:t>AI</w:t>
      </w:r>
      <w:r>
        <w:rPr>
          <w:rFonts w:hint="eastAsia" w:eastAsia="宋体"/>
          <w:lang w:val="en-US" w:eastAsia="zh-CN"/>
        </w:rPr>
        <w:t xml:space="preserve"> </w:t>
      </w:r>
      <w:r>
        <w:t>(AIGC)</w:t>
      </w:r>
      <w:r>
        <w:rPr>
          <w:rFonts w:hint="eastAsia" w:eastAsia="宋体"/>
          <w:lang w:val="en-US" w:eastAsia="zh-CN"/>
        </w:rPr>
        <w:t xml:space="preserve"> </w:t>
      </w:r>
      <w:r>
        <w:t>have gained significant attention</w:t>
      </w:r>
      <w:r>
        <w:rPr>
          <w:rFonts w:hint="eastAsia" w:eastAsia="宋体"/>
          <w:lang w:val="en-US" w:eastAsia="zh-CN"/>
        </w:rPr>
        <w:t xml:space="preserve"> </w:t>
      </w:r>
      <w:r>
        <w:t xml:space="preserve">due to the unprecedented ability to automate the creation of various content, e.g., </w:t>
      </w:r>
      <w:r>
        <w:rPr>
          <w:rFonts w:hint="eastAsia" w:eastAsia="宋体"/>
          <w:lang w:val="en-US" w:eastAsia="zh-CN"/>
        </w:rPr>
        <w:t xml:space="preserve">avatars, </w:t>
      </w:r>
      <w:r>
        <w:t>images, and videos.</w:t>
      </w:r>
      <w:r>
        <w:rPr>
          <w:rFonts w:hint="eastAsia" w:eastAsia="宋体"/>
          <w:lang w:val="en-US" w:eastAsia="zh-CN"/>
        </w:rPr>
        <w:t xml:space="preserve"> Current research studies have demonstrated the potential of integrating AIGC into the metaverse and improving immersive virtual experience</w:t>
      </w:r>
      <w:r>
        <w:rPr>
          <w:rFonts w:hint="eastAsia" w:eastAsia="宋体"/>
          <w:highlight w:val="none"/>
          <w:lang w:val="en-US" w:eastAsia="zh-CN"/>
        </w:rPr>
        <w:t xml:space="preserve"> [1][2][3]</w:t>
      </w:r>
      <w:r>
        <w:rPr>
          <w:rFonts w:hint="eastAsia" w:eastAsia="宋体"/>
          <w:lang w:val="en-US" w:eastAsia="zh-CN"/>
        </w:rPr>
        <w:t>. This document provides an AI-</w:t>
      </w:r>
      <w:r>
        <w:t>based</w:t>
      </w:r>
      <w:r>
        <w:rPr>
          <w:rFonts w:hint="eastAsia" w:eastAsia="宋体"/>
          <w:lang w:val="en-US" w:eastAsia="zh-CN"/>
        </w:rPr>
        <w:t xml:space="preserve"> Avatar use case based on the use cases documented in the SA1 study TR 22.856</w:t>
      </w:r>
      <w:r>
        <w:rPr>
          <w:rFonts w:hint="eastAsia" w:eastAsia="宋体"/>
          <w:highlight w:val="none"/>
          <w:lang w:val="en-US" w:eastAsia="zh-CN"/>
        </w:rPr>
        <w:t xml:space="preserve"> [4].</w:t>
      </w:r>
      <w:r>
        <w:rPr>
          <w:rFonts w:hint="eastAsia" w:eastAsia="宋体"/>
          <w:lang w:val="en-US" w:eastAsia="zh-CN"/>
        </w:rPr>
        <w:t xml:space="preserve"> </w:t>
      </w:r>
    </w:p>
    <w:p/>
    <w:p>
      <w:pPr>
        <w:pStyle w:val="2"/>
        <w:numPr>
          <w:ilvl w:val="0"/>
          <w:numId w:val="0"/>
        </w:numPr>
        <w:ind w:leftChars="0" w:right="284" w:rightChars="0"/>
        <w:rPr>
          <w:rFonts w:hint="default" w:ascii="Times New Roman" w:hAnsi="Times New Roman" w:eastAsia="宋体" w:cs="Times New Roman"/>
          <w:b w:val="0"/>
          <w:bCs/>
          <w:sz w:val="28"/>
          <w:szCs w:val="28"/>
          <w:lang w:val="en-US" w:eastAsia="zh-CN"/>
        </w:rPr>
      </w:pPr>
      <w:r>
        <w:rPr>
          <w:rFonts w:hint="eastAsia" w:ascii="Times New Roman" w:hAnsi="Times New Roman" w:eastAsia="宋体" w:cs="Times New Roman"/>
          <w:b w:val="0"/>
          <w:bCs/>
          <w:sz w:val="28"/>
          <w:szCs w:val="28"/>
          <w:lang w:val="en-US" w:eastAsia="zh-CN"/>
        </w:rPr>
        <w:t xml:space="preserve">2 </w:t>
      </w:r>
      <w:r>
        <w:rPr>
          <w:rFonts w:hint="eastAsia" w:ascii="Times New Roman" w:hAnsi="Times New Roman" w:eastAsia="宋体" w:cs="Times New Roman"/>
          <w:b w:val="0"/>
          <w:bCs/>
          <w:sz w:val="28"/>
          <w:szCs w:val="28"/>
          <w:lang w:val="en-US" w:eastAsia="zh-CN"/>
        </w:rPr>
        <w:tab/>
      </w:r>
      <w:r>
        <w:rPr>
          <w:rFonts w:hint="eastAsia" w:ascii="Times New Roman" w:hAnsi="Times New Roman" w:eastAsia="宋体" w:cs="Times New Roman"/>
          <w:b w:val="0"/>
          <w:bCs/>
          <w:sz w:val="28"/>
          <w:szCs w:val="28"/>
          <w:lang w:val="en-US" w:eastAsia="zh-CN"/>
        </w:rPr>
        <w:t>Artificial Intelligence-Generated Content (AIGC) for Metaverse</w:t>
      </w:r>
    </w:p>
    <w:p>
      <w:pPr>
        <w:rPr>
          <w:rFonts w:hint="default" w:eastAsia="宋体"/>
          <w:lang w:val="en-US" w:eastAsia="zh-CN"/>
        </w:rPr>
      </w:pPr>
      <w:r>
        <w:rPr>
          <w:rFonts w:hint="eastAsia" w:eastAsia="宋体"/>
          <w:lang w:val="en-US" w:eastAsia="zh-CN"/>
        </w:rPr>
        <w:t xml:space="preserve">AIGC refers to the content that is entirely or partially generated by AI. With the ability of producing efficiently large amounts of high quality content within constraints of time and resources, AIGC can significantly impact Metaverse applications </w:t>
      </w:r>
      <w:bookmarkStart w:id="1" w:name="_GoBack"/>
      <w:bookmarkEnd w:id="1"/>
      <w:r>
        <w:rPr>
          <w:rFonts w:hint="eastAsia" w:eastAsia="宋体"/>
          <w:lang w:val="en-US" w:eastAsia="zh-CN"/>
        </w:rPr>
        <w:t>[2][3]. Based on the a previous study</w:t>
      </w:r>
      <w:r>
        <w:rPr>
          <w:rFonts w:hint="eastAsia" w:eastAsia="宋体"/>
          <w:highlight w:val="none"/>
          <w:lang w:val="en-US" w:eastAsia="zh-CN"/>
        </w:rPr>
        <w:t xml:space="preserve"> [1]</w:t>
      </w:r>
      <w:r>
        <w:rPr>
          <w:rFonts w:hint="eastAsia" w:eastAsia="宋体"/>
          <w:lang w:val="en-US" w:eastAsia="zh-CN"/>
        </w:rPr>
        <w:t>, AIGI in the metaverse can be categorized into 5 key application areas (avatars and Non-player Characters (NPCs), content creation, virtual world generation, automatic digital twin, and personalization).</w:t>
      </w:r>
    </w:p>
    <w:p>
      <w:pPr>
        <w:jc w:val="center"/>
      </w:pPr>
    </w:p>
    <w:p>
      <w:pPr>
        <w:jc w:val="center"/>
        <w:rPr>
          <w:rFonts w:hint="eastAsia" w:eastAsia="宋体"/>
          <w:lang w:val="en-US" w:eastAsia="zh-CN"/>
        </w:rPr>
      </w:pPr>
      <w:r>
        <w:drawing>
          <wp:inline distT="0" distB="0" distL="114300" distR="114300">
            <wp:extent cx="6388735" cy="4961255"/>
            <wp:effectExtent l="0" t="0" r="1206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rcRect b="4966"/>
                    <a:stretch>
                      <a:fillRect/>
                    </a:stretch>
                  </pic:blipFill>
                  <pic:spPr>
                    <a:xfrm>
                      <a:off x="0" y="0"/>
                      <a:ext cx="6388735" cy="4961255"/>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Figure.1 Metaverse use cases with AIGC and corresponding models/platforms [1].</w:t>
      </w:r>
    </w:p>
    <w:p>
      <w:pPr>
        <w:rPr>
          <w:rFonts w:hint="eastAsia" w:eastAsia="宋体"/>
          <w:lang w:val="en-US" w:eastAsia="zh-CN"/>
        </w:rPr>
      </w:pPr>
    </w:p>
    <w:p>
      <w:pPr>
        <w:rPr>
          <w:rFonts w:hint="eastAsia" w:eastAsia="宋体"/>
          <w:lang w:val="en-US" w:eastAsia="zh-CN"/>
        </w:rPr>
      </w:pPr>
      <w:r>
        <w:rPr>
          <w:rFonts w:hint="eastAsia" w:eastAsia="宋体"/>
          <w:lang w:val="en-US" w:eastAsia="zh-CN"/>
        </w:rPr>
        <w:t>The AI-Generated avatars have been used for live broadcasting, game industry, customer services and so on.</w:t>
      </w:r>
    </w:p>
    <w:p>
      <w:pPr>
        <w:rPr>
          <w:rFonts w:ascii="宋体" w:hAnsi="宋体" w:eastAsia="宋体" w:cs="宋体"/>
          <w:sz w:val="24"/>
          <w:szCs w:val="24"/>
        </w:rPr>
      </w:pPr>
      <w:r>
        <w:drawing>
          <wp:inline distT="0" distB="0" distL="114300" distR="114300">
            <wp:extent cx="2032000" cy="1579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rcRect b="12971"/>
                    <a:stretch>
                      <a:fillRect/>
                    </a:stretch>
                  </pic:blipFill>
                  <pic:spPr>
                    <a:xfrm>
                      <a:off x="0" y="0"/>
                      <a:ext cx="2032000" cy="1579880"/>
                    </a:xfrm>
                    <a:prstGeom prst="rect">
                      <a:avLst/>
                    </a:prstGeom>
                    <a:noFill/>
                    <a:ln>
                      <a:noFill/>
                    </a:ln>
                  </pic:spPr>
                </pic:pic>
              </a:graphicData>
            </a:graphic>
          </wp:inline>
        </w:drawing>
      </w:r>
      <w:r>
        <w:rPr>
          <w:rFonts w:hint="eastAsia" w:eastAsia="宋体"/>
          <w:lang w:val="en-US" w:eastAsia="zh-CN"/>
        </w:rPr>
        <w:t xml:space="preserve">            </w:t>
      </w:r>
      <w:r>
        <w:rPr>
          <w:rFonts w:ascii="宋体" w:hAnsi="宋体" w:eastAsia="宋体" w:cs="宋体"/>
          <w:sz w:val="24"/>
          <w:szCs w:val="24"/>
        </w:rPr>
        <w:drawing>
          <wp:inline distT="0" distB="0" distL="114300" distR="114300">
            <wp:extent cx="2698115" cy="1518920"/>
            <wp:effectExtent l="0" t="0" r="6985" b="508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7"/>
                    <a:stretch>
                      <a:fillRect/>
                    </a:stretch>
                  </pic:blipFill>
                  <pic:spPr>
                    <a:xfrm flipH="1">
                      <a:off x="0" y="0"/>
                      <a:ext cx="2698115" cy="1518920"/>
                    </a:xfrm>
                    <a:prstGeom prst="rect">
                      <a:avLst/>
                    </a:prstGeom>
                    <a:noFill/>
                    <a:ln w="9525">
                      <a:noFill/>
                    </a:ln>
                  </pic:spPr>
                </pic:pic>
              </a:graphicData>
            </a:graphic>
          </wp:inline>
        </w:drawing>
      </w:r>
    </w:p>
    <w:p>
      <w:pPr>
        <w:jc w:val="center"/>
        <w:rPr>
          <w:rFonts w:hint="default" w:eastAsia="宋体"/>
          <w:lang w:val="en-US" w:eastAsia="zh-CN"/>
        </w:rPr>
      </w:pPr>
      <w:r>
        <w:rPr>
          <w:rFonts w:hint="eastAsia" w:eastAsia="宋体"/>
          <w:lang w:val="en-US" w:eastAsia="zh-CN"/>
        </w:rPr>
        <w:t>Figure.2  Using AI-Generated avatar for live broadcasting (left) [5]. Using NVIDIA ACE to generate and customize  intelligent NPCs for Games (right) [6].</w:t>
      </w:r>
    </w:p>
    <w:p>
      <w:pPr>
        <w:rPr>
          <w:rFonts w:hint="default" w:ascii="宋体" w:hAnsi="宋体" w:eastAsia="宋体" w:cs="宋体"/>
          <w:sz w:val="24"/>
          <w:szCs w:val="24"/>
          <w:lang w:val="en-US" w:eastAsia="zh-CN"/>
        </w:rPr>
      </w:pPr>
    </w:p>
    <w:p>
      <w:pPr>
        <w:pStyle w:val="2"/>
        <w:numPr>
          <w:ilvl w:val="0"/>
          <w:numId w:val="0"/>
        </w:numPr>
        <w:ind w:leftChars="0" w:right="284" w:rightChars="0"/>
        <w:rPr>
          <w:rFonts w:hint="default" w:ascii="Times New Roman" w:hAnsi="Times New Roman" w:eastAsia="宋体" w:cs="Times New Roman"/>
          <w:b w:val="0"/>
          <w:bCs/>
          <w:sz w:val="28"/>
          <w:szCs w:val="28"/>
          <w:lang w:val="en-US" w:eastAsia="zh-CN"/>
        </w:rPr>
      </w:pPr>
      <w:r>
        <w:rPr>
          <w:rFonts w:hint="eastAsia" w:ascii="Times New Roman" w:hAnsi="Times New Roman" w:eastAsia="宋体" w:cs="Times New Roman"/>
          <w:b w:val="0"/>
          <w:bCs/>
          <w:sz w:val="28"/>
          <w:szCs w:val="28"/>
          <w:lang w:val="en-US" w:eastAsia="zh-CN"/>
        </w:rPr>
        <w:t xml:space="preserve">3 </w:t>
      </w:r>
      <w:r>
        <w:rPr>
          <w:rFonts w:hint="eastAsia" w:ascii="Times New Roman" w:hAnsi="Times New Roman" w:eastAsia="宋体" w:cs="Times New Roman"/>
          <w:b w:val="0"/>
          <w:bCs/>
          <w:sz w:val="28"/>
          <w:szCs w:val="28"/>
          <w:lang w:val="en-US" w:eastAsia="zh-CN"/>
        </w:rPr>
        <w:tab/>
      </w:r>
      <w:r>
        <w:rPr>
          <w:rFonts w:hint="eastAsia" w:ascii="Times New Roman" w:hAnsi="Times New Roman" w:eastAsia="宋体" w:cs="Times New Roman"/>
          <w:b w:val="0"/>
          <w:bCs/>
          <w:sz w:val="28"/>
          <w:szCs w:val="28"/>
          <w:lang w:val="en-US" w:eastAsia="zh-CN"/>
        </w:rPr>
        <w:t>Proposed Use Case</w:t>
      </w:r>
    </w:p>
    <w:p>
      <w:pPr>
        <w:rPr>
          <w:rFonts w:hint="default" w:ascii="Arial" w:hAnsi="Arial" w:cs="Arial"/>
          <w:sz w:val="32"/>
          <w:szCs w:val="32"/>
          <w:lang w:val="en-US" w:eastAsia="zh-CN"/>
        </w:rPr>
      </w:pPr>
      <w:r>
        <w:rPr>
          <w:rFonts w:hint="default" w:ascii="Arial" w:hAnsi="Arial" w:cs="Arial"/>
          <w:sz w:val="32"/>
          <w:szCs w:val="32"/>
          <w:lang w:val="en-US" w:eastAsia="zh-CN"/>
        </w:rPr>
        <w:t xml:space="preserve">5.1 </w:t>
      </w:r>
      <w:r>
        <w:rPr>
          <w:rFonts w:hint="default" w:ascii="Arial" w:hAnsi="Arial" w:cs="Arial"/>
          <w:sz w:val="32"/>
          <w:szCs w:val="32"/>
          <w:lang w:val="en-US" w:eastAsia="zh-CN"/>
        </w:rPr>
        <w:tab/>
      </w:r>
      <w:r>
        <w:rPr>
          <w:rFonts w:hint="default" w:ascii="Arial" w:hAnsi="Arial" w:cs="Arial"/>
          <w:sz w:val="32"/>
          <w:szCs w:val="32"/>
          <w:lang w:val="en-US" w:eastAsia="zh-CN"/>
        </w:rPr>
        <w:t>UC</w:t>
      </w:r>
      <w:r>
        <w:rPr>
          <w:rFonts w:hint="eastAsia" w:ascii="Arial" w:hAnsi="Arial" w:cs="Arial"/>
          <w:sz w:val="32"/>
          <w:szCs w:val="32"/>
          <w:lang w:val="en-US" w:eastAsia="zh-CN"/>
        </w:rPr>
        <w:t>5</w:t>
      </w:r>
      <w:r>
        <w:rPr>
          <w:rFonts w:hint="default" w:ascii="Arial" w:hAnsi="Arial" w:cs="Arial"/>
          <w:sz w:val="32"/>
          <w:szCs w:val="32"/>
          <w:lang w:val="en-US" w:eastAsia="zh-CN"/>
        </w:rPr>
        <w:t>: Artificial Intelligence-</w:t>
      </w:r>
      <w:r>
        <w:rPr>
          <w:rFonts w:hint="eastAsia" w:ascii="Arial" w:hAnsi="Arial" w:cs="Arial"/>
          <w:sz w:val="32"/>
          <w:szCs w:val="32"/>
          <w:lang w:val="en-US" w:eastAsia="zh-CN"/>
        </w:rPr>
        <w:t>Based Avatar</w:t>
      </w:r>
    </w:p>
    <w:bookmarkEnd w:id="0"/>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96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c>
          <w:tcPr>
            <w:tcW w:w="9631" w:type="dxa"/>
            <w:shd w:val="clear" w:color="auto" w:fill="auto"/>
          </w:tcPr>
          <w:p>
            <w:pPr>
              <w:rPr>
                <w:b/>
              </w:rPr>
            </w:pPr>
            <w:r>
              <w:rPr>
                <w:b/>
              </w:rPr>
              <w:t>TR22.856 Reference Use Case(s)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c>
          <w:tcPr>
            <w:tcW w:w="9631" w:type="dxa"/>
            <w:shd w:val="clear" w:color="auto" w:fill="auto"/>
          </w:tcPr>
          <w:p>
            <w:pPr>
              <w:rPr>
                <w:rFonts w:hint="default" w:eastAsia="宋体"/>
                <w:lang w:val="en-US" w:eastAsia="zh-CN"/>
              </w:rPr>
            </w:pPr>
            <w:r>
              <w:rPr>
                <w:lang w:val="en-US"/>
              </w:rPr>
              <w:t>5.</w:t>
            </w:r>
            <w:r>
              <w:rPr>
                <w:rFonts w:hint="eastAsia" w:eastAsia="宋体"/>
                <w:lang w:val="en-US" w:eastAsia="zh-CN"/>
              </w:rPr>
              <w:t>12</w:t>
            </w:r>
            <w:r>
              <w:rPr>
                <w:lang w:val="en-US"/>
              </w:rPr>
              <w:t xml:space="preserve"> </w:t>
            </w:r>
            <w:r>
              <w:rPr>
                <w:rFonts w:hint="eastAsia" w:eastAsia="宋体"/>
                <w:lang w:val="en-US" w:eastAsia="zh-CN"/>
              </w:rPr>
              <w:t>Use Cases on Virtual humans in metaverse</w:t>
            </w:r>
          </w:p>
          <w:p>
            <w:pPr>
              <w:rPr>
                <w:rFonts w:hint="default" w:eastAsia="宋体"/>
                <w:lang w:val="en-US" w:eastAsia="zh-CN"/>
              </w:rPr>
            </w:pPr>
            <w:r>
              <w:rPr>
                <w:rFonts w:hint="eastAsia" w:eastAsia="宋体"/>
                <w:lang w:val="en-US" w:eastAsia="zh-CN"/>
              </w:rPr>
              <w:t>5.17 Use Cases on Work delegation to autonomous virtual alter ego</w:t>
            </w:r>
          </w:p>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c>
          <w:tcPr>
            <w:tcW w:w="9631" w:type="dxa"/>
            <w:shd w:val="clear" w:color="auto" w:fill="auto"/>
          </w:tcPr>
          <w:p>
            <w:pPr>
              <w:rPr>
                <w:b/>
              </w:rPr>
            </w:pPr>
            <w:r>
              <w:rPr>
                <w:b/>
              </w:rPr>
              <w:t>Description: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c>
          <w:tcPr>
            <w:tcW w:w="9631" w:type="dxa"/>
            <w:shd w:val="clear" w:color="auto" w:fill="auto"/>
          </w:tcPr>
          <w:p>
            <w:r>
              <w:t>An AI avatar is a digital character powered by artificial intelligence, which lives in a virtual setting, like a game, social network or online world. More frequently avatars are designed as human-like bots that can be controlled by real human using AI technologies and can easily engage with real humans and maintain relationship - to varying degrees - with them.</w:t>
            </w:r>
          </w:p>
          <w:p>
            <w:pPr>
              <w:rPr>
                <w:rFonts w:hint="eastAsia"/>
                <w:lang w:val="en-US" w:eastAsia="zh-CN"/>
              </w:rPr>
            </w:pPr>
          </w:p>
          <w:p>
            <w:r>
              <w:t>This use case proposes a communication with an autonomous virtual alter ego, which is an AI-based digital representation</w:t>
            </w:r>
            <w:r>
              <w:rPr>
                <w:lang w:eastAsia="ja-JP"/>
              </w:rPr>
              <w:t xml:space="preserve"> acting</w:t>
            </w:r>
            <w:r>
              <w:t xml:space="preserve"> autonomously on behalf of a user herself/himself in the mobile metaverse services.</w:t>
            </w:r>
            <w:r>
              <w:rPr>
                <w:rFonts w:hint="eastAsia"/>
                <w:lang w:eastAsia="ja-JP"/>
              </w:rPr>
              <w:t xml:space="preserve"> </w:t>
            </w:r>
            <w:r>
              <w:rPr>
                <w:lang w:eastAsia="ja-JP"/>
              </w:rPr>
              <w:t>For example, user's autonomous virtual alter ego autonomously sends a mail to clients on user’s behalf. Also, the alter ego can autonomously communicate with the user, other physical users, and other alter ego by using the network capabilities based on the user’s 3GPP subscription.</w:t>
            </w:r>
            <w:r>
              <w:t xml:space="preserve"> Therefore, the use of network by the alter ego has to be captured correctly by the network from charging point of view. </w:t>
            </w:r>
          </w:p>
          <w:p>
            <w:pPr>
              <w:pStyle w:val="19"/>
            </w:pPr>
            <w:r>
              <w:t>NOTE:</w:t>
            </w:r>
            <w:r>
              <w:tab/>
            </w:r>
            <w:r>
              <w:t>The term "autonomous virtual alter ego" means an AI-based digital representation behaving autonomously on behalf of a user herself/himself in the mobile metaverse services.</w:t>
            </w:r>
          </w:p>
          <w:p>
            <w:r>
              <w:t>All the experience and knowledge performed both in physical world and metaverse will be shared between the alter ego and its user, thus creating more than double the opportunities to play multiple roles simultaneously. This autonomous virtual alter ego concept aims to improve emotional well–being, health, and life satisfaction by enabling users to perceive many opportunities in life, such as balancing work and family and participating in many communities simultaneously.</w:t>
            </w:r>
          </w:p>
          <w:p>
            <w:pPr>
              <w:jc w:val="both"/>
              <w:rPr>
                <w:lang w:eastAsia="zh-CN"/>
              </w:rPr>
            </w:pPr>
          </w:p>
          <w:p>
            <w:pPr>
              <w:rPr>
                <w:rFonts w:cs="Arial"/>
                <w:lang w:eastAsia="zh-CN"/>
              </w:rPr>
            </w:pPr>
            <w:r>
              <w:rPr>
                <w:rFonts w:cs="Arial"/>
                <w:lang w:eastAsia="zh-CN"/>
              </w:rPr>
              <w:t>A potential user experience is described as a user story:</w:t>
            </w:r>
          </w:p>
          <w:p>
            <w:pPr>
              <w:rPr>
                <w:rFonts w:hint="eastAsia" w:eastAsia="宋体"/>
                <w:lang w:val="en-US" w:eastAsia="zh-CN"/>
              </w:rPr>
            </w:pPr>
            <w:r>
              <w:rPr>
                <w:rFonts w:hint="eastAsia" w:eastAsia="宋体"/>
                <w:lang w:val="en-US" w:eastAsia="zh-CN"/>
              </w:rPr>
              <w:t>John faces a scheduling conflict between an important F2F client meeting and an internal web meeting. To tackle this problem, he connects to the alter ego application via his UE and asks his virtual alter ego (e.g., AI avatar) to participate in the internal web meeting on his behalf. The alter ego first checks and evaluates whether the network resources on 5GS and computing resources on the alter ego server are sufficient to execute the requested tasks. If deemed feasible, the enabler server proceeds to train the alter ego and execute the agree-upon tasks. Otherwise, it proposes alternative task examples to John, based on its current resources.</w:t>
            </w:r>
          </w:p>
          <w:p>
            <w:pPr>
              <w:rPr>
                <w:rFonts w:hint="eastAsia" w:eastAsia="宋体"/>
                <w:lang w:val="en-US" w:eastAsia="zh-CN"/>
              </w:rPr>
            </w:pPr>
          </w:p>
          <w:p>
            <w:pPr>
              <w:rPr>
                <w:rFonts w:hint="eastAsia" w:eastAsia="宋体"/>
                <w:lang w:val="en-US" w:eastAsia="zh-CN"/>
              </w:rPr>
            </w:pPr>
            <w:r>
              <w:rPr>
                <w:rFonts w:hint="eastAsia" w:eastAsia="宋体"/>
                <w:lang w:val="en-US" w:eastAsia="zh-CN"/>
              </w:rPr>
              <w:t xml:space="preserve">The alter ego accesses the web meeting server and the necessary meeting information via internet or 5GS by receiving the permission from John and web meeting server. During the meeting, the alter ego interacts with other attendees, including humans and other virtual alter egos, by explaining, asking questions, or making comments. After the meeting, the alter ego autonomously </w:t>
            </w:r>
            <w:r>
              <w:rPr>
                <w:rFonts w:hint="default" w:eastAsia="宋体"/>
                <w:lang w:val="en-US" w:eastAsia="zh-CN"/>
              </w:rPr>
              <w:t>reports back to John</w:t>
            </w:r>
            <w:r>
              <w:rPr>
                <w:rFonts w:hint="eastAsia" w:eastAsia="宋体"/>
                <w:lang w:val="en-US" w:eastAsia="zh-CN"/>
              </w:rPr>
              <w:t>,</w:t>
            </w:r>
            <w:r>
              <w:rPr>
                <w:rFonts w:hint="default" w:eastAsia="宋体"/>
                <w:lang w:val="en-US" w:eastAsia="zh-CN"/>
              </w:rPr>
              <w:t xml:space="preserve"> allowing John to provide feedback and new instructions if necessary.</w:t>
            </w:r>
            <w:r>
              <w:rPr>
                <w:rFonts w:hint="eastAsia" w:eastAsia="宋体"/>
                <w:lang w:val="en-US" w:eastAsia="zh-CN"/>
              </w:rPr>
              <w:t xml:space="preserve"> Additionally, the charging information is collected and linked to user</w:t>
            </w:r>
            <w:r>
              <w:rPr>
                <w:rFonts w:hint="default" w:eastAsia="宋体"/>
                <w:lang w:val="en-US" w:eastAsia="zh-CN"/>
              </w:rPr>
              <w:t>’</w:t>
            </w:r>
            <w:r>
              <w:rPr>
                <w:rFonts w:hint="eastAsia" w:eastAsia="宋体"/>
                <w:lang w:val="en-US" w:eastAsia="zh-CN"/>
              </w:rPr>
              <w:t>s charging information to charge the user subscribing the alter ego service.</w:t>
            </w:r>
          </w:p>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c>
          <w:tcPr>
            <w:tcW w:w="9631" w:type="dxa"/>
            <w:shd w:val="clear" w:color="auto" w:fill="auto"/>
          </w:tcPr>
          <w:p>
            <w:pPr>
              <w:rPr>
                <w:b/>
                <w:color w:val="FFFFFF"/>
              </w:rPr>
            </w:pPr>
            <w:r>
              <w:rPr>
                <w:b/>
                <w:highlight w:val="yellow"/>
              </w:rPr>
              <w:t>Categorization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c>
          <w:tcPr>
            <w:tcW w:w="9631" w:type="dxa"/>
            <w:shd w:val="clear" w:color="auto" w:fill="auto"/>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c>
          <w:tcPr>
            <w:tcW w:w="9631" w:type="dxa"/>
            <w:shd w:val="clear" w:color="auto" w:fill="auto"/>
          </w:tcPr>
          <w:p>
            <w:pPr>
              <w:rPr>
                <w:b/>
                <w:color w:val="FFFFFF"/>
              </w:rPr>
            </w:pPr>
            <w:r>
              <w:rPr>
                <w:b/>
              </w:rPr>
              <w:t>Preconditions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c>
          <w:tcPr>
            <w:tcW w:w="9631" w:type="dxa"/>
            <w:shd w:val="clear" w:color="auto" w:fill="auto"/>
          </w:tcPr>
          <w:p>
            <w:pPr>
              <w:pStyle w:val="16"/>
              <w:numPr>
                <w:ilvl w:val="0"/>
                <w:numId w:val="2"/>
              </w:numPr>
              <w:spacing w:after="0"/>
              <w:rPr>
                <w:rFonts w:cs="Arial" w:eastAsiaTheme="minorHAnsi"/>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c>
          <w:tcPr>
            <w:tcW w:w="9631" w:type="dxa"/>
            <w:shd w:val="clear" w:color="auto" w:fill="auto"/>
          </w:tcPr>
          <w:p>
            <w:pPr>
              <w:rPr>
                <w:b/>
                <w:color w:val="FFFFFF"/>
              </w:rPr>
            </w:pPr>
            <w:r>
              <w:rPr>
                <w:b/>
              </w:rPr>
              <w:t>Potential Requirements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c>
          <w:tcPr>
            <w:tcW w:w="9631" w:type="dxa"/>
            <w:shd w:val="clear" w:color="auto" w:fill="auto"/>
          </w:tcPr>
          <w:p>
            <w:pPr>
              <w:pStyle w:val="17"/>
              <w:spacing w:after="0"/>
            </w:pPr>
            <w:r>
              <w:t>[</w:t>
            </w:r>
          </w:p>
          <w:p>
            <w:pPr>
              <w:pStyle w:val="16"/>
              <w:numPr>
                <w:ilvl w:val="0"/>
                <w:numId w:val="3"/>
              </w:numPr>
              <w:spacing w:after="0"/>
              <w:jc w:val="both"/>
              <w:rPr>
                <w:lang w:eastAsia="zh-CN"/>
              </w:rPr>
            </w:pPr>
            <w:r>
              <w:rPr>
                <w:lang w:val="en-US" w:eastAsia="zh-CN" w:bidi="ar"/>
              </w:rPr>
              <w:t>AI/ML model transfer in</w:t>
            </w:r>
            <w:r>
              <w:rPr>
                <w:rFonts w:hint="eastAsia"/>
                <w:lang w:val="en-US" w:eastAsia="zh-CN" w:bidi="ar"/>
              </w:rPr>
              <w:t xml:space="preserve"> </w:t>
            </w:r>
            <w:r>
              <w:rPr>
                <w:lang w:eastAsia="ja-JP"/>
              </w:rPr>
              <w:t>frameworks documented in TR 23.700-80</w:t>
            </w:r>
            <w:r>
              <w:rPr>
                <w:highlight w:val="none"/>
                <w:lang w:eastAsia="ja-JP"/>
              </w:rPr>
              <w:t xml:space="preserve"> [</w:t>
            </w:r>
            <w:r>
              <w:rPr>
                <w:rFonts w:hint="eastAsia" w:eastAsia="宋体"/>
                <w:highlight w:val="none"/>
                <w:lang w:val="en-US" w:eastAsia="zh-CN"/>
              </w:rPr>
              <w:t>7</w:t>
            </w:r>
            <w:r>
              <w:rPr>
                <w:highlight w:val="none"/>
                <w:lang w:eastAsia="ja-JP"/>
              </w:rPr>
              <w:t>]</w:t>
            </w:r>
            <w:r>
              <w:rPr>
                <w:rFonts w:hint="eastAsia" w:eastAsia="宋体"/>
                <w:highlight w:val="none"/>
                <w:lang w:val="en-US" w:eastAsia="zh-CN"/>
              </w:rPr>
              <w:t>.</w:t>
            </w:r>
          </w:p>
          <w:p>
            <w:pPr>
              <w:pStyle w:val="16"/>
              <w:numPr>
                <w:ilvl w:val="0"/>
                <w:numId w:val="3"/>
              </w:numPr>
              <w:spacing w:after="0"/>
              <w:jc w:val="both"/>
              <w:rPr>
                <w:rFonts w:hint="default"/>
                <w:lang w:val="en-US" w:eastAsia="zh-CN"/>
              </w:rPr>
            </w:pPr>
            <w:r>
              <w:rPr>
                <w:rFonts w:hint="default"/>
                <w:lang w:val="en-US" w:eastAsia="zh-CN"/>
              </w:rPr>
              <w:t>Securely register</w:t>
            </w:r>
            <w:r>
              <w:rPr>
                <w:rFonts w:hint="eastAsia"/>
                <w:lang w:val="en-US" w:eastAsia="zh-CN"/>
              </w:rPr>
              <w:t>ing</w:t>
            </w:r>
            <w:r>
              <w:rPr>
                <w:rFonts w:hint="default"/>
                <w:lang w:val="en-US" w:eastAsia="zh-CN"/>
              </w:rPr>
              <w:t>, stor</w:t>
            </w:r>
            <w:r>
              <w:rPr>
                <w:rFonts w:hint="eastAsia"/>
                <w:lang w:val="en-US" w:eastAsia="zh-CN"/>
              </w:rPr>
              <w:t>ing</w:t>
            </w:r>
            <w:r>
              <w:rPr>
                <w:rFonts w:hint="default"/>
                <w:lang w:val="en-US" w:eastAsia="zh-CN"/>
              </w:rPr>
              <w:t xml:space="preserve"> and updat</w:t>
            </w:r>
            <w:r>
              <w:rPr>
                <w:rFonts w:hint="eastAsia"/>
                <w:lang w:val="en-US" w:eastAsia="zh-CN"/>
              </w:rPr>
              <w:t>ing</w:t>
            </w:r>
            <w:r>
              <w:rPr>
                <w:rFonts w:hint="default"/>
                <w:lang w:val="en-US" w:eastAsia="zh-CN"/>
              </w:rPr>
              <w:t xml:space="preserve"> the </w:t>
            </w:r>
            <w:r>
              <w:t>AI-based digital representation</w:t>
            </w:r>
            <w:r>
              <w:rPr>
                <w:rFonts w:hint="eastAsia"/>
                <w:lang w:val="en-US" w:eastAsia="zh-CN"/>
              </w:rPr>
              <w:t xml:space="preserve"> (e.g., AI avatar)</w:t>
            </w:r>
            <w:r>
              <w:rPr>
                <w:rFonts w:hint="default"/>
                <w:lang w:val="en-US" w:eastAsia="zh-CN"/>
              </w:rPr>
              <w:t xml:space="preserve"> for a user.</w:t>
            </w:r>
          </w:p>
          <w:p>
            <w:pPr>
              <w:pStyle w:val="16"/>
              <w:numPr>
                <w:ilvl w:val="0"/>
                <w:numId w:val="3"/>
              </w:numPr>
              <w:spacing w:after="0"/>
              <w:jc w:val="both"/>
              <w:rPr>
                <w:rFonts w:hint="default"/>
                <w:lang w:val="en-US" w:eastAsia="zh-CN"/>
              </w:rPr>
            </w:pPr>
            <w:r>
              <w:rPr>
                <w:rFonts w:hint="eastAsia"/>
                <w:lang w:val="en-US" w:eastAsia="zh-CN"/>
              </w:rPr>
              <w:t xml:space="preserve">Assisting the authentication of a third party to use </w:t>
            </w:r>
            <w:r>
              <w:t>subscriber’s digital representation (e.g.,</w:t>
            </w:r>
            <w:r>
              <w:rPr>
                <w:rFonts w:hint="eastAsia" w:eastAsia="宋体"/>
                <w:lang w:val="en-US" w:eastAsia="zh-CN"/>
              </w:rPr>
              <w:t xml:space="preserve"> </w:t>
            </w:r>
            <w:r>
              <w:rPr>
                <w:rFonts w:hint="eastAsia"/>
                <w:lang w:val="en-US" w:eastAsia="zh-CN"/>
              </w:rPr>
              <w:t>AI avatar</w:t>
            </w:r>
            <w:r>
              <w:t>) and to access multimedia communication services on behalf of the subscriber.</w:t>
            </w:r>
            <w:r>
              <w:rPr>
                <w:lang w:eastAsia="ja-JP"/>
              </w:rPr>
              <w:t xml:space="preserve"> </w:t>
            </w:r>
          </w:p>
          <w:p>
            <w:pPr>
              <w:pStyle w:val="16"/>
              <w:numPr>
                <w:ilvl w:val="0"/>
                <w:numId w:val="3"/>
              </w:numPr>
              <w:spacing w:after="0"/>
              <w:jc w:val="both"/>
              <w:rPr>
                <w:rFonts w:hint="default"/>
                <w:lang w:val="en-US" w:eastAsia="zh-CN"/>
              </w:rPr>
            </w:pPr>
            <w:r>
              <w:rPr>
                <w:rFonts w:hint="eastAsia"/>
                <w:lang w:val="en-US" w:eastAsia="zh-CN"/>
              </w:rPr>
              <w:t>Providing storage space that a user can use to store application specific data and information about himself in the network.</w:t>
            </w:r>
          </w:p>
          <w:p>
            <w:pPr>
              <w:pStyle w:val="16"/>
              <w:numPr>
                <w:ilvl w:val="0"/>
                <w:numId w:val="3"/>
              </w:numPr>
              <w:spacing w:after="0"/>
              <w:jc w:val="both"/>
              <w:rPr>
                <w:rFonts w:hint="eastAsia"/>
                <w:lang w:eastAsia="ja-JP"/>
              </w:rPr>
            </w:pPr>
            <w:r>
              <w:rPr>
                <w:rFonts w:hint="eastAsia"/>
                <w:lang w:val="en-US" w:eastAsia="zh-CN"/>
              </w:rPr>
              <w:t>Collecting charging information associated with communication involving a digital representation associated with the subscriber.</w:t>
            </w:r>
          </w:p>
          <w:p>
            <w:pPr>
              <w:pStyle w:val="17"/>
              <w:spacing w:after="0"/>
              <w:ind w:left="0" w:leftChars="0" w:firstLine="0" w:firstLineChars="0"/>
            </w:pPr>
          </w:p>
          <w:p>
            <w:pPr>
              <w:pStyle w:val="17"/>
              <w:spacing w:after="0"/>
            </w:pPr>
            <w: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c>
          <w:tcPr>
            <w:tcW w:w="9631" w:type="dxa"/>
            <w:shd w:val="clear" w:color="auto" w:fill="auto"/>
          </w:tcPr>
          <w:p>
            <w:pPr>
              <w:rPr>
                <w:b/>
                <w:color w:val="FFFFFF"/>
              </w:rPr>
            </w:pPr>
            <w:r>
              <w:rPr>
                <w:b/>
                <w:highlight w:val="yellow"/>
              </w:rPr>
              <w:t>Feasibility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c>
          <w:tcPr>
            <w:tcW w:w="9631" w:type="dxa"/>
            <w:shd w:val="clear" w:color="auto" w:fill="auto"/>
          </w:tcPr>
          <w:p>
            <w:pPr>
              <w:ind w:left="30"/>
              <w:rPr>
                <w:rFonts w:ascii="Calibri" w:hAnsi="Calibri" w:cs="Arial" w:eastAsiaTheme="minorHAnsi"/>
                <w:sz w:val="22"/>
                <w:szCs w:val="22"/>
              </w:rPr>
            </w:pPr>
          </w:p>
        </w:tc>
      </w:tr>
    </w:tbl>
    <w:p>
      <w:pPr>
        <w:pStyle w:val="2"/>
        <w:numPr>
          <w:ilvl w:val="0"/>
          <w:numId w:val="0"/>
        </w:numPr>
        <w:ind w:leftChars="0" w:right="284" w:rightChars="0"/>
        <w:rPr>
          <w:rFonts w:hint="eastAsia" w:ascii="Times New Roman" w:hAnsi="Times New Roman" w:eastAsia="宋体" w:cs="Times New Roman"/>
          <w:b w:val="0"/>
          <w:bCs/>
          <w:sz w:val="28"/>
          <w:szCs w:val="28"/>
          <w:lang w:val="en-US" w:eastAsia="zh-CN"/>
        </w:rPr>
      </w:pPr>
    </w:p>
    <w:p>
      <w:pPr>
        <w:pStyle w:val="2"/>
        <w:numPr>
          <w:ilvl w:val="0"/>
          <w:numId w:val="0"/>
        </w:numPr>
        <w:ind w:leftChars="0" w:right="284" w:rightChars="0"/>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4</w:t>
      </w:r>
      <w:r>
        <w:rPr>
          <w:rFonts w:hint="eastAsia" w:ascii="Times New Roman" w:hAnsi="Times New Roman" w:eastAsia="宋体" w:cs="Times New Roman"/>
          <w:b w:val="0"/>
          <w:bCs/>
          <w:sz w:val="28"/>
          <w:szCs w:val="28"/>
          <w:lang w:val="en-US" w:eastAsia="zh-CN"/>
        </w:rPr>
        <w:tab/>
      </w:r>
      <w:r>
        <w:rPr>
          <w:rFonts w:hint="eastAsia" w:ascii="Times New Roman" w:hAnsi="Times New Roman" w:eastAsia="宋体" w:cs="Times New Roman"/>
          <w:b w:val="0"/>
          <w:bCs/>
          <w:sz w:val="28"/>
          <w:szCs w:val="28"/>
          <w:lang w:val="en-US" w:eastAsia="zh-CN"/>
        </w:rPr>
        <w:t>Proposal</w:t>
      </w:r>
    </w:p>
    <w:p>
      <w:pPr>
        <w:rPr>
          <w:rFonts w:hint="default" w:eastAsia="宋体"/>
          <w:lang w:val="en-US" w:eastAsia="zh-CN"/>
        </w:rPr>
      </w:pPr>
      <w:r>
        <w:rPr>
          <w:lang w:val="en-US"/>
        </w:rPr>
        <w:t xml:space="preserve">We propose to </w:t>
      </w:r>
      <w:r>
        <w:rPr>
          <w:rFonts w:hint="eastAsia" w:eastAsia="宋体"/>
          <w:lang w:val="en-US" w:eastAsia="zh-CN"/>
        </w:rPr>
        <w:t>include</w:t>
      </w:r>
      <w:r>
        <w:rPr>
          <w:lang w:val="en-US"/>
        </w:rPr>
        <w:t xml:space="preserve"> </w:t>
      </w:r>
      <w:r>
        <w:rPr>
          <w:rFonts w:hint="eastAsia" w:eastAsia="宋体"/>
          <w:lang w:val="en-US" w:eastAsia="zh-CN"/>
        </w:rPr>
        <w:t>section 3 of this document into the FS_AVATAR TR document as a relevant use case.</w:t>
      </w:r>
    </w:p>
    <w:p>
      <w:pPr>
        <w:rPr>
          <w:rFonts w:hint="default" w:eastAsia="宋体"/>
          <w:lang w:val="en-US" w:eastAsia="zh-CN"/>
        </w:rPr>
      </w:pPr>
    </w:p>
    <w:p>
      <w:pPr>
        <w:pStyle w:val="2"/>
        <w:numPr>
          <w:ilvl w:val="0"/>
          <w:numId w:val="0"/>
        </w:numPr>
        <w:ind w:leftChars="0" w:right="284" w:rightChars="0"/>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5</w:t>
      </w:r>
      <w:r>
        <w:rPr>
          <w:rFonts w:hint="eastAsia" w:ascii="Times New Roman" w:hAnsi="Times New Roman" w:eastAsia="宋体" w:cs="Times New Roman"/>
          <w:b w:val="0"/>
          <w:bCs/>
          <w:sz w:val="28"/>
          <w:szCs w:val="28"/>
          <w:lang w:val="en-US" w:eastAsia="zh-CN"/>
        </w:rPr>
        <w:tab/>
      </w:r>
      <w:r>
        <w:rPr>
          <w:rFonts w:hint="eastAsia" w:ascii="Times New Roman" w:hAnsi="Times New Roman" w:eastAsia="宋体" w:cs="Times New Roman"/>
          <w:b w:val="0"/>
          <w:bCs/>
          <w:sz w:val="28"/>
          <w:szCs w:val="28"/>
          <w:lang w:val="en-US" w:eastAsia="zh-CN"/>
        </w:rPr>
        <w:t>References</w:t>
      </w:r>
    </w:p>
    <w:p>
      <w:pPr>
        <w:numPr>
          <w:ilvl w:val="0"/>
          <w:numId w:val="0"/>
        </w:numPr>
        <w:rPr>
          <w:rFonts w:hint="eastAsia" w:eastAsia="宋体"/>
          <w:lang w:val="en-US" w:eastAsia="zh-CN"/>
        </w:rPr>
      </w:pPr>
      <w:r>
        <w:rPr>
          <w:rFonts w:hint="eastAsia" w:eastAsia="宋体"/>
          <w:lang w:val="en-US" w:eastAsia="zh-CN"/>
        </w:rPr>
        <w:t xml:space="preserve">[1]  Qin, Hua Xuan &amp; Hui, Pan. (2023). Empowering the Metaverse with Generative AI: Survey and Future Directions. </w:t>
      </w:r>
    </w:p>
    <w:p>
      <w:pPr>
        <w:numPr>
          <w:ilvl w:val="0"/>
          <w:numId w:val="0"/>
        </w:numPr>
        <w:rPr>
          <w:rFonts w:hint="eastAsia" w:eastAsia="宋体"/>
          <w:lang w:val="en-US" w:eastAsia="zh-CN"/>
        </w:rPr>
      </w:pPr>
      <w:r>
        <w:rPr>
          <w:rFonts w:hint="eastAsia" w:eastAsia="宋体"/>
          <w:lang w:val="en-US" w:eastAsia="zh-CN"/>
        </w:rPr>
        <w:t xml:space="preserve">[2]  Du, H., Li, Z., Niyato, D.T., Kang, J., Xiong, Z., Shen, X.S., &amp; Kim, D.I. (2023). Enabling AI-Generated Content </w:t>
      </w:r>
    </w:p>
    <w:p>
      <w:pPr>
        <w:numPr>
          <w:ilvl w:val="0"/>
          <w:numId w:val="0"/>
        </w:numPr>
        <w:ind w:firstLine="420" w:firstLineChars="0"/>
        <w:rPr>
          <w:rFonts w:hint="eastAsia" w:eastAsia="宋体"/>
          <w:lang w:val="en-US" w:eastAsia="zh-CN"/>
        </w:rPr>
      </w:pPr>
      <w:r>
        <w:rPr>
          <w:rFonts w:hint="eastAsia" w:eastAsia="宋体"/>
          <w:lang w:val="en-US" w:eastAsia="zh-CN"/>
        </w:rPr>
        <w:t>(AIGC) Services in Wireless Edge Networks. ArXiv, abs/2301.03220.</w:t>
      </w:r>
    </w:p>
    <w:p>
      <w:pPr>
        <w:numPr>
          <w:ilvl w:val="0"/>
          <w:numId w:val="4"/>
        </w:numPr>
        <w:rPr>
          <w:rFonts w:hint="eastAsia" w:eastAsia="宋体"/>
          <w:lang w:val="en-US" w:eastAsia="zh-CN"/>
        </w:rPr>
      </w:pPr>
      <w:r>
        <w:rPr>
          <w:rFonts w:hint="eastAsia" w:eastAsia="宋体"/>
          <w:lang w:val="en-US" w:eastAsia="zh-CN"/>
        </w:rPr>
        <w:t xml:space="preserve">Lee, L., Zhou, P., Zhang, C., &amp; Hosio, S.J. (2023). What if we have Meta GPT? From Content Singularity to </w:t>
      </w:r>
    </w:p>
    <w:p>
      <w:pPr>
        <w:numPr>
          <w:numId w:val="0"/>
        </w:numPr>
        <w:ind w:firstLine="420" w:firstLineChars="0"/>
        <w:rPr>
          <w:rFonts w:hint="eastAsia" w:eastAsia="宋体"/>
          <w:lang w:val="en-US" w:eastAsia="zh-CN"/>
        </w:rPr>
      </w:pPr>
      <w:r>
        <w:rPr>
          <w:rFonts w:hint="eastAsia" w:eastAsia="宋体"/>
          <w:lang w:val="en-US" w:eastAsia="zh-CN"/>
        </w:rPr>
        <w:t>Human-Metaverse Interaction in AIGC Era.</w:t>
      </w:r>
    </w:p>
    <w:p>
      <w:pPr>
        <w:numPr>
          <w:numId w:val="0"/>
        </w:numPr>
        <w:rPr>
          <w:rFonts w:ascii="Arial" w:hAnsi="Arial" w:cs="Arial"/>
          <w:b/>
          <w:bCs/>
        </w:rPr>
      </w:pPr>
      <w:r>
        <w:rPr>
          <w:rFonts w:hint="eastAsia" w:eastAsia="宋体"/>
          <w:lang w:val="en-US" w:eastAsia="zh-CN"/>
        </w:rPr>
        <w:t>[4]  3GPP TR 22.856: "Feasibility Study on Localized Mobile Metaverse Services".</w:t>
      </w:r>
    </w:p>
    <w:p>
      <w:pPr>
        <w:numPr>
          <w:ilvl w:val="0"/>
          <w:numId w:val="0"/>
        </w:numPr>
        <w:rPr>
          <w:rFonts w:hint="eastAsia"/>
        </w:rPr>
      </w:pPr>
      <w:r>
        <w:rPr>
          <w:rFonts w:hint="eastAsia" w:eastAsia="宋体"/>
          <w:lang w:val="en-US" w:eastAsia="zh-CN"/>
        </w:rPr>
        <w:t xml:space="preserve">[5]  </w:t>
      </w:r>
      <w:r>
        <w:rPr>
          <w:rFonts w:hint="eastAsia"/>
        </w:rPr>
        <w:t xml:space="preserve">Li, Feng-Lin &amp; Zhao, Zhongzhou &amp; Lu, Qin &amp; Lin, Xuming &amp; Chen, Hehong &amp; Chen, Bo &amp; Pu, Liming &amp; Zhang, Jiashuo &amp; Sun, Fu &amp; Liu, Xikai &amp; Xie, Liqun &amp; Huang, Qi &amp; Zhang, Ji &amp; Chen, Haiqing. (2021). AliMe Avatar: Multi-modal Content Production and Presentation for Live-streaming E-commerce. 2635-2636. 10.1145/3404835.3464922. </w:t>
      </w:r>
    </w:p>
    <w:p>
      <w:pPr>
        <w:numPr>
          <w:ilvl w:val="0"/>
          <w:numId w:val="0"/>
        </w:numPr>
        <w:rPr>
          <w:rFonts w:hint="eastAsia" w:eastAsia="宋体"/>
          <w:lang w:val="en-US" w:eastAsia="zh-CN"/>
        </w:rPr>
      </w:pPr>
      <w:r>
        <w:rPr>
          <w:rFonts w:hint="eastAsia" w:eastAsia="宋体"/>
          <w:lang w:val="en-US" w:eastAsia="zh-CN"/>
        </w:rPr>
        <w:t xml:space="preserve">[6]  </w:t>
      </w:r>
      <w:r>
        <w:rPr>
          <w:rFonts w:hint="eastAsia"/>
        </w:rPr>
        <w:fldChar w:fldCharType="begin"/>
      </w:r>
      <w:r>
        <w:rPr>
          <w:rFonts w:hint="eastAsia"/>
        </w:rPr>
        <w:instrText xml:space="preserve"> HYPERLINK "https://www.nvidia.com/en-us/geforce/news/nvidia-ace-for-games-generative-ai-npcs/" </w:instrText>
      </w:r>
      <w:r>
        <w:rPr>
          <w:rFonts w:hint="eastAsia"/>
        </w:rPr>
        <w:fldChar w:fldCharType="separate"/>
      </w:r>
      <w:r>
        <w:rPr>
          <w:rFonts w:hint="eastAsia"/>
        </w:rPr>
        <w:t xml:space="preserve">Introducing NVIDIA ACE For Games - Spark Life Into Virtual Characters With Generative AI | GeForce News | </w:t>
      </w:r>
      <w:r>
        <w:rPr>
          <w:rFonts w:hint="eastAsia" w:eastAsia="宋体"/>
          <w:lang w:val="en-US" w:eastAsia="zh-CN"/>
        </w:rPr>
        <w:tab/>
      </w:r>
      <w:r>
        <w:rPr>
          <w:rFonts w:hint="eastAsia"/>
        </w:rPr>
        <w:t>NVIDIA</w:t>
      </w:r>
      <w:r>
        <w:rPr>
          <w:rFonts w:hint="eastAsia"/>
        </w:rPr>
        <w:fldChar w:fldCharType="end"/>
      </w:r>
      <w:r>
        <w:rPr>
          <w:rFonts w:hint="eastAsia" w:eastAsia="宋体"/>
          <w:lang w:val="en-US" w:eastAsia="zh-CN"/>
        </w:rPr>
        <w:t xml:space="preserve"> https://www.nvidia.com/en-us/geforce/news/nvidia-ace-for-games-generative-ai-npcs/</w:t>
      </w:r>
    </w:p>
    <w:p>
      <w:pPr>
        <w:numPr>
          <w:ilvl w:val="0"/>
          <w:numId w:val="0"/>
        </w:numPr>
      </w:pPr>
      <w:r>
        <w:rPr>
          <w:rFonts w:hint="eastAsia" w:eastAsia="宋体"/>
          <w:lang w:val="en-US" w:eastAsia="zh-CN"/>
        </w:rPr>
        <w:t xml:space="preserve">[7]  </w:t>
      </w:r>
      <w:r>
        <w:rPr>
          <w:rFonts w:hint="eastAsia"/>
        </w:rPr>
        <w:t>3GPP TR 23.700-80: "Study on 5G System Support for AI/ML-based Services".</w:t>
      </w:r>
    </w:p>
    <w:p>
      <w:pPr>
        <w:numPr>
          <w:ilvl w:val="0"/>
          <w:numId w:val="0"/>
        </w:numPr>
        <w:rPr>
          <w:rFonts w:hint="eastAsia" w:eastAsia="宋体"/>
          <w:lang w:val="en-US" w:eastAsia="zh-CN"/>
        </w:rPr>
      </w:pPr>
    </w:p>
    <w:p>
      <w:pPr>
        <w:numPr>
          <w:ilvl w:val="0"/>
          <w:numId w:val="0"/>
        </w:numPr>
        <w:rPr>
          <w:rFonts w:hint="default" w:eastAsia="宋体"/>
          <w:lang w:val="en-US" w:eastAsia="zh-CN"/>
        </w:rPr>
      </w:pPr>
    </w:p>
    <w:p>
      <w:pPr>
        <w:numPr>
          <w:ilvl w:val="0"/>
          <w:numId w:val="0"/>
        </w:numPr>
        <w:rPr>
          <w:rFonts w:ascii="Arial" w:hAnsi="Arial" w:cs="Arial"/>
          <w:b/>
          <w:bCs/>
        </w:rPr>
      </w:pPr>
    </w:p>
    <w:p/>
    <w:sectPr>
      <w:headerReference r:id="rId3" w:type="first"/>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pacing w:after="60"/>
      <w:rPr>
        <w:rFonts w:ascii="Arial" w:hAnsi="Arial" w:eastAsia="바탕"/>
        <w:b/>
        <w:sz w:val="22"/>
        <w:lang w:val="en-GB"/>
      </w:rPr>
    </w:pPr>
    <w:r>
      <w:rPr>
        <w:rFonts w:ascii="Arial" w:hAnsi="Arial" w:eastAsia="바탕"/>
        <w:b/>
        <w:sz w:val="22"/>
      </w:rPr>
      <w:t xml:space="preserve">3GPP TSG </w:t>
    </w:r>
    <w:r>
      <w:rPr>
        <w:rFonts w:hint="eastAsia" w:ascii="Arial" w:hAnsi="Arial" w:eastAsia="바탕"/>
        <w:b/>
        <w:sz w:val="22"/>
      </w:rPr>
      <w:t>SA4-e (AH) Video SWG post 12</w:t>
    </w:r>
    <w:r>
      <w:rPr>
        <w:rFonts w:hint="eastAsia" w:ascii="Arial" w:hAnsi="Arial" w:eastAsia="宋体"/>
        <w:b/>
        <w:sz w:val="22"/>
        <w:lang w:val="en-US" w:eastAsia="zh-CN"/>
      </w:rPr>
      <w:t>5e</w:t>
    </w:r>
    <w:r>
      <w:rPr>
        <w:rFonts w:ascii="Arial" w:hAnsi="Arial" w:eastAsia="바탕"/>
        <w:b/>
        <w:sz w:val="22"/>
      </w:rPr>
      <w:t xml:space="preserve">                            </w:t>
    </w:r>
    <w:r>
      <w:rPr>
        <w:rFonts w:hint="eastAsia" w:ascii="Arial" w:hAnsi="Arial" w:eastAsia="宋体"/>
        <w:b/>
        <w:sz w:val="22"/>
        <w:lang w:val="en-US" w:eastAsia="zh-CN"/>
      </w:rPr>
      <w:tab/>
    </w:r>
    <w:r>
      <w:rPr>
        <w:rFonts w:hint="eastAsia" w:ascii="Arial" w:hAnsi="Arial" w:eastAsia="宋体"/>
        <w:b/>
        <w:sz w:val="22"/>
        <w:lang w:val="en-US" w:eastAsia="zh-CN"/>
      </w:rPr>
      <w:t xml:space="preserve">  S4aV230059</w:t>
    </w:r>
  </w:p>
  <w:p>
    <w:pPr>
      <w:tabs>
        <w:tab w:val="right" w:pos="9639"/>
      </w:tabs>
      <w:spacing w:after="60"/>
    </w:pPr>
    <w:r>
      <w:rPr>
        <w:rFonts w:hint="eastAsia" w:ascii="Arial" w:hAnsi="Arial" w:eastAsia="宋体"/>
        <w:b/>
        <w:sz w:val="22"/>
        <w:lang w:val="en-US" w:eastAsia="zh-CN"/>
      </w:rPr>
      <w:t>Online, 10</w:t>
    </w:r>
    <w:r>
      <w:rPr>
        <w:rFonts w:hint="eastAsia" w:ascii="Arial" w:hAnsi="Arial" w:eastAsia="宋体"/>
        <w:b/>
        <w:sz w:val="22"/>
        <w:vertAlign w:val="superscript"/>
        <w:lang w:val="en-US" w:eastAsia="zh-CN"/>
      </w:rPr>
      <w:t>th</w:t>
    </w:r>
    <w:r>
      <w:rPr>
        <w:rFonts w:ascii="Arial" w:hAnsi="Arial" w:eastAsia="Malgun Gothic"/>
        <w:b/>
        <w:sz w:val="22"/>
      </w:rPr>
      <w:t xml:space="preserve"> </w:t>
    </w:r>
    <w:r>
      <w:rPr>
        <w:rFonts w:hint="eastAsia" w:ascii="Arial" w:hAnsi="Arial" w:eastAsia="宋体"/>
        <w:b/>
        <w:sz w:val="22"/>
        <w:lang w:val="en-US" w:eastAsia="zh-CN"/>
      </w:rPr>
      <w:t>October</w:t>
    </w:r>
    <w:r>
      <w:rPr>
        <w:rFonts w:ascii="Arial" w:hAnsi="Arial" w:eastAsia="Malgun Gothic"/>
        <w:b/>
        <w:sz w:val="22"/>
        <w:lang w:eastAsia="ko-KR"/>
      </w:rPr>
      <w:t xml:space="preserve">, </w:t>
    </w:r>
    <w:r>
      <w:rPr>
        <w:rFonts w:ascii="Arial" w:hAnsi="Arial" w:eastAsia="Malgun Gothic"/>
        <w:b/>
        <w:sz w:val="22"/>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E73CC"/>
    <w:multiLevelType w:val="singleLevel"/>
    <w:tmpl w:val="0A0E73CC"/>
    <w:lvl w:ilvl="0" w:tentative="0">
      <w:start w:val="3"/>
      <w:numFmt w:val="decimal"/>
      <w:lvlText w:val="[%1]"/>
      <w:lvlJc w:val="left"/>
    </w:lvl>
  </w:abstractNum>
  <w:abstractNum w:abstractNumId="1">
    <w:nsid w:val="18227715"/>
    <w:multiLevelType w:val="multilevel"/>
    <w:tmpl w:val="18227715"/>
    <w:lvl w:ilvl="0" w:tentative="0">
      <w:start w:val="0"/>
      <w:numFmt w:val="bullet"/>
      <w:lvlText w:val="–"/>
      <w:lvlJc w:val="left"/>
      <w:pPr>
        <w:ind w:left="720" w:hanging="360"/>
      </w:pPr>
      <w:rPr>
        <w:rFonts w:hint="default" w:ascii="Calibri" w:hAnsi="Calibri" w:eastAsia="Times New Roman"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
    <w:nsid w:val="5B5C22E1"/>
    <w:multiLevelType w:val="multilevel"/>
    <w:tmpl w:val="5B5C22E1"/>
    <w:lvl w:ilvl="0" w:tentative="0">
      <w:start w:val="1"/>
      <w:numFmt w:val="bullet"/>
      <w:lvlText w:val=""/>
      <w:lvlJc w:val="left"/>
      <w:pPr>
        <w:ind w:left="1140" w:hanging="360"/>
      </w:pPr>
      <w:rPr>
        <w:rFonts w:hint="default" w:ascii="Symbol" w:hAnsi="Symbol"/>
      </w:rPr>
    </w:lvl>
    <w:lvl w:ilvl="1" w:tentative="0">
      <w:start w:val="1"/>
      <w:numFmt w:val="bullet"/>
      <w:lvlText w:val="o"/>
      <w:lvlJc w:val="left"/>
      <w:pPr>
        <w:ind w:left="1860" w:hanging="360"/>
      </w:pPr>
      <w:rPr>
        <w:rFonts w:hint="default" w:ascii="Courier New" w:hAnsi="Courier New" w:cs="Courier New"/>
      </w:rPr>
    </w:lvl>
    <w:lvl w:ilvl="2" w:tentative="0">
      <w:start w:val="1"/>
      <w:numFmt w:val="bullet"/>
      <w:lvlText w:val=""/>
      <w:lvlJc w:val="left"/>
      <w:pPr>
        <w:ind w:left="2580" w:hanging="360"/>
      </w:pPr>
      <w:rPr>
        <w:rFonts w:hint="default" w:ascii="Wingdings" w:hAnsi="Wingdings"/>
      </w:rPr>
    </w:lvl>
    <w:lvl w:ilvl="3" w:tentative="0">
      <w:start w:val="1"/>
      <w:numFmt w:val="bullet"/>
      <w:lvlText w:val=""/>
      <w:lvlJc w:val="left"/>
      <w:pPr>
        <w:ind w:left="3300" w:hanging="360"/>
      </w:pPr>
      <w:rPr>
        <w:rFonts w:hint="default" w:ascii="Symbol" w:hAnsi="Symbol"/>
      </w:rPr>
    </w:lvl>
    <w:lvl w:ilvl="4" w:tentative="0">
      <w:start w:val="1"/>
      <w:numFmt w:val="bullet"/>
      <w:lvlText w:val="o"/>
      <w:lvlJc w:val="left"/>
      <w:pPr>
        <w:ind w:left="4020" w:hanging="360"/>
      </w:pPr>
      <w:rPr>
        <w:rFonts w:hint="default" w:ascii="Courier New" w:hAnsi="Courier New" w:cs="Courier New"/>
      </w:rPr>
    </w:lvl>
    <w:lvl w:ilvl="5" w:tentative="0">
      <w:start w:val="1"/>
      <w:numFmt w:val="bullet"/>
      <w:lvlText w:val=""/>
      <w:lvlJc w:val="left"/>
      <w:pPr>
        <w:ind w:left="4740" w:hanging="360"/>
      </w:pPr>
      <w:rPr>
        <w:rFonts w:hint="default" w:ascii="Wingdings" w:hAnsi="Wingdings"/>
      </w:rPr>
    </w:lvl>
    <w:lvl w:ilvl="6" w:tentative="0">
      <w:start w:val="1"/>
      <w:numFmt w:val="bullet"/>
      <w:lvlText w:val=""/>
      <w:lvlJc w:val="left"/>
      <w:pPr>
        <w:ind w:left="5460" w:hanging="360"/>
      </w:pPr>
      <w:rPr>
        <w:rFonts w:hint="default" w:ascii="Symbol" w:hAnsi="Symbol"/>
      </w:rPr>
    </w:lvl>
    <w:lvl w:ilvl="7" w:tentative="0">
      <w:start w:val="1"/>
      <w:numFmt w:val="bullet"/>
      <w:lvlText w:val="o"/>
      <w:lvlJc w:val="left"/>
      <w:pPr>
        <w:ind w:left="6180" w:hanging="360"/>
      </w:pPr>
      <w:rPr>
        <w:rFonts w:hint="default" w:ascii="Courier New" w:hAnsi="Courier New" w:cs="Courier New"/>
      </w:rPr>
    </w:lvl>
    <w:lvl w:ilvl="8" w:tentative="0">
      <w:start w:val="1"/>
      <w:numFmt w:val="bullet"/>
      <w:lvlText w:val=""/>
      <w:lvlJc w:val="left"/>
      <w:pPr>
        <w:ind w:left="6900" w:hanging="36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264CA3"/>
    <w:rsid w:val="000C0513"/>
    <w:rsid w:val="002B49EE"/>
    <w:rsid w:val="00674DBD"/>
    <w:rsid w:val="00B44CA8"/>
    <w:rsid w:val="00E346D9"/>
    <w:rsid w:val="01792276"/>
    <w:rsid w:val="01FC4ADB"/>
    <w:rsid w:val="02095466"/>
    <w:rsid w:val="02205453"/>
    <w:rsid w:val="022C2B1B"/>
    <w:rsid w:val="028C16B2"/>
    <w:rsid w:val="035B7B35"/>
    <w:rsid w:val="03654061"/>
    <w:rsid w:val="0369472B"/>
    <w:rsid w:val="03AE026E"/>
    <w:rsid w:val="03B04070"/>
    <w:rsid w:val="03DD067F"/>
    <w:rsid w:val="048F7B35"/>
    <w:rsid w:val="05780AA6"/>
    <w:rsid w:val="05AE605F"/>
    <w:rsid w:val="063517BC"/>
    <w:rsid w:val="06543379"/>
    <w:rsid w:val="069B4F5F"/>
    <w:rsid w:val="07647B62"/>
    <w:rsid w:val="07E06245"/>
    <w:rsid w:val="0856719C"/>
    <w:rsid w:val="08D7188F"/>
    <w:rsid w:val="09292A93"/>
    <w:rsid w:val="093D4FB7"/>
    <w:rsid w:val="097204B5"/>
    <w:rsid w:val="0B4567BD"/>
    <w:rsid w:val="0BDA3681"/>
    <w:rsid w:val="0CF031C9"/>
    <w:rsid w:val="0D0D34FD"/>
    <w:rsid w:val="0E0C50A5"/>
    <w:rsid w:val="0FB53557"/>
    <w:rsid w:val="0FDC6720"/>
    <w:rsid w:val="10083C0A"/>
    <w:rsid w:val="10202503"/>
    <w:rsid w:val="105F3DEA"/>
    <w:rsid w:val="113C03CA"/>
    <w:rsid w:val="132967CD"/>
    <w:rsid w:val="13DC0533"/>
    <w:rsid w:val="140070EB"/>
    <w:rsid w:val="142E52B5"/>
    <w:rsid w:val="143D7FF2"/>
    <w:rsid w:val="14445CCF"/>
    <w:rsid w:val="144901E5"/>
    <w:rsid w:val="14A9354E"/>
    <w:rsid w:val="15B71F81"/>
    <w:rsid w:val="15FE25BA"/>
    <w:rsid w:val="166718DF"/>
    <w:rsid w:val="17090772"/>
    <w:rsid w:val="17433E6C"/>
    <w:rsid w:val="176C06FA"/>
    <w:rsid w:val="17A4508C"/>
    <w:rsid w:val="17F167BF"/>
    <w:rsid w:val="18363B6F"/>
    <w:rsid w:val="18990F32"/>
    <w:rsid w:val="1A214B25"/>
    <w:rsid w:val="1A357F28"/>
    <w:rsid w:val="1A6776DF"/>
    <w:rsid w:val="1AB04E2D"/>
    <w:rsid w:val="1CAA6093"/>
    <w:rsid w:val="1DA63635"/>
    <w:rsid w:val="1F937125"/>
    <w:rsid w:val="2058589F"/>
    <w:rsid w:val="22125EF5"/>
    <w:rsid w:val="224D7DFD"/>
    <w:rsid w:val="225246D2"/>
    <w:rsid w:val="226303A5"/>
    <w:rsid w:val="228D483A"/>
    <w:rsid w:val="22BE7AEF"/>
    <w:rsid w:val="22F079A8"/>
    <w:rsid w:val="234D3200"/>
    <w:rsid w:val="236B3032"/>
    <w:rsid w:val="24331D13"/>
    <w:rsid w:val="24601849"/>
    <w:rsid w:val="250329C5"/>
    <w:rsid w:val="254D6A2F"/>
    <w:rsid w:val="25903C28"/>
    <w:rsid w:val="259F60C6"/>
    <w:rsid w:val="25DC5D79"/>
    <w:rsid w:val="26425DF3"/>
    <w:rsid w:val="26B8735F"/>
    <w:rsid w:val="26BB1FF2"/>
    <w:rsid w:val="27FF7087"/>
    <w:rsid w:val="28814192"/>
    <w:rsid w:val="289618DE"/>
    <w:rsid w:val="29D543B0"/>
    <w:rsid w:val="2A6332F3"/>
    <w:rsid w:val="2B3B52BF"/>
    <w:rsid w:val="2B826520"/>
    <w:rsid w:val="2C1A72D0"/>
    <w:rsid w:val="2C2D58B2"/>
    <w:rsid w:val="2CBE779B"/>
    <w:rsid w:val="2D97686A"/>
    <w:rsid w:val="2D9B29F7"/>
    <w:rsid w:val="2E4C2BA2"/>
    <w:rsid w:val="2E696D60"/>
    <w:rsid w:val="2E6F7CF3"/>
    <w:rsid w:val="2E8B2956"/>
    <w:rsid w:val="2E9A0BB7"/>
    <w:rsid w:val="2F3637A2"/>
    <w:rsid w:val="2FD125A4"/>
    <w:rsid w:val="2FFE3DDE"/>
    <w:rsid w:val="31D4175B"/>
    <w:rsid w:val="330735A1"/>
    <w:rsid w:val="330752C3"/>
    <w:rsid w:val="331E3B25"/>
    <w:rsid w:val="33497B0A"/>
    <w:rsid w:val="33562CC6"/>
    <w:rsid w:val="33896B7B"/>
    <w:rsid w:val="34276A20"/>
    <w:rsid w:val="34C42121"/>
    <w:rsid w:val="355F6814"/>
    <w:rsid w:val="36397DB7"/>
    <w:rsid w:val="367F45F6"/>
    <w:rsid w:val="37103EE5"/>
    <w:rsid w:val="37550FEC"/>
    <w:rsid w:val="378C797A"/>
    <w:rsid w:val="37B4116F"/>
    <w:rsid w:val="37E00D3A"/>
    <w:rsid w:val="38417CFB"/>
    <w:rsid w:val="38A40746"/>
    <w:rsid w:val="38AC5953"/>
    <w:rsid w:val="38F156C3"/>
    <w:rsid w:val="39057817"/>
    <w:rsid w:val="393151E2"/>
    <w:rsid w:val="39683BA1"/>
    <w:rsid w:val="3B0C5F1A"/>
    <w:rsid w:val="3B713194"/>
    <w:rsid w:val="3B9349CE"/>
    <w:rsid w:val="3CA776A8"/>
    <w:rsid w:val="3CB016FE"/>
    <w:rsid w:val="3DEC3E02"/>
    <w:rsid w:val="3DFE2791"/>
    <w:rsid w:val="40357537"/>
    <w:rsid w:val="40C36896"/>
    <w:rsid w:val="40DC06F8"/>
    <w:rsid w:val="417317DA"/>
    <w:rsid w:val="41CC6522"/>
    <w:rsid w:val="41E77BF5"/>
    <w:rsid w:val="422C131F"/>
    <w:rsid w:val="43D026FB"/>
    <w:rsid w:val="440832CD"/>
    <w:rsid w:val="44821B7D"/>
    <w:rsid w:val="448B15FA"/>
    <w:rsid w:val="44EA00ED"/>
    <w:rsid w:val="450300E7"/>
    <w:rsid w:val="45CD4854"/>
    <w:rsid w:val="465909C5"/>
    <w:rsid w:val="467D2532"/>
    <w:rsid w:val="46AE2451"/>
    <w:rsid w:val="46FA569D"/>
    <w:rsid w:val="471D6915"/>
    <w:rsid w:val="47FD5FB7"/>
    <w:rsid w:val="482747C0"/>
    <w:rsid w:val="48284AC3"/>
    <w:rsid w:val="482E7CFA"/>
    <w:rsid w:val="484E5ACB"/>
    <w:rsid w:val="4A4B25F3"/>
    <w:rsid w:val="4B4D7953"/>
    <w:rsid w:val="4C0C068E"/>
    <w:rsid w:val="4C327FD4"/>
    <w:rsid w:val="4C867F45"/>
    <w:rsid w:val="4D1965AE"/>
    <w:rsid w:val="4D1E181B"/>
    <w:rsid w:val="4E37065B"/>
    <w:rsid w:val="4E376061"/>
    <w:rsid w:val="4EF0275F"/>
    <w:rsid w:val="4F4A19EE"/>
    <w:rsid w:val="500876B4"/>
    <w:rsid w:val="501E0048"/>
    <w:rsid w:val="51721CE1"/>
    <w:rsid w:val="52391A74"/>
    <w:rsid w:val="527C6137"/>
    <w:rsid w:val="52A94708"/>
    <w:rsid w:val="52AA72AC"/>
    <w:rsid w:val="55E8575C"/>
    <w:rsid w:val="55F4222D"/>
    <w:rsid w:val="56394843"/>
    <w:rsid w:val="57347C1D"/>
    <w:rsid w:val="58372C70"/>
    <w:rsid w:val="5960163C"/>
    <w:rsid w:val="59864863"/>
    <w:rsid w:val="59FD7A9E"/>
    <w:rsid w:val="5B8B7DA8"/>
    <w:rsid w:val="5C001E00"/>
    <w:rsid w:val="5C2667BC"/>
    <w:rsid w:val="5CDA3CE1"/>
    <w:rsid w:val="5D783F6C"/>
    <w:rsid w:val="5DAC403A"/>
    <w:rsid w:val="5E02284A"/>
    <w:rsid w:val="5E1C45A1"/>
    <w:rsid w:val="5F3D15D9"/>
    <w:rsid w:val="5F51216C"/>
    <w:rsid w:val="5FA25B22"/>
    <w:rsid w:val="5FD117C0"/>
    <w:rsid w:val="5FD96878"/>
    <w:rsid w:val="60561C9B"/>
    <w:rsid w:val="605E48A8"/>
    <w:rsid w:val="608575A3"/>
    <w:rsid w:val="60FA2528"/>
    <w:rsid w:val="60FB422E"/>
    <w:rsid w:val="61596CFA"/>
    <w:rsid w:val="61A1534E"/>
    <w:rsid w:val="62D05AD5"/>
    <w:rsid w:val="67416175"/>
    <w:rsid w:val="67C77F70"/>
    <w:rsid w:val="67DA3238"/>
    <w:rsid w:val="688C0BD0"/>
    <w:rsid w:val="68D00CC1"/>
    <w:rsid w:val="68E04D9A"/>
    <w:rsid w:val="699740CB"/>
    <w:rsid w:val="69BB0D53"/>
    <w:rsid w:val="69F603B7"/>
    <w:rsid w:val="6B747207"/>
    <w:rsid w:val="6BFF0E95"/>
    <w:rsid w:val="6C3E0B26"/>
    <w:rsid w:val="6C5B7730"/>
    <w:rsid w:val="6C655079"/>
    <w:rsid w:val="6D336B27"/>
    <w:rsid w:val="6D4C1B1A"/>
    <w:rsid w:val="6D5859D6"/>
    <w:rsid w:val="6E013179"/>
    <w:rsid w:val="6E2525B7"/>
    <w:rsid w:val="6E284095"/>
    <w:rsid w:val="6E45267B"/>
    <w:rsid w:val="6FBF5E60"/>
    <w:rsid w:val="6FC247F9"/>
    <w:rsid w:val="702207F7"/>
    <w:rsid w:val="70894A59"/>
    <w:rsid w:val="70AC4FD4"/>
    <w:rsid w:val="70D66C2B"/>
    <w:rsid w:val="711D05E4"/>
    <w:rsid w:val="713F2B8D"/>
    <w:rsid w:val="716A7BC1"/>
    <w:rsid w:val="725B7E78"/>
    <w:rsid w:val="726D621E"/>
    <w:rsid w:val="7379378C"/>
    <w:rsid w:val="739A51B5"/>
    <w:rsid w:val="73A25E44"/>
    <w:rsid w:val="73C70602"/>
    <w:rsid w:val="742E68EF"/>
    <w:rsid w:val="74345F76"/>
    <w:rsid w:val="7455116B"/>
    <w:rsid w:val="74712E7A"/>
    <w:rsid w:val="749D7F60"/>
    <w:rsid w:val="74B52BA9"/>
    <w:rsid w:val="74E24DB5"/>
    <w:rsid w:val="75264CA3"/>
    <w:rsid w:val="753508EF"/>
    <w:rsid w:val="75830558"/>
    <w:rsid w:val="7736177B"/>
    <w:rsid w:val="77AC0D3D"/>
    <w:rsid w:val="77DF669D"/>
    <w:rsid w:val="78AF778B"/>
    <w:rsid w:val="78BF0096"/>
    <w:rsid w:val="78FF6540"/>
    <w:rsid w:val="793A736F"/>
    <w:rsid w:val="79465BA3"/>
    <w:rsid w:val="79653A37"/>
    <w:rsid w:val="796F2D64"/>
    <w:rsid w:val="797C6EDF"/>
    <w:rsid w:val="7A331737"/>
    <w:rsid w:val="7A7C6A82"/>
    <w:rsid w:val="7A8C24C2"/>
    <w:rsid w:val="7AF00357"/>
    <w:rsid w:val="7B113A72"/>
    <w:rsid w:val="7B3467D8"/>
    <w:rsid w:val="7B5B120D"/>
    <w:rsid w:val="7BE90E82"/>
    <w:rsid w:val="7C4453CC"/>
    <w:rsid w:val="7CBB19E7"/>
    <w:rsid w:val="7CBC6FB1"/>
    <w:rsid w:val="7CCE09ED"/>
    <w:rsid w:val="7CF26709"/>
    <w:rsid w:val="7D9F5AF0"/>
    <w:rsid w:val="7E4D6644"/>
    <w:rsid w:val="7FC02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List 3"/>
    <w:basedOn w:val="5"/>
    <w:qFormat/>
    <w:uiPriority w:val="0"/>
    <w:pPr>
      <w:ind w:left="1135"/>
    </w:pPr>
  </w:style>
  <w:style w:type="paragraph" w:styleId="5">
    <w:name w:val="List 2"/>
    <w:basedOn w:val="6"/>
    <w:qFormat/>
    <w:uiPriority w:val="0"/>
    <w:pPr>
      <w:ind w:left="851"/>
    </w:pPr>
  </w:style>
  <w:style w:type="paragraph" w:styleId="6">
    <w:name w:val="List"/>
    <w:basedOn w:val="1"/>
    <w:qFormat/>
    <w:uiPriority w:val="0"/>
    <w:pPr>
      <w:ind w:left="568" w:hanging="284"/>
    </w:pPr>
  </w:style>
  <w:style w:type="paragraph" w:styleId="7">
    <w:name w:val="caption"/>
    <w:basedOn w:val="1"/>
    <w:next w:val="1"/>
    <w:unhideWhenUsed/>
    <w:qFormat/>
    <w:uiPriority w:val="0"/>
    <w:pPr>
      <w:spacing w:after="200"/>
    </w:pPr>
    <w:rPr>
      <w:rFonts w:ascii="Arial" w:hAnsi="Arial"/>
      <w:b/>
      <w:iCs/>
      <w:color w:val="000000" w:themeColor="text1"/>
      <w:szCs w:val="18"/>
      <w14:textFill>
        <w14:solidFill>
          <w14:schemeClr w14:val="tx1"/>
        </w14:solidFill>
      </w14:textFill>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2">
    <w:name w:val="Table Grid"/>
    <w:basedOn w:val="11"/>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qFormat/>
    <w:uiPriority w:val="99"/>
    <w:rPr>
      <w:color w:val="0563C1"/>
      <w:u w:val="single"/>
    </w:rPr>
  </w:style>
  <w:style w:type="paragraph" w:customStyle="1" w:styleId="15">
    <w:name w:val="CR Cover Page"/>
    <w:qFormat/>
    <w:uiPriority w:val="0"/>
    <w:pPr>
      <w:spacing w:after="120"/>
    </w:pPr>
    <w:rPr>
      <w:rFonts w:ascii="Arial" w:hAnsi="Arial" w:eastAsia="Times New Roman" w:cs="Times New Roman"/>
      <w:lang w:val="en-GB" w:eastAsia="en-US" w:bidi="ar-SA"/>
    </w:rPr>
  </w:style>
  <w:style w:type="paragraph" w:styleId="16">
    <w:name w:val="List Paragraph"/>
    <w:basedOn w:val="1"/>
    <w:qFormat/>
    <w:uiPriority w:val="34"/>
    <w:pPr>
      <w:ind w:left="720"/>
      <w:contextualSpacing/>
    </w:pPr>
  </w:style>
  <w:style w:type="paragraph" w:customStyle="1" w:styleId="17">
    <w:name w:val="B3"/>
    <w:basedOn w:val="4"/>
    <w:qFormat/>
    <w:uiPriority w:val="0"/>
  </w:style>
  <w:style w:type="paragraph" w:customStyle="1" w:styleId="18">
    <w:name w:val="B1"/>
    <w:basedOn w:val="6"/>
    <w:qFormat/>
    <w:uiPriority w:val="0"/>
  </w:style>
  <w:style w:type="paragraph" w:customStyle="1" w:styleId="19">
    <w:name w:val="NO"/>
    <w:basedOn w:val="1"/>
    <w:qFormat/>
    <w:uiPriority w:val="0"/>
    <w:pPr>
      <w:keepLines/>
      <w:ind w:left="1135" w:hanging="851"/>
    </w:pPr>
  </w:style>
  <w:style w:type="paragraph" w:customStyle="1" w:styleId="20">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6</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2023-05-31T09:35:00Z</dcterms:created>
  <dc:creator>Xu Jiayi</dc:creator>
  <cp:lastModifiedBy>xujiayi12</cp:lastModifiedBy>
  <dcterms:modified xsi:type="dcterms:W3CDTF">2023-10-08T10:21:55Z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865B6F5B65874BC3B612E55749BB6550</vt:lpwstr>
  </property>
</Properties>
</file>