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 xml:space="preserve">-e (AH) </w:t>
      </w:r>
      <w:r>
        <w:rPr>
          <w:rFonts w:hint="eastAsia" w:eastAsia="宋体"/>
          <w:b/>
          <w:sz w:val="24"/>
          <w:lang w:val="en-US" w:eastAsia="zh-CN"/>
        </w:rPr>
        <w:t>VIDEO</w:t>
      </w:r>
      <w:r>
        <w:rPr>
          <w:b/>
          <w:sz w:val="24"/>
        </w:rPr>
        <w:t xml:space="preserve"> SWG post 122</w:t>
      </w:r>
      <w:r>
        <w:rPr>
          <w:b/>
          <w:sz w:val="24"/>
        </w:rPr>
        <w:fldChar w:fldCharType="end"/>
      </w:r>
      <w:r>
        <w:rPr>
          <w:b/>
          <w:i/>
          <w:sz w:val="28"/>
        </w:rPr>
        <w:tab/>
      </w:r>
      <w:r>
        <w:rPr>
          <w:rFonts w:hint="eastAsia"/>
          <w:b/>
          <w:sz w:val="24"/>
        </w:rPr>
        <w:t>S4aV230015</w:t>
      </w:r>
    </w:p>
    <w:p>
      <w:pPr>
        <w:spacing w:after="120"/>
        <w:ind w:left="1985" w:hanging="1985"/>
        <w:rPr>
          <w:rFonts w:ascii="Arial" w:hAnsi="Arial" w:eastAsia="Times New Roman" w:cs="Times New Roman"/>
          <w:b/>
          <w:sz w:val="24"/>
          <w:lang w:val="en-GB" w:eastAsia="en-US" w:bidi="ar-SA"/>
        </w:rPr>
      </w:pPr>
      <w:r>
        <w:rPr>
          <w:rFonts w:hint="eastAsia" w:ascii="Arial" w:hAnsi="Arial" w:eastAsia="Times New Roman" w:cs="Times New Roman"/>
          <w:b/>
          <w:sz w:val="24"/>
          <w:lang w:val="en-GB" w:eastAsia="en-US" w:bidi="ar-SA"/>
        </w:rPr>
        <w:t>Online, 15th Mar 2023 - 29th Mar 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AR Media Processing Solution For Smartphones or Tablets</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3.3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eastAsia" w:eastAsia="宋体"/>
          <w:lang w:val="en-US" w:eastAsia="zh-CN"/>
        </w:rPr>
      </w:pPr>
      <w:r>
        <w:rPr>
          <w:rFonts w:hint="eastAsia" w:ascii="Times New Roman" w:hAnsi="Times New Roman" w:eastAsia="宋体" w:cs="Times New Roman"/>
          <w:lang w:val="en-US" w:eastAsia="zh-CN"/>
        </w:rPr>
        <w:t xml:space="preserve">In this contribution, we proposed </w:t>
      </w:r>
      <w:r>
        <w:rPr>
          <w:rFonts w:hint="eastAsia" w:eastAsia="宋体" w:cs="Times New Roman"/>
          <w:lang w:val="en-US" w:eastAsia="zh-CN"/>
        </w:rPr>
        <w:t>an AR media processing solution for smartphones or tablets (defined as</w:t>
      </w:r>
      <w:r>
        <w:rPr>
          <w:rFonts w:hint="eastAsia" w:eastAsia="宋体" w:cs="Times New Roman"/>
          <w:i/>
          <w:iCs/>
          <w:lang w:val="en-US" w:eastAsia="zh-CN"/>
        </w:rPr>
        <w:t xml:space="preserve"> Device design type 4 </w:t>
      </w:r>
      <w:r>
        <w:rPr>
          <w:rFonts w:hint="eastAsia" w:eastAsia="宋体" w:cs="Times New Roman"/>
          <w:lang w:val="en-US" w:eastAsia="zh-CN"/>
        </w:rPr>
        <w:t>in MeCAR)</w:t>
      </w:r>
      <w:r>
        <w:rPr>
          <w:rFonts w:hint="eastAsia" w:ascii="Times New Roman" w:hAnsi="Times New Roman" w:eastAsia="宋体" w:cs="Times New Roman"/>
          <w:lang w:val="en-US" w:eastAsia="zh-CN"/>
        </w:rPr>
        <w:t>.</w:t>
      </w:r>
      <w:r>
        <w:rPr>
          <w:rFonts w:hint="eastAsia" w:eastAsia="宋体" w:cs="Times New Roman"/>
          <w:lang w:val="en-US" w:eastAsia="zh-CN"/>
        </w:rPr>
        <w:t xml:space="preserve"> In this case, the 5G modem and AR media processing are integrated in the device. The rendered AR video frame is converted into </w:t>
      </w:r>
      <w:r>
        <w:rPr>
          <w:rFonts w:hint="eastAsia" w:eastAsia="宋体"/>
          <w:lang w:val="en-US" w:eastAsia="zh-CN"/>
        </w:rPr>
        <w:t>a standard YUV video format in real time so that it can be directly sent to the remote UE via</w:t>
      </w:r>
    </w:p>
    <w:p>
      <w:pPr>
        <w:rPr>
          <w:rFonts w:hint="default" w:eastAsia="宋体"/>
          <w:lang w:val="en-US" w:eastAsia="zh-CN"/>
        </w:rPr>
      </w:pPr>
      <w:r>
        <w:rPr>
          <w:rFonts w:hint="eastAsia" w:eastAsia="宋体"/>
          <w:lang w:val="en-US" w:eastAsia="zh-CN"/>
        </w:rPr>
        <w:t>WebRTC media channel/IMS media path. The user</w:t>
      </w:r>
      <w:r>
        <w:rPr>
          <w:rFonts w:hint="default" w:eastAsia="宋体"/>
          <w:lang w:val="en-US" w:eastAsia="zh-CN"/>
        </w:rPr>
        <w:t>’</w:t>
      </w:r>
      <w:r>
        <w:rPr>
          <w:rFonts w:hint="eastAsia" w:eastAsia="宋体"/>
          <w:lang w:val="en-US" w:eastAsia="zh-CN"/>
        </w:rPr>
        <w:t>s input (e.g., keyboard, mouse, touch events, and other custom events) can be exchanged via WebRTC/IMS data channel.</w:t>
      </w:r>
    </w:p>
    <w:p>
      <w:pPr>
        <w:rPr>
          <w:rFonts w:hint="eastAsia"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Proposed Solution</w:t>
      </w:r>
    </w:p>
    <w:p>
      <w:pPr>
        <w:jc w:val="center"/>
      </w:pPr>
      <w:r>
        <w:drawing>
          <wp:inline distT="0" distB="0" distL="114300" distR="114300">
            <wp:extent cx="3717290" cy="2790190"/>
            <wp:effectExtent l="0" t="0" r="381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4"/>
                    <a:stretch>
                      <a:fillRect/>
                    </a:stretch>
                  </pic:blipFill>
                  <pic:spPr>
                    <a:xfrm>
                      <a:off x="0" y="0"/>
                      <a:ext cx="3717290" cy="2790190"/>
                    </a:xfrm>
                    <a:prstGeom prst="rect">
                      <a:avLst/>
                    </a:prstGeom>
                    <a:noFill/>
                    <a:ln>
                      <a:noFill/>
                    </a:ln>
                  </pic:spPr>
                </pic:pic>
              </a:graphicData>
            </a:graphic>
          </wp:inline>
        </w:drawing>
      </w:r>
    </w:p>
    <w:p>
      <w:pPr>
        <w:jc w:val="center"/>
      </w:pPr>
    </w:p>
    <w:p>
      <w:pPr>
        <w:jc w:val="center"/>
        <w:rPr>
          <w:rFonts w:hint="default"/>
        </w:rPr>
      </w:pPr>
      <w:bookmarkStart w:id="1" w:name="_GoBack"/>
      <w:bookmarkEnd w:id="1"/>
    </w:p>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 xml:space="preserve">2.1 </w:t>
      </w:r>
      <w:r>
        <w:rPr>
          <w:rFonts w:hint="default" w:ascii="Times New Roman" w:hAnsi="Times New Roman" w:eastAsia="宋体" w:cs="Times New Roman"/>
          <w:b w:val="0"/>
          <w:bCs/>
          <w:sz w:val="28"/>
          <w:szCs w:val="28"/>
          <w:lang w:val="en-US" w:eastAsia="zh-CN"/>
        </w:rPr>
        <w:t xml:space="preserve">AR </w:t>
      </w:r>
      <w:r>
        <w:rPr>
          <w:rFonts w:hint="eastAsia" w:ascii="Times New Roman" w:hAnsi="Times New Roman" w:eastAsia="宋体" w:cs="Times New Roman"/>
          <w:b w:val="0"/>
          <w:bCs/>
          <w:sz w:val="28"/>
          <w:szCs w:val="28"/>
          <w:lang w:val="en-US" w:eastAsia="zh-CN"/>
        </w:rPr>
        <w:t xml:space="preserve">Video Frames </w:t>
      </w:r>
      <w:r>
        <w:rPr>
          <w:rFonts w:hint="default" w:ascii="Times New Roman" w:hAnsi="Times New Roman" w:eastAsia="宋体" w:cs="Times New Roman"/>
          <w:b w:val="0"/>
          <w:bCs/>
          <w:sz w:val="28"/>
          <w:szCs w:val="28"/>
          <w:lang w:val="en-US" w:eastAsia="zh-CN"/>
        </w:rPr>
        <w:t>Acquisition</w:t>
      </w:r>
    </w:p>
    <w:p>
      <w:pPr>
        <w:rPr>
          <w:rFonts w:hint="eastAsia"/>
          <w:lang w:val="en-US" w:eastAsia="zh-CN"/>
        </w:rPr>
      </w:pPr>
      <w:r>
        <w:rPr>
          <w:rFonts w:hint="eastAsia"/>
          <w:lang w:val="en-US" w:eastAsia="zh-CN"/>
        </w:rPr>
        <w:t>The rendered AR video frames can be acquired from AR Runtime by the following steps:</w:t>
      </w:r>
    </w:p>
    <w:p>
      <w:pPr>
        <w:numPr>
          <w:ilvl w:val="0"/>
          <w:numId w:val="2"/>
        </w:numPr>
        <w:contextualSpacing/>
      </w:pPr>
      <w:r>
        <w:t>The AR</w:t>
      </w:r>
      <w:r>
        <w:rPr>
          <w:rFonts w:hint="eastAsia" w:eastAsia="宋体"/>
          <w:lang w:val="en-US" w:eastAsia="zh-CN"/>
        </w:rPr>
        <w:t xml:space="preserve"> </w:t>
      </w:r>
      <w:r>
        <w:t>Application is launched</w:t>
      </w:r>
      <w:r>
        <w:rPr>
          <w:rFonts w:hint="eastAsia" w:eastAsia="宋体"/>
          <w:lang w:val="en-US" w:eastAsia="zh-CN"/>
        </w:rPr>
        <w:t>.</w:t>
      </w:r>
    </w:p>
    <w:p>
      <w:pPr>
        <w:numPr>
          <w:ilvl w:val="0"/>
          <w:numId w:val="2"/>
        </w:numPr>
        <w:contextualSpacing/>
      </w:pPr>
      <w:r>
        <w:t>The AR application</w:t>
      </w:r>
      <w:r>
        <w:rPr>
          <w:rFonts w:hint="eastAsia" w:eastAsia="宋体"/>
          <w:lang w:val="en-US" w:eastAsia="zh-CN"/>
        </w:rPr>
        <w:t xml:space="preserve"> creates</w:t>
      </w:r>
      <w:r>
        <w:t xml:space="preserve"> </w:t>
      </w:r>
      <w:r>
        <w:rPr>
          <w:rFonts w:hint="eastAsia" w:eastAsia="宋体"/>
          <w:lang w:val="en-US" w:eastAsia="zh-CN"/>
        </w:rPr>
        <w:t>A</w:t>
      </w:r>
      <w:r>
        <w:t>R Session in the</w:t>
      </w:r>
      <w:r>
        <w:rPr>
          <w:rFonts w:hint="eastAsia" w:eastAsia="宋体"/>
          <w:lang w:val="en-US" w:eastAsia="zh-CN"/>
        </w:rPr>
        <w:t xml:space="preserve"> AR</w:t>
      </w:r>
      <w:r>
        <w:t xml:space="preserve"> </w:t>
      </w:r>
      <w:r>
        <w:rPr>
          <w:rFonts w:hint="eastAsia" w:eastAsia="宋体"/>
          <w:lang w:val="en-US" w:eastAsia="zh-CN"/>
        </w:rPr>
        <w:t>R</w:t>
      </w:r>
      <w:r>
        <w:t>untime</w:t>
      </w:r>
      <w:r>
        <w:rPr>
          <w:rFonts w:hint="eastAsia" w:eastAsia="宋体"/>
          <w:lang w:val="en-US" w:eastAsia="zh-CN"/>
        </w:rPr>
        <w:t>.</w:t>
      </w:r>
    </w:p>
    <w:p>
      <w:pPr>
        <w:numPr>
          <w:ilvl w:val="0"/>
          <w:numId w:val="2"/>
        </w:numPr>
        <w:contextualSpacing/>
      </w:pPr>
      <w:r>
        <w:t>The AR application communicates with the scene manager to provide a scene description either through an application interface or through a well-defined scene description document, possibly retrieved over the network</w:t>
      </w:r>
      <w:r>
        <w:rPr>
          <w:rFonts w:hint="eastAsia" w:eastAsia="宋体"/>
          <w:lang w:val="en-US" w:eastAsia="zh-CN"/>
        </w:rPr>
        <w:t>.</w:t>
      </w:r>
    </w:p>
    <w:p>
      <w:pPr>
        <w:numPr>
          <w:ilvl w:val="0"/>
          <w:numId w:val="2"/>
        </w:numPr>
        <w:contextualSpacing/>
      </w:pPr>
      <w:r>
        <w:t xml:space="preserve">Based on the scene requirements, the capabilities of the </w:t>
      </w:r>
      <w:r>
        <w:rPr>
          <w:rFonts w:hint="eastAsia" w:eastAsia="宋体"/>
          <w:lang w:val="en-US" w:eastAsia="zh-CN"/>
        </w:rPr>
        <w:t>A</w:t>
      </w:r>
      <w:r>
        <w:t>R Runtime, as well as the capabilities of the media access function, a set of media pipelines in the uplink and downlink are established.</w:t>
      </w:r>
    </w:p>
    <w:p>
      <w:pPr>
        <w:numPr>
          <w:ilvl w:val="0"/>
          <w:numId w:val="2"/>
        </w:numPr>
        <w:contextualSpacing/>
      </w:pPr>
      <w:r>
        <w:t xml:space="preserve">The media access function accesses the network resources or sends data to the network using the established media pipelines. </w:t>
      </w:r>
    </w:p>
    <w:p>
      <w:pPr>
        <w:numPr>
          <w:ilvl w:val="0"/>
          <w:numId w:val="2"/>
        </w:numPr>
        <w:contextualSpacing/>
      </w:pPr>
      <w:r>
        <w:t xml:space="preserve">The </w:t>
      </w:r>
      <w:r>
        <w:rPr>
          <w:rFonts w:hint="eastAsia" w:eastAsia="宋体"/>
          <w:lang w:val="en-US" w:eastAsia="zh-CN"/>
        </w:rPr>
        <w:t>A</w:t>
      </w:r>
      <w:r>
        <w:t xml:space="preserve">R Runtime captures the relevant </w:t>
      </w:r>
      <w:r>
        <w:rPr>
          <w:rFonts w:hint="eastAsia" w:eastAsia="宋体"/>
          <w:lang w:val="en-US" w:eastAsia="zh-CN"/>
        </w:rPr>
        <w:t xml:space="preserve">AR </w:t>
      </w:r>
      <w:r>
        <w:t>data to match the device capabilities</w:t>
      </w:r>
      <w:r>
        <w:rPr>
          <w:rFonts w:hint="eastAsia" w:eastAsia="宋体"/>
          <w:lang w:val="en-US" w:eastAsia="zh-CN"/>
        </w:rPr>
        <w:t>,</w:t>
      </w:r>
      <w:r>
        <w:t xml:space="preserve"> and </w:t>
      </w:r>
      <w:r>
        <w:rPr>
          <w:rFonts w:hint="eastAsia" w:eastAsia="宋体"/>
          <w:lang w:val="en-US" w:eastAsia="zh-CN"/>
        </w:rPr>
        <w:t>uses Graphic Engine (OpenGL ES, Vulkan, Metal, DirectX, etc) to render the AR objects on the camera feed.</w:t>
      </w:r>
    </w:p>
    <w:p>
      <w:pPr>
        <w:numPr>
          <w:ilvl w:val="0"/>
          <w:numId w:val="2"/>
        </w:numPr>
        <w:contextualSpacing/>
      </w:pPr>
      <w:r>
        <w:rPr>
          <w:rFonts w:hint="eastAsia" w:eastAsia="宋体"/>
          <w:lang w:val="en-US" w:eastAsia="zh-CN"/>
        </w:rPr>
        <w:t xml:space="preserve">The AR Runtime presents the rendered AR video frame locally, and </w:t>
      </w:r>
      <w:r>
        <w:rPr>
          <w:rFonts w:hint="eastAsia"/>
          <w:lang w:val="en-US" w:eastAsia="zh-CN"/>
        </w:rPr>
        <w:t>simultaneously sends the rendered AR Video Frames to the Video Format Conversion module.</w:t>
      </w:r>
    </w:p>
    <w:p>
      <w:pPr>
        <w:numPr>
          <w:ilvl w:val="-1"/>
          <w:numId w:val="0"/>
        </w:numPr>
        <w:ind w:left="0" w:leftChars="0" w:firstLine="0" w:firstLineChars="0"/>
        <w:rPr>
          <w:rFonts w:hint="default" w:eastAsia="宋体"/>
          <w:lang w:val="en-US" w:eastAsia="zh-CN"/>
        </w:rPr>
      </w:pPr>
    </w:p>
    <w:bookmarkEnd w:id="0"/>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2.</w:t>
      </w:r>
      <w:r>
        <w:rPr>
          <w:rFonts w:hint="default" w:ascii="Times New Roman" w:hAnsi="Times New Roman" w:eastAsia="宋体" w:cs="Times New Roman"/>
          <w:b w:val="0"/>
          <w:bCs/>
          <w:sz w:val="28"/>
          <w:szCs w:val="28"/>
          <w:lang w:val="en-US" w:eastAsia="zh-CN"/>
        </w:rPr>
        <w:t>2 Video Format Conversion</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rendered AR video frames include textures information, which may not be directly accepted by the encoder. Therefore, they need to be converted into a standard YUV video format before sending to the remote UE. Depending on different planar and storage formats, YUV can be further subdivided into YUV I420, YUV420sp (NV12), YUV420sp (NV21) and so on. </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detailed descriptions in each step are as follows: </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It first copies a rendered AR video frame into a provided Bitmap. </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Then, it gets all pixel data of the Bitmap and use the RGBA to YUV fast conversion formula (1) to convert the R, G, B value of the Bitmap into the Y, U, V value. The A value is set to be 0 by default. </w:t>
      </w:r>
    </w:p>
    <w:p>
      <w:pPr>
        <w:numPr>
          <w:ilvl w:val="0"/>
          <w:numId w:val="0"/>
        </w:numPr>
        <w:spacing w:line="240" w:lineRule="auto"/>
        <w:ind w:leftChars="0"/>
        <w:jc w:val="center"/>
        <w:rPr>
          <w:rFonts w:hint="eastAsia" w:eastAsia="宋体"/>
          <w:lang w:val="en-US" w:eastAsia="zh-CN"/>
        </w:rPr>
      </w:pPr>
      <w:r>
        <w:rPr>
          <w:rFonts w:hint="eastAsia" w:eastAsia="宋体"/>
          <w:position w:val="-50"/>
          <w:lang w:val="en-US" w:eastAsia="zh-CN"/>
        </w:rPr>
        <w:object>
          <v:shape id="_x0000_i1025" o:spt="75" type="#_x0000_t75" style="height:56pt;width:229.9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eastAsia="宋体"/>
          <w:lang w:val="en-US" w:eastAsia="zh-CN"/>
        </w:rPr>
        <w:t xml:space="preserve"> (1)</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Finally, it follows the YUV storage format to store the Y, U, V values. For example, YUV420sp (NV21) has one luminance plane Y and one plane with V and U values interleaved. Every four Y pixels there is one V and one U. The sampling is every other pixel and every other scan line.</w:t>
      </w:r>
    </w:p>
    <w:p>
      <w:pPr>
        <w:numPr>
          <w:ilvl w:val="0"/>
          <w:numId w:val="0"/>
        </w:numPr>
        <w:spacing w:line="240" w:lineRule="auto"/>
        <w:jc w:val="center"/>
      </w:pPr>
      <w:r>
        <w:drawing>
          <wp:inline distT="0" distB="0" distL="114300" distR="114300">
            <wp:extent cx="1785620" cy="1525270"/>
            <wp:effectExtent l="0" t="0" r="508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1785620" cy="1525270"/>
                    </a:xfrm>
                    <a:prstGeom prst="rect">
                      <a:avLst/>
                    </a:prstGeom>
                    <a:noFill/>
                    <a:ln>
                      <a:noFill/>
                    </a:ln>
                  </pic:spPr>
                </pic:pic>
              </a:graphicData>
            </a:graphic>
          </wp:inline>
        </w:drawing>
      </w:r>
    </w:p>
    <w:p>
      <w:pPr>
        <w:numPr>
          <w:ilvl w:val="0"/>
          <w:numId w:val="0"/>
        </w:numPr>
        <w:spacing w:line="240" w:lineRule="auto"/>
        <w:jc w:val="center"/>
      </w:pPr>
    </w:p>
    <w:p>
      <w:pPr>
        <w:numPr>
          <w:ilvl w:val="0"/>
          <w:numId w:val="0"/>
        </w:numPr>
        <w:spacing w:line="240" w:lineRule="auto"/>
        <w:jc w:val="center"/>
        <w:rPr>
          <w:rFonts w:hint="default"/>
          <w:sz w:val="16"/>
          <w:szCs w:val="16"/>
          <w:lang w:val="en-US" w:eastAsia="zh-CN"/>
        </w:rPr>
      </w:pPr>
      <w:r>
        <w:rPr>
          <w:rFonts w:hint="default"/>
          <w:sz w:val="16"/>
          <w:szCs w:val="16"/>
          <w:lang w:val="en-US" w:eastAsia="zh-CN"/>
        </w:rPr>
        <w:t xml:space="preserve">Figure </w:t>
      </w:r>
      <w:r>
        <w:rPr>
          <w:rFonts w:hint="eastAsia"/>
          <w:sz w:val="16"/>
          <w:szCs w:val="16"/>
          <w:lang w:val="en-US" w:eastAsia="zh-CN"/>
        </w:rPr>
        <w:t>X</w:t>
      </w:r>
      <w:r>
        <w:rPr>
          <w:rFonts w:hint="default"/>
          <w:sz w:val="16"/>
          <w:szCs w:val="16"/>
          <w:lang w:val="en-US" w:eastAsia="zh-CN"/>
        </w:rPr>
        <w:t>. The data blocks of an w×h image in YUV420sp (NV21) format.</w:t>
      </w:r>
    </w:p>
    <w:p>
      <w:pPr>
        <w:numPr>
          <w:ilvl w:val="0"/>
          <w:numId w:val="0"/>
        </w:numPr>
        <w:spacing w:line="240" w:lineRule="auto"/>
        <w:jc w:val="left"/>
        <w:rPr>
          <w:rFonts w:hint="eastAsia"/>
          <w:sz w:val="16"/>
          <w:szCs w:val="16"/>
          <w:lang w:val="en-US" w:eastAsia="zh-CN"/>
        </w:rPr>
      </w:pPr>
    </w:p>
    <w:p>
      <w:pPr>
        <w:numPr>
          <w:ilvl w:val="0"/>
          <w:numId w:val="0"/>
        </w:numPr>
        <w:spacing w:line="240" w:lineRule="auto"/>
        <w:jc w:val="left"/>
        <w:rPr>
          <w:rFonts w:hint="eastAsia" w:eastAsia="宋体"/>
          <w:lang w:val="en-US" w:eastAsia="zh-CN"/>
        </w:rPr>
      </w:pPr>
      <w:r>
        <w:rPr>
          <w:rFonts w:hint="eastAsia"/>
          <w:sz w:val="16"/>
          <w:szCs w:val="16"/>
          <w:lang w:val="en-US" w:eastAsia="zh-CN"/>
        </w:rPr>
        <w:t>T</w:t>
      </w:r>
      <w:r>
        <w:rPr>
          <w:rFonts w:hint="eastAsia" w:eastAsia="宋体"/>
          <w:lang w:val="en-US" w:eastAsia="zh-CN"/>
        </w:rPr>
        <w:t>he converted video frames can be sent to the remote UE via WebRTC media channel or IMS media path. WebRTC/IMS data channel can be used for exchanging user</w:t>
      </w:r>
      <w:r>
        <w:rPr>
          <w:rFonts w:hint="default" w:eastAsia="宋体"/>
          <w:lang w:val="en-US" w:eastAsia="zh-CN"/>
        </w:rPr>
        <w:t>’</w:t>
      </w:r>
      <w:r>
        <w:rPr>
          <w:rFonts w:hint="eastAsia" w:eastAsia="宋体"/>
          <w:lang w:val="en-US" w:eastAsia="zh-CN"/>
        </w:rPr>
        <w:t xml:space="preserve">s input such as keyboard, mouse, touch events, and other custom events (Optional). </w:t>
      </w:r>
    </w:p>
    <w:p>
      <w:pPr>
        <w:numPr>
          <w:ilvl w:val="0"/>
          <w:numId w:val="0"/>
        </w:numPr>
        <w:spacing w:line="240" w:lineRule="auto"/>
        <w:jc w:val="left"/>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Proposal</w:t>
      </w:r>
    </w:p>
    <w:p>
      <w:pPr>
        <w:rPr>
          <w:rFonts w:hint="eastAsia"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the MeCAR permanent document as an AR Media Processing Solution for discussion.</w:t>
      </w:r>
    </w:p>
    <w:p>
      <w:pPr>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References</w:t>
      </w:r>
    </w:p>
    <w:p>
      <w:pPr>
        <w:numPr>
          <w:ilvl w:val="0"/>
          <w:numId w:val="4"/>
        </w:numPr>
        <w:ind w:firstLine="0"/>
      </w:pPr>
      <w:r>
        <w:t>3GPP TR 26.928: "Extended Reality (XR) in 5G".</w:t>
      </w:r>
    </w:p>
    <w:p>
      <w:pPr>
        <w:numPr>
          <w:ilvl w:val="0"/>
          <w:numId w:val="4"/>
        </w:numPr>
        <w:ind w:firstLine="0"/>
        <w:rPr>
          <w:rFonts w:hint="eastAsia" w:eastAsia="宋体"/>
          <w:lang w:val="en-US" w:eastAsia="zh-CN"/>
        </w:rPr>
      </w:pPr>
      <w:r>
        <w:t>3GPP TR 26.9</w:t>
      </w:r>
      <w:r>
        <w:rPr>
          <w:rFonts w:hint="eastAsia" w:eastAsia="宋体"/>
          <w:lang w:val="en-US" w:eastAsia="zh-CN"/>
        </w:rPr>
        <w:t>9</w:t>
      </w:r>
      <w:r>
        <w:t>8: "</w:t>
      </w:r>
      <w:r>
        <w:rPr>
          <w:rFonts w:hint="eastAsia"/>
        </w:rPr>
        <w:t>Support of 5G Glass-type Augmented Reality / Mixed Reality (AR/MR) devices</w:t>
      </w:r>
      <w:r>
        <w:t>".</w:t>
      </w:r>
    </w:p>
    <w:p>
      <w:pPr>
        <w:widowControl/>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0" w:firstLine="0"/>
      </w:pPr>
      <w:r>
        <w:t xml:space="preserve">3GPP TSG SA WG4 </w:t>
      </w:r>
      <w:r>
        <w:fldChar w:fldCharType="begin"/>
      </w:r>
      <w:r>
        <w:instrText xml:space="preserve"> HYPERLINK "https://www.3gpp.org/ftp/tsg_sa/WG4_CODEC/TSGS4_120-e/Docs/S4-221209.zip" </w:instrText>
      </w:r>
      <w:r>
        <w:fldChar w:fldCharType="separate"/>
      </w:r>
      <w:r>
        <w:rPr>
          <w:rStyle w:val="6"/>
        </w:rPr>
        <w:t>S4-</w:t>
      </w:r>
      <w:r>
        <w:rPr>
          <w:rStyle w:val="6"/>
          <w:rFonts w:hint="eastAsia" w:eastAsia="宋体"/>
          <w:lang w:val="en-US" w:eastAsia="zh-CN"/>
        </w:rPr>
        <w:t>2</w:t>
      </w:r>
      <w:r>
        <w:rPr>
          <w:rStyle w:val="6"/>
        </w:rPr>
        <w:fldChar w:fldCharType="end"/>
      </w:r>
      <w:r>
        <w:rPr>
          <w:rStyle w:val="6"/>
          <w:rFonts w:hint="eastAsia" w:eastAsia="宋体"/>
          <w:lang w:val="en-US" w:eastAsia="zh-CN"/>
        </w:rPr>
        <w:t>30307</w:t>
      </w:r>
      <w:r>
        <w:t>, “</w:t>
      </w:r>
      <w:r>
        <w:rPr>
          <w:rFonts w:hint="eastAsia" w:eastAsia="宋体"/>
          <w:lang w:val="en-US" w:eastAsia="zh-CN"/>
        </w:rPr>
        <w:t xml:space="preserve">MeCAR </w:t>
      </w:r>
      <w:r>
        <w:t>Permanent Document v</w:t>
      </w:r>
      <w:r>
        <w:rPr>
          <w:rFonts w:hint="eastAsia" w:eastAsia="宋体"/>
          <w:lang w:val="en-US" w:eastAsia="zh-CN"/>
        </w:rPr>
        <w:t>5.0</w:t>
      </w:r>
      <w:r>
        <w:t>.</w:t>
      </w:r>
      <w:r>
        <w:rPr>
          <w:rFonts w:hint="eastAsia" w:eastAsia="宋体"/>
          <w:lang w:val="en-US" w:eastAsia="zh-CN"/>
        </w:rPr>
        <w:t>0</w:t>
      </w:r>
      <w:r>
        <w:t xml:space="preserve">”, </w:t>
      </w:r>
      <w:r>
        <w:rPr>
          <w:rFonts w:hint="eastAsia" w:eastAsia="宋体"/>
          <w:lang w:val="en-US" w:eastAsia="zh-CN"/>
        </w:rPr>
        <w:t xml:space="preserve">February </w:t>
      </w:r>
      <w:r>
        <w:t>202</w:t>
      </w:r>
      <w:r>
        <w:rPr>
          <w:rFonts w:hint="eastAsia" w:eastAsia="宋体"/>
          <w:lang w:val="en-US" w:eastAsia="zh-CN"/>
        </w:rPr>
        <w:t>3.</w:t>
      </w:r>
    </w:p>
    <w:p>
      <w:pPr>
        <w:numPr>
          <w:ilvl w:val="0"/>
          <w:numId w:val="0"/>
        </w:numPr>
        <w:rPr>
          <w:rFonts w:ascii="Arial" w:hAnsi="Arial" w:cs="Arial"/>
          <w:b/>
          <w:bCs/>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A2F00"/>
    <w:multiLevelType w:val="multilevel"/>
    <w:tmpl w:val="0CDA2F00"/>
    <w:lvl w:ilvl="0" w:tentative="0">
      <w:start w:val="1"/>
      <w:numFmt w:val="decimal"/>
      <w:lvlText w:val="%1)"/>
      <w:lvlJc w:val="left"/>
      <w:pPr>
        <w:ind w:left="720" w:hanging="675"/>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1">
    <w:nsid w:val="18BE1654"/>
    <w:multiLevelType w:val="singleLevel"/>
    <w:tmpl w:val="18BE1654"/>
    <w:lvl w:ilvl="0" w:tentative="0">
      <w:start w:val="1"/>
      <w:numFmt w:val="decimal"/>
      <w:lvlText w:val="(%1)"/>
      <w:lvlJc w:val="left"/>
      <w:pPr>
        <w:ind w:left="425" w:hanging="425"/>
      </w:pPr>
      <w:rPr>
        <w:rFonts w:hint="default"/>
      </w:rPr>
    </w:lvl>
  </w:abstractNum>
  <w:abstractNum w:abstractNumId="2">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25AFA"/>
    <w:rsid w:val="18425AFA"/>
    <w:rsid w:val="68B56B32"/>
    <w:rsid w:val="78ED5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qFormat/>
    <w:uiPriority w:val="0"/>
    <w:rPr>
      <w:color w:val="0000FF"/>
      <w:u w:val="single"/>
    </w:rPr>
  </w:style>
  <w:style w:type="paragraph" w:customStyle="1" w:styleId="7">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35</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2023-03-26T02:42:00Z</dcterms:created>
  <dc:creator>CMCC-Xu Jiayi</dc:creator>
  <cp:lastModifiedBy>CMCC-Xu Jiayi</cp:lastModifiedBy>
  <dcterms:modified xsi:type="dcterms:W3CDTF">2023-03-26T13:56:39Z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1AF128612A7B403D9603BCCCB28994F4</vt:lpwstr>
  </property>
</Properties>
</file>