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D5C6B0" w14:textId="77777777" w:rsidR="00DE79A7" w:rsidRDefault="00DE79A7" w:rsidP="00DE79A7">
      <w:pPr>
        <w:pStyle w:val="ListParagraph"/>
        <w:numPr>
          <w:ilvl w:val="0"/>
          <w:numId w:val="1"/>
        </w:numPr>
        <w:rPr>
          <w:rFonts w:ascii="Calibri" w:hAnsi="Calibri" w:cs="Calibri"/>
          <w:color w:val="1F497D"/>
          <w:sz w:val="21"/>
          <w:szCs w:val="21"/>
          <w:lang w:val="en-US" w:eastAsia="zh-CN"/>
        </w:rPr>
      </w:pPr>
      <w:r>
        <w:rPr>
          <w:rFonts w:ascii="Calibri" w:hAnsi="Calibri" w:cs="Calibri"/>
          <w:b/>
          <w:bCs/>
          <w:color w:val="1F497D"/>
          <w:sz w:val="21"/>
          <w:szCs w:val="21"/>
          <w:lang w:val="en-US" w:eastAsia="zh-CN"/>
        </w:rPr>
        <w:t>Whether session level EDI is required to be provided to the SMF in addition to the node level EDI?</w:t>
      </w:r>
    </w:p>
    <w:p w14:paraId="593416B1" w14:textId="095398F3" w:rsidR="00DE79A7" w:rsidRDefault="00DE79A7" w:rsidP="00DE79A7">
      <w:pPr>
        <w:pStyle w:val="ListParagraph"/>
        <w:ind w:left="360" w:firstLine="0"/>
        <w:rPr>
          <w:rFonts w:ascii="Calibri" w:hAnsi="Calibri" w:cs="Calibri"/>
          <w:color w:val="1F497D"/>
          <w:sz w:val="21"/>
          <w:szCs w:val="21"/>
          <w:lang w:val="en-US" w:eastAsia="zh-CN"/>
        </w:rPr>
      </w:pPr>
    </w:p>
    <w:tbl>
      <w:tblPr>
        <w:tblStyle w:val="TableGrid"/>
        <w:tblW w:w="0" w:type="auto"/>
        <w:tblLook w:val="04A0" w:firstRow="1" w:lastRow="0" w:firstColumn="1" w:lastColumn="0" w:noHBand="0" w:noVBand="1"/>
      </w:tblPr>
      <w:tblGrid>
        <w:gridCol w:w="1555"/>
        <w:gridCol w:w="7507"/>
      </w:tblGrid>
      <w:tr w:rsidR="00DE79A7" w14:paraId="419FBCC5" w14:textId="77777777" w:rsidTr="00DE79A7">
        <w:tc>
          <w:tcPr>
            <w:tcW w:w="1555" w:type="dxa"/>
          </w:tcPr>
          <w:p w14:paraId="5C9C8CA3" w14:textId="6D3F714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Lenovo</w:t>
            </w:r>
          </w:p>
        </w:tc>
        <w:tc>
          <w:tcPr>
            <w:tcW w:w="7507" w:type="dxa"/>
          </w:tcPr>
          <w:p w14:paraId="7CCC387B" w14:textId="5441A68D" w:rsidR="00DE79A7" w:rsidRDefault="003132B6">
            <w:pPr>
              <w:rPr>
                <w:rFonts w:ascii="Calibri" w:hAnsi="Calibri" w:cs="Calibri"/>
                <w:color w:val="1F497D"/>
                <w:sz w:val="21"/>
                <w:szCs w:val="21"/>
                <w:lang w:val="en-US" w:eastAsia="zh-CN"/>
              </w:rPr>
            </w:pPr>
            <w:r>
              <w:rPr>
                <w:rFonts w:ascii="Calibri" w:hAnsi="Calibri" w:cs="Calibri"/>
                <w:color w:val="1F497D"/>
                <w:sz w:val="21"/>
                <w:szCs w:val="21"/>
                <w:lang w:val="en-US" w:eastAsia="zh-CN"/>
              </w:rPr>
              <w:t>Node level EDI provided to SMF is enough, no requirement for session level EDI sent to the SMF is seen up to now.</w:t>
            </w:r>
          </w:p>
        </w:tc>
      </w:tr>
      <w:tr w:rsidR="00DE79A7" w14:paraId="45882AA9" w14:textId="77777777" w:rsidTr="00DE79A7">
        <w:tc>
          <w:tcPr>
            <w:tcW w:w="1555" w:type="dxa"/>
          </w:tcPr>
          <w:p w14:paraId="2819B599" w14:textId="772220FE"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Ericssson</w:t>
            </w:r>
          </w:p>
        </w:tc>
        <w:tc>
          <w:tcPr>
            <w:tcW w:w="7507" w:type="dxa"/>
          </w:tcPr>
          <w:p w14:paraId="7D5874DD" w14:textId="4D70576A" w:rsidR="00DE79A7" w:rsidRDefault="009C1F54">
            <w:pPr>
              <w:rPr>
                <w:rFonts w:ascii="Calibri" w:hAnsi="Calibri" w:cs="Calibri"/>
                <w:color w:val="1F497D"/>
                <w:sz w:val="21"/>
                <w:szCs w:val="21"/>
                <w:lang w:val="en-US" w:eastAsia="zh-CN"/>
              </w:rPr>
            </w:pPr>
            <w:r>
              <w:rPr>
                <w:rFonts w:ascii="Calibri" w:hAnsi="Calibri" w:cs="Calibri"/>
                <w:color w:val="1F497D"/>
                <w:sz w:val="21"/>
                <w:szCs w:val="21"/>
                <w:lang w:val="en-US" w:eastAsia="zh-CN"/>
              </w:rPr>
              <w:t>Node Level EDI is enough</w:t>
            </w:r>
          </w:p>
        </w:tc>
      </w:tr>
      <w:tr w:rsidR="00DE79A7" w14:paraId="2449F974" w14:textId="77777777" w:rsidTr="00DE79A7">
        <w:tc>
          <w:tcPr>
            <w:tcW w:w="1555" w:type="dxa"/>
          </w:tcPr>
          <w:p w14:paraId="13D97049" w14:textId="40674006"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Huawei</w:t>
            </w:r>
          </w:p>
        </w:tc>
        <w:tc>
          <w:tcPr>
            <w:tcW w:w="7507" w:type="dxa"/>
          </w:tcPr>
          <w:p w14:paraId="17B560A9" w14:textId="140A50FE" w:rsidR="00DE79A7" w:rsidRDefault="003132B6">
            <w:pPr>
              <w:rPr>
                <w:rFonts w:ascii="Calibri" w:hAnsi="Calibri" w:cs="Calibri"/>
                <w:color w:val="1F497D"/>
                <w:sz w:val="21"/>
                <w:szCs w:val="21"/>
                <w:lang w:val="en-US" w:eastAsia="zh-CN"/>
              </w:rPr>
            </w:pPr>
            <w:r>
              <w:rPr>
                <w:rFonts w:ascii="Calibri" w:hAnsi="Calibri" w:cs="Calibri"/>
                <w:color w:val="1F497D"/>
                <w:sz w:val="21"/>
                <w:szCs w:val="21"/>
                <w:lang w:val="en-US" w:eastAsia="zh-CN"/>
              </w:rPr>
              <w:t>if the session level EDI means EDI dedicated to specific session, then) both Node level EDI and session level EDI is needed. Session level EDI is used by AF for traffic influence for specific session, and it is provided by AF to SMF via AF traffic influence; Node Level EDI is used not specific to any UE.</w:t>
            </w:r>
          </w:p>
        </w:tc>
      </w:tr>
      <w:tr w:rsidR="00DE79A7" w14:paraId="37B7A83E" w14:textId="77777777" w:rsidTr="00DE79A7">
        <w:tc>
          <w:tcPr>
            <w:tcW w:w="1555" w:type="dxa"/>
          </w:tcPr>
          <w:p w14:paraId="44F3AA9C" w14:textId="4C9270FA"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Nokia</w:t>
            </w:r>
          </w:p>
        </w:tc>
        <w:tc>
          <w:tcPr>
            <w:tcW w:w="7507" w:type="dxa"/>
          </w:tcPr>
          <w:p w14:paraId="52E509D9" w14:textId="5A772D28" w:rsidR="00DE79A7" w:rsidRDefault="003132B6">
            <w:pPr>
              <w:rPr>
                <w:rFonts w:ascii="Calibri" w:hAnsi="Calibri" w:cs="Calibri"/>
                <w:color w:val="1F497D"/>
                <w:sz w:val="21"/>
                <w:szCs w:val="21"/>
                <w:lang w:val="en-US" w:eastAsia="zh-CN"/>
              </w:rPr>
            </w:pPr>
            <w:r>
              <w:rPr>
                <w:rFonts w:ascii="Calibri" w:hAnsi="Calibri" w:cs="Calibri"/>
                <w:color w:val="1F497D"/>
                <w:sz w:val="21"/>
                <w:szCs w:val="21"/>
                <w:lang w:val="en-US" w:eastAsia="zh-CN"/>
              </w:rPr>
              <w:t>For EDI, Node level EDI provided to SMF is enough</w:t>
            </w:r>
            <w:r w:rsidR="0023321F">
              <w:rPr>
                <w:rFonts w:ascii="Calibri" w:hAnsi="Calibri" w:cs="Calibri"/>
                <w:color w:val="1F497D"/>
                <w:sz w:val="21"/>
                <w:szCs w:val="21"/>
                <w:lang w:val="en-US" w:eastAsia="zh-CN"/>
              </w:rPr>
              <w:t xml:space="preserve"> in terms of EDI configuration</w:t>
            </w:r>
            <w:r>
              <w:rPr>
                <w:rFonts w:ascii="Calibri" w:hAnsi="Calibri" w:cs="Calibri"/>
                <w:color w:val="1F497D"/>
                <w:sz w:val="21"/>
                <w:szCs w:val="21"/>
                <w:lang w:val="en-US" w:eastAsia="zh-CN"/>
              </w:rPr>
              <w:t>. Then the SMF provides DNS handling rules that are per PDU Session</w:t>
            </w:r>
            <w:r w:rsidR="0023321F">
              <w:rPr>
                <w:rFonts w:ascii="Calibri" w:hAnsi="Calibri" w:cs="Calibri"/>
                <w:color w:val="1F497D"/>
                <w:sz w:val="21"/>
                <w:szCs w:val="21"/>
                <w:lang w:val="en-US" w:eastAsia="zh-CN"/>
              </w:rPr>
              <w:t xml:space="preserve"> (and derived from PCC rules that themselves are derived from Nnef-traffic Influence)</w:t>
            </w:r>
            <w:r>
              <w:rPr>
                <w:rFonts w:ascii="Calibri" w:hAnsi="Calibri" w:cs="Calibri"/>
                <w:color w:val="1F497D"/>
                <w:sz w:val="21"/>
                <w:szCs w:val="21"/>
                <w:lang w:val="en-US" w:eastAsia="zh-CN"/>
              </w:rPr>
              <w:t xml:space="preserve">. </w:t>
            </w:r>
          </w:p>
        </w:tc>
      </w:tr>
      <w:tr w:rsidR="00DE79A7" w14:paraId="2494EA55" w14:textId="77777777" w:rsidTr="00DE79A7">
        <w:tc>
          <w:tcPr>
            <w:tcW w:w="1555" w:type="dxa"/>
          </w:tcPr>
          <w:p w14:paraId="1BBE2745" w14:textId="26B25F66" w:rsidR="00DE79A7" w:rsidRPr="00167531" w:rsidRDefault="00167531">
            <w:pPr>
              <w:rPr>
                <w:rFonts w:ascii="Calibri" w:hAnsi="Calibri" w:cs="Calibri"/>
                <w:color w:val="1F497D"/>
                <w:sz w:val="21"/>
                <w:szCs w:val="21"/>
                <w:lang w:eastAsia="zh-CN"/>
              </w:rPr>
            </w:pPr>
            <w:r>
              <w:rPr>
                <w:rFonts w:ascii="Calibri" w:hAnsi="Calibri" w:cs="Calibri" w:hint="eastAsia"/>
                <w:color w:val="1F497D"/>
                <w:sz w:val="21"/>
                <w:szCs w:val="21"/>
                <w:lang w:eastAsia="zh-CN"/>
              </w:rPr>
              <w:t>ZTE</w:t>
            </w:r>
          </w:p>
        </w:tc>
        <w:tc>
          <w:tcPr>
            <w:tcW w:w="7507" w:type="dxa"/>
          </w:tcPr>
          <w:p w14:paraId="68F54640" w14:textId="28A84997" w:rsidR="00DE79A7" w:rsidRDefault="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Yes. It should be possible to provide session level EDI so the AF can control the EDI per UE/session basis</w:t>
            </w:r>
          </w:p>
        </w:tc>
      </w:tr>
      <w:tr w:rsidR="00DE79A7" w14:paraId="3E0B8D8A" w14:textId="77777777" w:rsidTr="00DE79A7">
        <w:tc>
          <w:tcPr>
            <w:tcW w:w="1555" w:type="dxa"/>
          </w:tcPr>
          <w:p w14:paraId="7FEE73A0" w14:textId="10EB551D" w:rsidR="00DE79A7" w:rsidRDefault="00316C2E">
            <w:pPr>
              <w:rPr>
                <w:rFonts w:ascii="Calibri" w:hAnsi="Calibri" w:cs="Calibri"/>
                <w:color w:val="1F497D"/>
                <w:sz w:val="21"/>
                <w:szCs w:val="21"/>
                <w:lang w:val="en-US" w:eastAsia="zh-CN"/>
              </w:rPr>
            </w:pPr>
            <w:r>
              <w:rPr>
                <w:rFonts w:ascii="Calibri" w:hAnsi="Calibri" w:cs="Calibri"/>
                <w:color w:val="1F497D"/>
                <w:sz w:val="21"/>
                <w:szCs w:val="21"/>
                <w:lang w:val="en-US" w:eastAsia="zh-CN"/>
              </w:rPr>
              <w:t>V</w:t>
            </w:r>
            <w:r>
              <w:rPr>
                <w:rFonts w:ascii="Calibri" w:hAnsi="Calibri" w:cs="Calibri" w:hint="eastAsia"/>
                <w:color w:val="1F497D"/>
                <w:sz w:val="21"/>
                <w:szCs w:val="21"/>
                <w:lang w:val="en-US" w:eastAsia="zh-CN"/>
              </w:rPr>
              <w:t>ivo</w:t>
            </w:r>
          </w:p>
        </w:tc>
        <w:tc>
          <w:tcPr>
            <w:tcW w:w="7507" w:type="dxa"/>
          </w:tcPr>
          <w:p w14:paraId="6B92AEF4" w14:textId="77777777" w:rsidR="00316C2E" w:rsidRDefault="00316C2E">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I</w:t>
            </w:r>
            <w:r>
              <w:rPr>
                <w:rFonts w:ascii="Calibri" w:hAnsi="Calibri" w:cs="Calibri"/>
                <w:color w:val="1F497D"/>
                <w:sz w:val="21"/>
                <w:szCs w:val="21"/>
                <w:lang w:val="en-US" w:eastAsia="zh-CN"/>
              </w:rPr>
              <w:t xml:space="preserve"> also think node level is enough. </w:t>
            </w:r>
          </w:p>
          <w:p w14:paraId="79D6BC87" w14:textId="3DA3E4F9" w:rsidR="00DE79A7" w:rsidRDefault="00316C2E">
            <w:pPr>
              <w:rPr>
                <w:rFonts w:ascii="Calibri" w:hAnsi="Calibri" w:cs="Calibri"/>
                <w:color w:val="1F497D"/>
                <w:sz w:val="21"/>
                <w:szCs w:val="21"/>
                <w:lang w:val="en-US" w:eastAsia="zh-CN"/>
              </w:rPr>
            </w:pPr>
            <w:r>
              <w:rPr>
                <w:rFonts w:ascii="Calibri" w:hAnsi="Calibri" w:cs="Calibri"/>
                <w:color w:val="1F497D"/>
                <w:sz w:val="21"/>
                <w:szCs w:val="21"/>
                <w:lang w:val="en-US" w:eastAsia="zh-CN"/>
              </w:rPr>
              <w:t>The node level information is for the UE in this area, and for now, I can’t understand and imagine that why for a particular UE, that needs the AF to trigger another traffic influence to provide the session level information.  Does the session level have some different from node level information?</w:t>
            </w:r>
          </w:p>
        </w:tc>
      </w:tr>
      <w:tr w:rsidR="00DE79A7" w14:paraId="7E4DD2C0" w14:textId="77777777" w:rsidTr="00DE79A7">
        <w:tc>
          <w:tcPr>
            <w:tcW w:w="1555" w:type="dxa"/>
          </w:tcPr>
          <w:p w14:paraId="5C41C2C5" w14:textId="5DDCC3BE" w:rsidR="00DE79A7" w:rsidRDefault="004833F8">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T</w:t>
            </w:r>
            <w:r>
              <w:rPr>
                <w:rFonts w:ascii="Calibri" w:hAnsi="Calibri" w:cs="Calibri"/>
                <w:color w:val="1F497D"/>
                <w:sz w:val="21"/>
                <w:szCs w:val="21"/>
                <w:lang w:val="en-US" w:eastAsia="zh-CN"/>
              </w:rPr>
              <w:t>encent</w:t>
            </w:r>
          </w:p>
        </w:tc>
        <w:tc>
          <w:tcPr>
            <w:tcW w:w="7507" w:type="dxa"/>
          </w:tcPr>
          <w:p w14:paraId="61D9DF06" w14:textId="6EA0C2F1" w:rsidR="00DE79A7" w:rsidRDefault="004833F8">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Y</w:t>
            </w:r>
            <w:r>
              <w:rPr>
                <w:rFonts w:ascii="Calibri" w:hAnsi="Calibri" w:cs="Calibri"/>
                <w:color w:val="1F497D"/>
                <w:sz w:val="21"/>
                <w:szCs w:val="21"/>
                <w:lang w:val="en-US" w:eastAsia="zh-CN"/>
              </w:rPr>
              <w:t>es. Some specific UEs, e.g., VIP users, may have different rules. So we prefer to have the node</w:t>
            </w:r>
            <w:r w:rsidR="00F60DBA">
              <w:rPr>
                <w:rFonts w:ascii="Calibri" w:hAnsi="Calibri" w:cs="Calibri"/>
                <w:color w:val="1F497D"/>
                <w:sz w:val="21"/>
                <w:szCs w:val="21"/>
                <w:lang w:val="en-US" w:eastAsia="zh-CN"/>
              </w:rPr>
              <w:t>/session</w:t>
            </w:r>
            <w:r>
              <w:rPr>
                <w:rFonts w:ascii="Calibri" w:hAnsi="Calibri" w:cs="Calibri"/>
                <w:color w:val="1F497D"/>
                <w:sz w:val="21"/>
                <w:szCs w:val="21"/>
                <w:lang w:val="en-US" w:eastAsia="zh-CN"/>
              </w:rPr>
              <w:t xml:space="preserve"> level </w:t>
            </w:r>
            <w:r w:rsidR="00F60DBA">
              <w:rPr>
                <w:rFonts w:ascii="Calibri" w:hAnsi="Calibri" w:cs="Calibri"/>
                <w:color w:val="1F497D"/>
                <w:sz w:val="21"/>
                <w:szCs w:val="21"/>
                <w:lang w:val="en-US" w:eastAsia="zh-CN"/>
              </w:rPr>
              <w:t xml:space="preserve">EDI to </w:t>
            </w:r>
            <w:r w:rsidR="00C603CB">
              <w:rPr>
                <w:rFonts w:ascii="Calibri" w:hAnsi="Calibri" w:cs="Calibri"/>
                <w:color w:val="1F497D"/>
                <w:sz w:val="21"/>
                <w:szCs w:val="21"/>
                <w:lang w:val="en-US" w:eastAsia="zh-CN"/>
              </w:rPr>
              <w:t>support</w:t>
            </w:r>
            <w:r w:rsidR="00F60DBA">
              <w:rPr>
                <w:rFonts w:ascii="Calibri" w:hAnsi="Calibri" w:cs="Calibri"/>
                <w:color w:val="1F497D"/>
                <w:sz w:val="21"/>
                <w:szCs w:val="21"/>
                <w:lang w:val="en-US" w:eastAsia="zh-CN"/>
              </w:rPr>
              <w:t xml:space="preserve"> the node/</w:t>
            </w:r>
            <w:r>
              <w:rPr>
                <w:rFonts w:ascii="Calibri" w:hAnsi="Calibri" w:cs="Calibri"/>
                <w:color w:val="1F497D"/>
                <w:sz w:val="21"/>
                <w:szCs w:val="21"/>
                <w:lang w:val="en-US" w:eastAsia="zh-CN"/>
              </w:rPr>
              <w:t>session level rules.</w:t>
            </w:r>
            <w:r w:rsidR="00F60DBA">
              <w:rPr>
                <w:rFonts w:ascii="Calibri" w:hAnsi="Calibri" w:cs="Calibri"/>
                <w:color w:val="1F497D"/>
                <w:sz w:val="21"/>
                <w:szCs w:val="21"/>
                <w:lang w:val="en-US" w:eastAsia="zh-CN"/>
              </w:rPr>
              <w:t xml:space="preserve"> </w:t>
            </w:r>
          </w:p>
        </w:tc>
      </w:tr>
      <w:tr w:rsidR="00DE79A7" w14:paraId="3BC6BD48" w14:textId="77777777" w:rsidTr="00DE79A7">
        <w:tc>
          <w:tcPr>
            <w:tcW w:w="1555" w:type="dxa"/>
          </w:tcPr>
          <w:p w14:paraId="0A9B0D55" w14:textId="77777777" w:rsidR="00DE79A7" w:rsidRDefault="00DE79A7">
            <w:pPr>
              <w:rPr>
                <w:rFonts w:ascii="Calibri" w:hAnsi="Calibri" w:cs="Calibri"/>
                <w:color w:val="1F497D"/>
                <w:sz w:val="21"/>
                <w:szCs w:val="21"/>
                <w:lang w:val="en-US" w:eastAsia="zh-CN"/>
              </w:rPr>
            </w:pPr>
          </w:p>
        </w:tc>
        <w:tc>
          <w:tcPr>
            <w:tcW w:w="7507" w:type="dxa"/>
          </w:tcPr>
          <w:p w14:paraId="795B39D6" w14:textId="77777777" w:rsidR="00DE79A7" w:rsidRDefault="00DE79A7">
            <w:pPr>
              <w:rPr>
                <w:rFonts w:ascii="Calibri" w:hAnsi="Calibri" w:cs="Calibri"/>
                <w:color w:val="1F497D"/>
                <w:sz w:val="21"/>
                <w:szCs w:val="21"/>
                <w:lang w:val="en-US" w:eastAsia="zh-CN"/>
              </w:rPr>
            </w:pPr>
          </w:p>
        </w:tc>
      </w:tr>
    </w:tbl>
    <w:p w14:paraId="67EFD16B" w14:textId="77777777" w:rsidR="003132B6" w:rsidRDefault="003132B6">
      <w:pPr>
        <w:rPr>
          <w:rFonts w:ascii="Calibri" w:hAnsi="Calibri" w:cs="Calibri"/>
          <w:color w:val="1F497D"/>
          <w:sz w:val="21"/>
          <w:szCs w:val="21"/>
          <w:lang w:val="en-US" w:eastAsia="zh-CN"/>
        </w:rPr>
      </w:pPr>
    </w:p>
    <w:p w14:paraId="5690A1DD" w14:textId="77777777" w:rsidR="003132B6" w:rsidRPr="00F60DBA" w:rsidRDefault="003132B6">
      <w:pPr>
        <w:rPr>
          <w:rFonts w:ascii="Calibri" w:hAnsi="Calibri" w:cs="Calibri"/>
          <w:color w:val="1F497D"/>
          <w:sz w:val="21"/>
          <w:szCs w:val="21"/>
          <w:lang w:val="en-US" w:eastAsia="zh-CN"/>
        </w:rPr>
      </w:pPr>
    </w:p>
    <w:p w14:paraId="18802018" w14:textId="77777777" w:rsidR="003132B6" w:rsidRDefault="003132B6" w:rsidP="003132B6"/>
    <w:p w14:paraId="671F6436" w14:textId="7641D4E1"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br w:type="page"/>
      </w:r>
    </w:p>
    <w:p w14:paraId="52D3334E" w14:textId="77777777" w:rsidR="00DE79A7" w:rsidRDefault="00DE79A7" w:rsidP="00DE79A7">
      <w:pPr>
        <w:pStyle w:val="ListParagraph"/>
        <w:ind w:left="360" w:firstLine="0"/>
        <w:rPr>
          <w:rFonts w:ascii="Calibri" w:hAnsi="Calibri" w:cs="Calibri"/>
          <w:color w:val="1F497D"/>
          <w:sz w:val="21"/>
          <w:szCs w:val="21"/>
          <w:lang w:val="en-US" w:eastAsia="zh-CN"/>
        </w:rPr>
      </w:pPr>
    </w:p>
    <w:p w14:paraId="3E576C74" w14:textId="77777777" w:rsidR="00DE79A7" w:rsidRDefault="00DE79A7" w:rsidP="00DE79A7">
      <w:pPr>
        <w:rPr>
          <w:rFonts w:ascii="Calibri" w:hAnsi="Calibri" w:cs="Calibri"/>
          <w:b/>
          <w:bCs/>
          <w:color w:val="1F497D"/>
          <w:sz w:val="21"/>
          <w:szCs w:val="21"/>
          <w:lang w:val="en-US" w:eastAsia="zh-CN"/>
        </w:rPr>
      </w:pPr>
      <w:r>
        <w:rPr>
          <w:rFonts w:ascii="Calibri" w:hAnsi="Calibri" w:cs="Calibri"/>
          <w:b/>
          <w:bCs/>
          <w:color w:val="1F497D"/>
          <w:sz w:val="21"/>
          <w:szCs w:val="21"/>
          <w:lang w:val="en-US" w:eastAsia="zh-CN"/>
        </w:rPr>
        <w:t>1. How does AF provide node EDI to SMF?</w:t>
      </w:r>
    </w:p>
    <w:p w14:paraId="3AE8640D" w14:textId="77777777" w:rsidR="00DE79A7" w:rsidRDefault="00DE79A7" w:rsidP="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There are three options for this, all follow the routine of AF-&gt;NEF-&gt;UDR, but with differences between the interface between AF and NEF.</w:t>
      </w:r>
    </w:p>
    <w:tbl>
      <w:tblPr>
        <w:tblW w:w="0" w:type="auto"/>
        <w:tblCellMar>
          <w:left w:w="0" w:type="dxa"/>
          <w:right w:w="0" w:type="dxa"/>
        </w:tblCellMar>
        <w:tblLook w:val="04A0" w:firstRow="1" w:lastRow="0" w:firstColumn="1" w:lastColumn="0" w:noHBand="0" w:noVBand="1"/>
      </w:tblPr>
      <w:tblGrid>
        <w:gridCol w:w="4893"/>
        <w:gridCol w:w="4159"/>
      </w:tblGrid>
      <w:tr w:rsidR="00DE79A7" w14:paraId="6ADF907D" w14:textId="77777777" w:rsidTr="00DE79A7">
        <w:tc>
          <w:tcPr>
            <w:tcW w:w="79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530C43" w14:textId="7777777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Option A: Define a new dedicated NEF service for AF to provide EDI</w:t>
            </w:r>
          </w:p>
        </w:tc>
        <w:tc>
          <w:tcPr>
            <w:tcW w:w="56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0A0909" w14:textId="77777777" w:rsidR="00DE79A7" w:rsidRDefault="00DE79A7" w:rsidP="00167531">
            <w:pPr>
              <w:pStyle w:val="ListParagraph"/>
              <w:numPr>
                <w:ilvl w:val="0"/>
                <w:numId w:val="2"/>
              </w:numPr>
              <w:rPr>
                <w:rFonts w:ascii="Calibri" w:hAnsi="Calibri" w:cs="Calibri"/>
                <w:color w:val="1F497D"/>
                <w:sz w:val="21"/>
                <w:szCs w:val="21"/>
                <w:lang w:val="en-US" w:eastAsia="zh-CN"/>
              </w:rPr>
            </w:pPr>
            <w:r>
              <w:rPr>
                <w:rFonts w:ascii="Calibri" w:hAnsi="Calibri" w:cs="Calibri"/>
                <w:color w:val="1F497D"/>
                <w:sz w:val="21"/>
                <w:szCs w:val="21"/>
                <w:lang w:val="en-US" w:eastAsia="zh-CN"/>
              </w:rPr>
              <w:t>5400(Nokia): EDI is delivered via AF-NEF-UDR, and SMF interacts with UDR directly via Push mode only.</w:t>
            </w:r>
          </w:p>
          <w:p w14:paraId="55095591" w14:textId="77777777" w:rsidR="00DE79A7" w:rsidRDefault="00DE79A7" w:rsidP="00167531">
            <w:pPr>
              <w:pStyle w:val="ListParagraph"/>
              <w:numPr>
                <w:ilvl w:val="0"/>
                <w:numId w:val="2"/>
              </w:numPr>
              <w:rPr>
                <w:rFonts w:ascii="Calibri" w:hAnsi="Calibri" w:cs="Calibri"/>
                <w:color w:val="1F497D"/>
                <w:sz w:val="21"/>
                <w:szCs w:val="21"/>
                <w:lang w:val="en-US" w:eastAsia="zh-CN"/>
              </w:rPr>
            </w:pPr>
            <w:r>
              <w:rPr>
                <w:rFonts w:ascii="Calibri" w:hAnsi="Calibri" w:cs="Calibri"/>
                <w:color w:val="1F497D"/>
                <w:sz w:val="21"/>
                <w:szCs w:val="21"/>
                <w:lang w:val="en-US" w:eastAsia="zh-CN"/>
              </w:rPr>
              <w:t>5503(Ericsson): EDI is delivered via AF-NEF-UDR, and only pushed  to SMF based on the subscription triggered by App activation in the SMF.</w:t>
            </w:r>
          </w:p>
          <w:p w14:paraId="622485D7" w14:textId="77777777" w:rsidR="00DE79A7" w:rsidRDefault="00DE79A7" w:rsidP="00167531">
            <w:pPr>
              <w:pStyle w:val="ListParagraph"/>
              <w:numPr>
                <w:ilvl w:val="0"/>
                <w:numId w:val="2"/>
              </w:numPr>
              <w:rPr>
                <w:rFonts w:ascii="Calibri" w:hAnsi="Calibri" w:cs="Calibri"/>
                <w:color w:val="1F497D"/>
                <w:sz w:val="21"/>
                <w:szCs w:val="21"/>
                <w:lang w:val="en-US" w:eastAsia="zh-CN"/>
              </w:rPr>
            </w:pPr>
            <w:r>
              <w:rPr>
                <w:rFonts w:ascii="Calibri" w:hAnsi="Calibri" w:cs="Calibri"/>
                <w:color w:val="1F497D"/>
                <w:sz w:val="21"/>
                <w:szCs w:val="21"/>
                <w:lang w:val="en-US" w:eastAsia="zh-CN"/>
              </w:rPr>
              <w:t>6293(Lenovo)</w:t>
            </w:r>
            <w:r>
              <w:rPr>
                <w:rFonts w:ascii="SimSun" w:eastAsia="SimSun" w:hAnsi="SimSun" w:hint="eastAsia"/>
                <w:color w:val="1F497D"/>
                <w:sz w:val="21"/>
                <w:szCs w:val="21"/>
                <w:lang w:eastAsia="zh-CN"/>
              </w:rPr>
              <w:t>：</w:t>
            </w:r>
            <w:r>
              <w:rPr>
                <w:rFonts w:ascii="Calibri" w:hAnsi="Calibri" w:cs="Calibri"/>
                <w:color w:val="1F497D"/>
                <w:sz w:val="21"/>
                <w:szCs w:val="21"/>
                <w:lang w:val="en-US" w:eastAsia="zh-CN"/>
              </w:rPr>
              <w:t>EDI is delivered via AF-NEF-UDR, SMF interacts with NEF via Push/Pull mode.</w:t>
            </w:r>
          </w:p>
          <w:p w14:paraId="2E2F626C" w14:textId="77777777" w:rsidR="00DE79A7" w:rsidRDefault="00DE79A7" w:rsidP="00167531">
            <w:pPr>
              <w:pStyle w:val="ListParagraph"/>
              <w:numPr>
                <w:ilvl w:val="0"/>
                <w:numId w:val="2"/>
              </w:numPr>
              <w:rPr>
                <w:rFonts w:ascii="Calibri" w:hAnsi="Calibri" w:cs="Calibri"/>
                <w:color w:val="1F497D"/>
                <w:sz w:val="21"/>
                <w:szCs w:val="21"/>
                <w:lang w:val="en-US" w:eastAsia="zh-CN"/>
              </w:rPr>
            </w:pPr>
            <w:r>
              <w:rPr>
                <w:rFonts w:ascii="Calibri" w:hAnsi="Calibri" w:cs="Calibri"/>
                <w:color w:val="1F497D"/>
                <w:sz w:val="21"/>
                <w:szCs w:val="21"/>
                <w:lang w:val="en-US" w:eastAsia="zh-CN"/>
              </w:rPr>
              <w:t>6031(Huawei):  EDI is delivered via AF-NEF-UDR, SMF interacts with NEF via Push/Pull mode.</w:t>
            </w:r>
          </w:p>
        </w:tc>
      </w:tr>
      <w:tr w:rsidR="00DE79A7" w14:paraId="1799B135" w14:textId="77777777" w:rsidTr="00DE79A7">
        <w:tc>
          <w:tcPr>
            <w:tcW w:w="79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B701A6" w14:textId="7777777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Option B: Reuse the existing Nnef_TrafficInfluence service with Target UE Identifier set as any UE.</w:t>
            </w:r>
          </w:p>
        </w:tc>
        <w:tc>
          <w:tcPr>
            <w:tcW w:w="5601" w:type="dxa"/>
            <w:tcBorders>
              <w:top w:val="nil"/>
              <w:left w:val="nil"/>
              <w:bottom w:val="single" w:sz="8" w:space="0" w:color="auto"/>
              <w:right w:val="single" w:sz="8" w:space="0" w:color="auto"/>
            </w:tcBorders>
            <w:tcMar>
              <w:top w:w="0" w:type="dxa"/>
              <w:left w:w="108" w:type="dxa"/>
              <w:bottom w:w="0" w:type="dxa"/>
              <w:right w:w="108" w:type="dxa"/>
            </w:tcMar>
            <w:hideMark/>
          </w:tcPr>
          <w:p w14:paraId="10C7090F" w14:textId="77777777" w:rsidR="00DE79A7" w:rsidRDefault="00DE79A7" w:rsidP="00167531">
            <w:pPr>
              <w:pStyle w:val="ListParagraph"/>
              <w:numPr>
                <w:ilvl w:val="0"/>
                <w:numId w:val="3"/>
              </w:numPr>
              <w:rPr>
                <w:rFonts w:ascii="Calibri" w:hAnsi="Calibri" w:cs="Calibri"/>
                <w:color w:val="1F497D"/>
                <w:sz w:val="21"/>
                <w:szCs w:val="21"/>
                <w:lang w:val="en-US" w:eastAsia="zh-CN"/>
              </w:rPr>
            </w:pPr>
            <w:r>
              <w:rPr>
                <w:rFonts w:ascii="Calibri" w:hAnsi="Calibri" w:cs="Calibri"/>
                <w:color w:val="1F497D"/>
                <w:sz w:val="21"/>
                <w:szCs w:val="21"/>
                <w:lang w:val="en-US" w:eastAsia="zh-CN"/>
              </w:rPr>
              <w:t>5986(vivo): EDI is delivered via AF-NEF-UDR-PCF, and EDI is included in the PCC rule sent to the SMF from the PCF.</w:t>
            </w:r>
          </w:p>
          <w:p w14:paraId="3EB3506D" w14:textId="77777777" w:rsidR="00DE79A7" w:rsidRDefault="00DE79A7" w:rsidP="00167531">
            <w:pPr>
              <w:pStyle w:val="ListParagraph"/>
              <w:numPr>
                <w:ilvl w:val="0"/>
                <w:numId w:val="3"/>
              </w:numPr>
              <w:rPr>
                <w:rFonts w:ascii="Calibri" w:hAnsi="Calibri" w:cs="Calibri"/>
                <w:color w:val="1F497D"/>
                <w:sz w:val="21"/>
                <w:szCs w:val="21"/>
                <w:lang w:val="en-US" w:eastAsia="zh-CN"/>
              </w:rPr>
            </w:pPr>
            <w:r>
              <w:rPr>
                <w:rFonts w:ascii="Calibri" w:hAnsi="Calibri" w:cs="Calibri"/>
                <w:color w:val="1F497D"/>
                <w:sz w:val="21"/>
                <w:szCs w:val="21"/>
                <w:lang w:val="en-US" w:eastAsia="zh-CN"/>
              </w:rPr>
              <w:t>629</w:t>
            </w:r>
            <w:r>
              <w:rPr>
                <w:rFonts w:ascii="Calibri" w:hAnsi="Calibri" w:cs="Calibri"/>
                <w:sz w:val="21"/>
                <w:szCs w:val="21"/>
                <w:lang w:val="en-US" w:eastAsia="zh-CN"/>
              </w:rPr>
              <w:t>0</w:t>
            </w:r>
            <w:r>
              <w:rPr>
                <w:rFonts w:ascii="Calibri" w:hAnsi="Calibri" w:cs="Calibri"/>
                <w:color w:val="1F497D"/>
                <w:sz w:val="21"/>
                <w:szCs w:val="21"/>
                <w:lang w:val="en-US" w:eastAsia="zh-CN"/>
              </w:rPr>
              <w:t>/6291/629</w:t>
            </w:r>
            <w:r>
              <w:rPr>
                <w:rFonts w:ascii="Calibri" w:hAnsi="Calibri" w:cs="Calibri"/>
                <w:sz w:val="21"/>
                <w:szCs w:val="21"/>
                <w:lang w:val="en-US" w:eastAsia="zh-CN"/>
              </w:rPr>
              <w:t>2</w:t>
            </w:r>
            <w:r>
              <w:rPr>
                <w:rFonts w:ascii="Calibri" w:hAnsi="Calibri" w:cs="Calibri"/>
                <w:color w:val="1F497D"/>
                <w:sz w:val="21"/>
                <w:szCs w:val="21"/>
                <w:lang w:val="en-US" w:eastAsia="zh-CN"/>
              </w:rPr>
              <w:t>(Lenovo): EDI is delivered via AF-NEF-UDR-PCF, and EDI is provided via node level interaction between PCF and SMF.</w:t>
            </w:r>
          </w:p>
          <w:p w14:paraId="0021467C" w14:textId="77777777" w:rsidR="00DE79A7" w:rsidRDefault="00DE79A7" w:rsidP="00167531">
            <w:pPr>
              <w:pStyle w:val="ListParagraph"/>
              <w:numPr>
                <w:ilvl w:val="0"/>
                <w:numId w:val="3"/>
              </w:numPr>
              <w:rPr>
                <w:rFonts w:ascii="Calibri" w:hAnsi="Calibri" w:cs="Calibri"/>
                <w:color w:val="1F497D"/>
                <w:sz w:val="21"/>
                <w:szCs w:val="21"/>
                <w:lang w:val="en-US" w:eastAsia="zh-CN"/>
              </w:rPr>
            </w:pPr>
            <w:r>
              <w:rPr>
                <w:rFonts w:ascii="Calibri" w:hAnsi="Calibri" w:cs="Calibri"/>
                <w:color w:val="1F497D"/>
                <w:sz w:val="21"/>
                <w:szCs w:val="21"/>
                <w:lang w:val="en-US" w:eastAsia="zh-CN"/>
              </w:rPr>
              <w:t>6131/6141(Tencent): EDI is delivered via AF-NEF-UDR, and SMF interacts with UDR directly via Push/Pull mode.</w:t>
            </w:r>
          </w:p>
        </w:tc>
      </w:tr>
      <w:tr w:rsidR="00DE79A7" w14:paraId="33356D1E" w14:textId="77777777" w:rsidTr="00DE79A7">
        <w:tc>
          <w:tcPr>
            <w:tcW w:w="79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2FED88" w14:textId="7777777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OptionC: Option A + Option B</w:t>
            </w:r>
          </w:p>
        </w:tc>
        <w:tc>
          <w:tcPr>
            <w:tcW w:w="5601" w:type="dxa"/>
            <w:tcBorders>
              <w:top w:val="nil"/>
              <w:left w:val="nil"/>
              <w:bottom w:val="single" w:sz="8" w:space="0" w:color="auto"/>
              <w:right w:val="single" w:sz="8" w:space="0" w:color="auto"/>
            </w:tcBorders>
            <w:tcMar>
              <w:top w:w="0" w:type="dxa"/>
              <w:left w:w="108" w:type="dxa"/>
              <w:bottom w:w="0" w:type="dxa"/>
              <w:right w:w="108" w:type="dxa"/>
            </w:tcMar>
            <w:hideMark/>
          </w:tcPr>
          <w:p w14:paraId="0FB87A38" w14:textId="77777777" w:rsidR="00DE79A7" w:rsidRDefault="00DE79A7">
            <w:pPr>
              <w:rPr>
                <w:rFonts w:ascii="Calibri" w:hAnsi="Calibri" w:cs="Calibri"/>
                <w:color w:val="1F497D"/>
                <w:sz w:val="21"/>
                <w:szCs w:val="21"/>
                <w:lang w:val="en-US" w:eastAsia="zh-CN"/>
              </w:rPr>
            </w:pPr>
          </w:p>
        </w:tc>
      </w:tr>
    </w:tbl>
    <w:p w14:paraId="23A7E946" w14:textId="2BD5ACAC" w:rsidR="00DE79A7" w:rsidRDefault="00DE79A7" w:rsidP="00DE79A7">
      <w:pPr>
        <w:rPr>
          <w:rFonts w:ascii="Calibri" w:hAnsi="Calibri" w:cs="Calibri"/>
          <w:color w:val="1F497D"/>
          <w:sz w:val="21"/>
          <w:szCs w:val="21"/>
          <w:lang w:val="en-US" w:eastAsia="zh-CN"/>
        </w:rPr>
      </w:pPr>
    </w:p>
    <w:p w14:paraId="3F4E138F" w14:textId="31511CF5" w:rsidR="00DE79A7" w:rsidRDefault="00DE79A7" w:rsidP="00DE79A7">
      <w:pPr>
        <w:rPr>
          <w:rFonts w:ascii="Calibri" w:hAnsi="Calibri" w:cs="Calibri"/>
          <w:color w:val="1F497D"/>
          <w:sz w:val="21"/>
          <w:szCs w:val="21"/>
          <w:lang w:val="en-US" w:eastAsia="zh-CN"/>
        </w:rPr>
      </w:pPr>
    </w:p>
    <w:p w14:paraId="535CF97F" w14:textId="77777777" w:rsidR="00DE79A7" w:rsidRDefault="00DE79A7" w:rsidP="00DE79A7">
      <w:pPr>
        <w:pStyle w:val="ListParagraph"/>
        <w:ind w:left="360" w:firstLine="0"/>
        <w:rPr>
          <w:rFonts w:ascii="Calibri" w:hAnsi="Calibri" w:cs="Calibri"/>
          <w:color w:val="1F497D"/>
          <w:sz w:val="21"/>
          <w:szCs w:val="21"/>
          <w:lang w:val="en-US" w:eastAsia="zh-CN"/>
        </w:rPr>
      </w:pPr>
    </w:p>
    <w:tbl>
      <w:tblPr>
        <w:tblStyle w:val="TableGrid"/>
        <w:tblW w:w="0" w:type="auto"/>
        <w:tblLook w:val="04A0" w:firstRow="1" w:lastRow="0" w:firstColumn="1" w:lastColumn="0" w:noHBand="0" w:noVBand="1"/>
      </w:tblPr>
      <w:tblGrid>
        <w:gridCol w:w="1555"/>
        <w:gridCol w:w="7507"/>
      </w:tblGrid>
      <w:tr w:rsidR="00DE79A7" w14:paraId="6C1A6A47" w14:textId="77777777" w:rsidTr="00167531">
        <w:tc>
          <w:tcPr>
            <w:tcW w:w="1555" w:type="dxa"/>
          </w:tcPr>
          <w:p w14:paraId="30DC654A" w14:textId="77777777" w:rsidR="00DE79A7" w:rsidRDefault="00DE79A7"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Lenovo</w:t>
            </w:r>
          </w:p>
        </w:tc>
        <w:tc>
          <w:tcPr>
            <w:tcW w:w="7507" w:type="dxa"/>
          </w:tcPr>
          <w:p w14:paraId="12268DCB" w14:textId="6DE00DC3" w:rsidR="00DE79A7" w:rsidRDefault="0023321F"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Prefer “Option A: Define a new dedicated NEF service for AF to provide EDI”, and prefers that SMF interact with UDR via NEF for higher efficiency follow the same logic of PFDF management.</w:t>
            </w:r>
          </w:p>
        </w:tc>
      </w:tr>
      <w:tr w:rsidR="00DE79A7" w14:paraId="0572DD74" w14:textId="77777777" w:rsidTr="00167531">
        <w:tc>
          <w:tcPr>
            <w:tcW w:w="1555" w:type="dxa"/>
          </w:tcPr>
          <w:p w14:paraId="4C6C1536" w14:textId="77777777" w:rsidR="00DE79A7" w:rsidRDefault="00DE79A7"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Ericssson</w:t>
            </w:r>
          </w:p>
        </w:tc>
        <w:tc>
          <w:tcPr>
            <w:tcW w:w="7507" w:type="dxa"/>
          </w:tcPr>
          <w:p w14:paraId="6976965A" w14:textId="60FC1C25" w:rsidR="00DE79A7" w:rsidRDefault="009C1F54"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Option A, and only push to simplyfie operations</w:t>
            </w:r>
          </w:p>
        </w:tc>
      </w:tr>
      <w:tr w:rsidR="00DE79A7" w14:paraId="48DAB268" w14:textId="77777777" w:rsidTr="00167531">
        <w:tc>
          <w:tcPr>
            <w:tcW w:w="1555" w:type="dxa"/>
          </w:tcPr>
          <w:p w14:paraId="22A66E0E" w14:textId="77777777" w:rsidR="00DE79A7" w:rsidRDefault="00DE79A7"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Huawei</w:t>
            </w:r>
          </w:p>
        </w:tc>
        <w:tc>
          <w:tcPr>
            <w:tcW w:w="7507" w:type="dxa"/>
          </w:tcPr>
          <w:p w14:paraId="65D8CA6D" w14:textId="7F2DD6FE" w:rsidR="00DE79A7" w:rsidRDefault="0023321F"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Option A for Q1.</w:t>
            </w:r>
          </w:p>
        </w:tc>
      </w:tr>
      <w:tr w:rsidR="00DE79A7" w14:paraId="4E8B6C01" w14:textId="77777777" w:rsidTr="00167531">
        <w:tc>
          <w:tcPr>
            <w:tcW w:w="1555" w:type="dxa"/>
          </w:tcPr>
          <w:p w14:paraId="08FB0E76" w14:textId="77777777" w:rsidR="00DE79A7" w:rsidRDefault="00DE79A7"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Nokia</w:t>
            </w:r>
          </w:p>
        </w:tc>
        <w:tc>
          <w:tcPr>
            <w:tcW w:w="7507" w:type="dxa"/>
          </w:tcPr>
          <w:p w14:paraId="22666DB5" w14:textId="31DF213D" w:rsidR="00DE79A7" w:rsidRDefault="0023321F"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Prefer “Option A: Define a new dedicated NEF service for AF to provide EDI”, and prefers that SMF interact DIRECTLY with UDR for higher efficiency following the same logic than PCF for Traffic influence data</w:t>
            </w:r>
          </w:p>
        </w:tc>
      </w:tr>
      <w:tr w:rsidR="00DE79A7" w14:paraId="3A308025" w14:textId="77777777" w:rsidTr="00167531">
        <w:tc>
          <w:tcPr>
            <w:tcW w:w="1555" w:type="dxa"/>
          </w:tcPr>
          <w:p w14:paraId="55BB457E" w14:textId="0DBB8429" w:rsidR="00DE79A7" w:rsidRDefault="00167531" w:rsidP="00167531">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Z</w:t>
            </w:r>
            <w:r>
              <w:rPr>
                <w:rFonts w:ascii="Calibri" w:hAnsi="Calibri" w:cs="Calibri"/>
                <w:color w:val="1F497D"/>
                <w:sz w:val="21"/>
                <w:szCs w:val="21"/>
                <w:lang w:val="en-US" w:eastAsia="zh-CN"/>
              </w:rPr>
              <w:t>TE</w:t>
            </w:r>
          </w:p>
        </w:tc>
        <w:tc>
          <w:tcPr>
            <w:tcW w:w="7507" w:type="dxa"/>
          </w:tcPr>
          <w:p w14:paraId="0C65D888" w14:textId="6DC74954" w:rsidR="00DE79A7" w:rsidRDefault="00167531" w:rsidP="003B3BAF">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O</w:t>
            </w:r>
            <w:r>
              <w:rPr>
                <w:rFonts w:ascii="Calibri" w:hAnsi="Calibri" w:cs="Calibri"/>
                <w:color w:val="1F497D"/>
                <w:sz w:val="21"/>
                <w:szCs w:val="21"/>
                <w:lang w:val="en-US" w:eastAsia="zh-CN"/>
              </w:rPr>
              <w:t xml:space="preserve">ption A. The procedure can similar as </w:t>
            </w:r>
            <w:r>
              <w:rPr>
                <w:lang w:eastAsia="zh-CN"/>
              </w:rPr>
              <w:t>PFD</w:t>
            </w:r>
            <w:r w:rsidR="003B3BAF">
              <w:rPr>
                <w:lang w:eastAsia="zh-CN"/>
              </w:rPr>
              <w:t xml:space="preserve"> management </w:t>
            </w:r>
            <w:r>
              <w:rPr>
                <w:lang w:eastAsia="zh-CN"/>
              </w:rPr>
              <w:t>procedure, i.e. SMF communicate with the NEF. NEF is the frondend of UDR.</w:t>
            </w:r>
          </w:p>
        </w:tc>
      </w:tr>
      <w:tr w:rsidR="00DE79A7" w14:paraId="6CC9499E" w14:textId="77777777" w:rsidTr="00167531">
        <w:tc>
          <w:tcPr>
            <w:tcW w:w="1555" w:type="dxa"/>
          </w:tcPr>
          <w:p w14:paraId="71B0E1C2" w14:textId="416C165E" w:rsidR="00DE79A7" w:rsidRDefault="00D85A63"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 xml:space="preserve">Vivo </w:t>
            </w:r>
          </w:p>
        </w:tc>
        <w:tc>
          <w:tcPr>
            <w:tcW w:w="7507" w:type="dxa"/>
          </w:tcPr>
          <w:p w14:paraId="29D1B2E8" w14:textId="4F345628" w:rsidR="00DE79A7" w:rsidRDefault="00D85A63"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 xml:space="preserve">Both Option A &amp; B is ok, but if we use option A, this service should not limit the scope of only EDI. Maybe in the future, some of other information still needs to provided to 5GC as node level, so I mean, we can change the name and not limited to only EDI provision. </w:t>
            </w:r>
          </w:p>
        </w:tc>
      </w:tr>
      <w:tr w:rsidR="00DE79A7" w14:paraId="5DFCE000" w14:textId="77777777" w:rsidTr="00167531">
        <w:tc>
          <w:tcPr>
            <w:tcW w:w="1555" w:type="dxa"/>
          </w:tcPr>
          <w:p w14:paraId="011A1C5A" w14:textId="457BA66B" w:rsidR="00DE79A7" w:rsidRDefault="00C603CB" w:rsidP="00167531">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T</w:t>
            </w:r>
            <w:r>
              <w:rPr>
                <w:rFonts w:ascii="Calibri" w:hAnsi="Calibri" w:cs="Calibri"/>
                <w:color w:val="1F497D"/>
                <w:sz w:val="21"/>
                <w:szCs w:val="21"/>
                <w:lang w:val="en-US" w:eastAsia="zh-CN"/>
              </w:rPr>
              <w:t>encent</w:t>
            </w:r>
          </w:p>
        </w:tc>
        <w:tc>
          <w:tcPr>
            <w:tcW w:w="7507" w:type="dxa"/>
          </w:tcPr>
          <w:p w14:paraId="61BE562D" w14:textId="14E17011" w:rsidR="00DE79A7" w:rsidRDefault="009C073F"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Similar view as Vivo.</w:t>
            </w:r>
            <w:r w:rsidR="00C603CB">
              <w:rPr>
                <w:rFonts w:ascii="Calibri" w:hAnsi="Calibri" w:cs="Calibri"/>
                <w:color w:val="1F497D"/>
                <w:sz w:val="21"/>
                <w:szCs w:val="21"/>
                <w:lang w:val="en-US" w:eastAsia="zh-CN"/>
              </w:rPr>
              <w:t xml:space="preserve"> </w:t>
            </w:r>
            <w:r>
              <w:rPr>
                <w:rFonts w:ascii="Calibri" w:hAnsi="Calibri" w:cs="Calibri"/>
                <w:color w:val="1F497D"/>
                <w:sz w:val="21"/>
                <w:szCs w:val="21"/>
                <w:lang w:val="en-US" w:eastAsia="zh-CN"/>
              </w:rPr>
              <w:t>I</w:t>
            </w:r>
            <w:r w:rsidR="00C603CB">
              <w:rPr>
                <w:rFonts w:ascii="Calibri" w:hAnsi="Calibri" w:cs="Calibri"/>
                <w:color w:val="1F497D"/>
                <w:sz w:val="21"/>
                <w:szCs w:val="21"/>
                <w:lang w:val="en-US" w:eastAsia="zh-CN"/>
              </w:rPr>
              <w:t xml:space="preserve">f A is chosen, we prefer </w:t>
            </w:r>
            <w:r>
              <w:rPr>
                <w:rFonts w:ascii="Calibri" w:hAnsi="Calibri" w:cs="Calibri"/>
                <w:color w:val="1F497D"/>
                <w:sz w:val="21"/>
                <w:szCs w:val="21"/>
                <w:lang w:val="en-US" w:eastAsia="zh-CN"/>
              </w:rPr>
              <w:t>the way in 6293 and 6031 to enable both the push and pull mode between SMF and UDR.</w:t>
            </w:r>
          </w:p>
        </w:tc>
      </w:tr>
      <w:tr w:rsidR="00DE79A7" w14:paraId="15253E60" w14:textId="77777777" w:rsidTr="00167531">
        <w:tc>
          <w:tcPr>
            <w:tcW w:w="1555" w:type="dxa"/>
          </w:tcPr>
          <w:p w14:paraId="492A5BA2" w14:textId="77777777" w:rsidR="00DE79A7" w:rsidRDefault="00DE79A7" w:rsidP="00167531">
            <w:pPr>
              <w:rPr>
                <w:rFonts w:ascii="Calibri" w:hAnsi="Calibri" w:cs="Calibri"/>
                <w:color w:val="1F497D"/>
                <w:sz w:val="21"/>
                <w:szCs w:val="21"/>
                <w:lang w:val="en-US" w:eastAsia="zh-CN"/>
              </w:rPr>
            </w:pPr>
          </w:p>
        </w:tc>
        <w:tc>
          <w:tcPr>
            <w:tcW w:w="7507" w:type="dxa"/>
          </w:tcPr>
          <w:p w14:paraId="790A2473" w14:textId="77777777" w:rsidR="00DE79A7" w:rsidRPr="00C603CB" w:rsidRDefault="00DE79A7" w:rsidP="00167531">
            <w:pPr>
              <w:rPr>
                <w:rFonts w:ascii="Calibri" w:hAnsi="Calibri" w:cs="Calibri"/>
                <w:color w:val="1F497D"/>
                <w:sz w:val="21"/>
                <w:szCs w:val="21"/>
                <w:lang w:val="en-US" w:eastAsia="zh-CN"/>
              </w:rPr>
            </w:pPr>
          </w:p>
        </w:tc>
      </w:tr>
    </w:tbl>
    <w:p w14:paraId="0FD0ABD6" w14:textId="0F3743DB" w:rsidR="00DE79A7" w:rsidRDefault="00DE79A7" w:rsidP="00DE79A7">
      <w:pPr>
        <w:rPr>
          <w:rFonts w:ascii="Calibri" w:hAnsi="Calibri" w:cs="Calibri"/>
          <w:color w:val="1F497D"/>
          <w:sz w:val="21"/>
          <w:szCs w:val="21"/>
          <w:lang w:val="en-US" w:eastAsia="zh-CN"/>
        </w:rPr>
      </w:pPr>
    </w:p>
    <w:p w14:paraId="54CE73A4" w14:textId="0726B0EE" w:rsidR="0023321F" w:rsidRDefault="0023321F">
      <w:pPr>
        <w:rPr>
          <w:rFonts w:ascii="Calibri" w:hAnsi="Calibri" w:cs="Calibri"/>
          <w:color w:val="1F497D"/>
          <w:sz w:val="21"/>
          <w:szCs w:val="21"/>
          <w:lang w:val="en-US" w:eastAsia="zh-CN"/>
        </w:rPr>
      </w:pPr>
      <w:r>
        <w:rPr>
          <w:rFonts w:ascii="Calibri" w:hAnsi="Calibri" w:cs="Calibri"/>
          <w:color w:val="1F497D"/>
          <w:sz w:val="21"/>
          <w:szCs w:val="21"/>
          <w:lang w:val="en-US" w:eastAsia="zh-CN"/>
        </w:rPr>
        <w:lastRenderedPageBreak/>
        <w:br w:type="page"/>
      </w:r>
    </w:p>
    <w:p w14:paraId="725E4671" w14:textId="77777777" w:rsidR="00DE79A7" w:rsidRDefault="00DE79A7" w:rsidP="00DE79A7">
      <w:pPr>
        <w:rPr>
          <w:rFonts w:ascii="Calibri" w:hAnsi="Calibri" w:cs="Calibri"/>
          <w:color w:val="1F497D"/>
          <w:sz w:val="21"/>
          <w:szCs w:val="21"/>
          <w:lang w:val="en-US" w:eastAsia="zh-CN"/>
        </w:rPr>
      </w:pPr>
    </w:p>
    <w:p w14:paraId="7BACDFF1" w14:textId="77777777" w:rsidR="00DE79A7" w:rsidRDefault="00DE79A7" w:rsidP="00DE79A7">
      <w:pPr>
        <w:rPr>
          <w:rFonts w:ascii="Calibri" w:hAnsi="Calibri" w:cs="Calibri"/>
          <w:b/>
          <w:bCs/>
          <w:color w:val="1F497D"/>
          <w:sz w:val="21"/>
          <w:szCs w:val="21"/>
          <w:lang w:val="en-US" w:eastAsia="zh-CN"/>
        </w:rPr>
      </w:pPr>
      <w:r>
        <w:rPr>
          <w:rFonts w:ascii="Calibri" w:hAnsi="Calibri" w:cs="Calibri"/>
          <w:b/>
          <w:bCs/>
          <w:color w:val="1F497D"/>
          <w:sz w:val="21"/>
          <w:szCs w:val="21"/>
          <w:lang w:val="en-US" w:eastAsia="zh-CN"/>
        </w:rPr>
        <w:t>2. How does EASDF get node level info? From where? (SMF or NEF)</w:t>
      </w:r>
    </w:p>
    <w:p w14:paraId="321825A0" w14:textId="77777777" w:rsidR="00DE79A7" w:rsidRDefault="00DE79A7" w:rsidP="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Different options is summarized as follows:</w:t>
      </w:r>
    </w:p>
    <w:tbl>
      <w:tblPr>
        <w:tblW w:w="0" w:type="auto"/>
        <w:tblCellMar>
          <w:left w:w="0" w:type="dxa"/>
          <w:right w:w="0" w:type="dxa"/>
        </w:tblCellMar>
        <w:tblLook w:val="04A0" w:firstRow="1" w:lastRow="0" w:firstColumn="1" w:lastColumn="0" w:noHBand="0" w:noVBand="1"/>
      </w:tblPr>
      <w:tblGrid>
        <w:gridCol w:w="5275"/>
        <w:gridCol w:w="3777"/>
      </w:tblGrid>
      <w:tr w:rsidR="00DE79A7" w14:paraId="7AAB623F" w14:textId="77777777" w:rsidTr="0023321F">
        <w:tc>
          <w:tcPr>
            <w:tcW w:w="52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FD4A44E" w14:textId="7777777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Option A:</w:t>
            </w:r>
            <w:r>
              <w:rPr>
                <w:lang w:val="en-US"/>
              </w:rPr>
              <w:t xml:space="preserve"> </w:t>
            </w:r>
            <w:r>
              <w:rPr>
                <w:rFonts w:ascii="Calibri" w:hAnsi="Calibri" w:cs="Calibri"/>
                <w:color w:val="00B050"/>
                <w:sz w:val="21"/>
                <w:szCs w:val="21"/>
                <w:lang w:val="en-US" w:eastAsia="zh-CN"/>
              </w:rPr>
              <w:t>SMF-&gt;EASDF</w:t>
            </w:r>
            <w:r>
              <w:rPr>
                <w:rFonts w:ascii="Calibri" w:hAnsi="Calibri" w:cs="Calibri"/>
                <w:color w:val="1F497D"/>
                <w:sz w:val="21"/>
                <w:szCs w:val="21"/>
                <w:lang w:val="en-US" w:eastAsia="zh-CN"/>
              </w:rPr>
              <w:t>, SMF provide node level information to EASDF by EASDF service.</w:t>
            </w:r>
          </w:p>
        </w:tc>
        <w:tc>
          <w:tcPr>
            <w:tcW w:w="37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B0048E" w14:textId="7777777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5503(Ericsson), 6034(Huawei), 5994(vivo), 5616(Samsung), 6294 (Lenovo), 5400(Nokia)</w:t>
            </w:r>
          </w:p>
        </w:tc>
      </w:tr>
      <w:tr w:rsidR="00DE79A7" w14:paraId="4084341C" w14:textId="77777777" w:rsidTr="0023321F">
        <w:tc>
          <w:tcPr>
            <w:tcW w:w="5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E5009A" w14:textId="7777777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Option B:</w:t>
            </w:r>
            <w:r>
              <w:rPr>
                <w:rFonts w:ascii="Calibri" w:hAnsi="Calibri" w:cs="Calibri"/>
                <w:color w:val="00B050"/>
                <w:sz w:val="21"/>
                <w:szCs w:val="21"/>
                <w:lang w:val="en-US" w:eastAsia="zh-CN"/>
              </w:rPr>
              <w:t xml:space="preserve"> NEF-&gt;EASDF</w:t>
            </w:r>
            <w:r>
              <w:rPr>
                <w:rFonts w:ascii="Calibri" w:hAnsi="Calibri" w:cs="Calibri"/>
                <w:color w:val="1F497D"/>
                <w:sz w:val="21"/>
                <w:szCs w:val="21"/>
                <w:lang w:val="en-US" w:eastAsia="zh-CN"/>
              </w:rPr>
              <w:t>,  EASDF could use the new NEF service (the same as NEF-&gt;SMF in option A) to fetch EDI directly without involving SMF.</w:t>
            </w:r>
          </w:p>
        </w:tc>
        <w:tc>
          <w:tcPr>
            <w:tcW w:w="3777" w:type="dxa"/>
            <w:tcBorders>
              <w:top w:val="nil"/>
              <w:left w:val="nil"/>
              <w:bottom w:val="single" w:sz="8" w:space="0" w:color="auto"/>
              <w:right w:val="single" w:sz="8" w:space="0" w:color="auto"/>
            </w:tcBorders>
            <w:tcMar>
              <w:top w:w="0" w:type="dxa"/>
              <w:left w:w="108" w:type="dxa"/>
              <w:bottom w:w="0" w:type="dxa"/>
              <w:right w:w="108" w:type="dxa"/>
            </w:tcMar>
            <w:hideMark/>
          </w:tcPr>
          <w:p w14:paraId="3B54D535" w14:textId="7777777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5616(Samsung)</w:t>
            </w:r>
          </w:p>
        </w:tc>
      </w:tr>
    </w:tbl>
    <w:p w14:paraId="2ACFF88E" w14:textId="62CA7537" w:rsidR="00DE79A7" w:rsidRDefault="00DE79A7" w:rsidP="00DE79A7">
      <w:pPr>
        <w:rPr>
          <w:rFonts w:ascii="Calibri" w:hAnsi="Calibri" w:cs="Calibri"/>
          <w:color w:val="1F497D"/>
          <w:sz w:val="21"/>
          <w:szCs w:val="21"/>
          <w:lang w:val="en-US" w:eastAsia="zh-CN"/>
        </w:rPr>
      </w:pPr>
    </w:p>
    <w:p w14:paraId="279E1D92" w14:textId="77777777" w:rsidR="003132B6" w:rsidRDefault="003132B6" w:rsidP="003132B6">
      <w:pPr>
        <w:pStyle w:val="ListParagraph"/>
        <w:ind w:left="360" w:firstLine="0"/>
        <w:rPr>
          <w:rFonts w:ascii="Calibri" w:hAnsi="Calibri" w:cs="Calibri"/>
          <w:color w:val="1F497D"/>
          <w:sz w:val="21"/>
          <w:szCs w:val="21"/>
          <w:lang w:val="en-US" w:eastAsia="zh-CN"/>
        </w:rPr>
      </w:pPr>
    </w:p>
    <w:tbl>
      <w:tblPr>
        <w:tblStyle w:val="TableGrid"/>
        <w:tblW w:w="0" w:type="auto"/>
        <w:tblLook w:val="04A0" w:firstRow="1" w:lastRow="0" w:firstColumn="1" w:lastColumn="0" w:noHBand="0" w:noVBand="1"/>
      </w:tblPr>
      <w:tblGrid>
        <w:gridCol w:w="1555"/>
        <w:gridCol w:w="7507"/>
      </w:tblGrid>
      <w:tr w:rsidR="003132B6" w14:paraId="19FEA7B6" w14:textId="77777777" w:rsidTr="00167531">
        <w:tc>
          <w:tcPr>
            <w:tcW w:w="1555" w:type="dxa"/>
          </w:tcPr>
          <w:p w14:paraId="77E1309E" w14:textId="77777777" w:rsidR="003132B6" w:rsidRDefault="003132B6"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Lenovo</w:t>
            </w:r>
          </w:p>
        </w:tc>
        <w:tc>
          <w:tcPr>
            <w:tcW w:w="7507" w:type="dxa"/>
          </w:tcPr>
          <w:p w14:paraId="151321A6" w14:textId="404A9359" w:rsidR="003132B6" w:rsidRDefault="0023321F"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Prefer “Option A: SMF-&gt;EASDF” to follow the same logic of PFDF management and SMF can be the Data concentration point to have all the information for DNS handling rule to guarantee the information consistency as much as possible.</w:t>
            </w:r>
          </w:p>
        </w:tc>
      </w:tr>
      <w:tr w:rsidR="003132B6" w14:paraId="5F522D8D" w14:textId="77777777" w:rsidTr="00167531">
        <w:tc>
          <w:tcPr>
            <w:tcW w:w="1555" w:type="dxa"/>
          </w:tcPr>
          <w:p w14:paraId="5974B2C1" w14:textId="77777777" w:rsidR="003132B6" w:rsidRDefault="003132B6"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Ericssson</w:t>
            </w:r>
          </w:p>
        </w:tc>
        <w:tc>
          <w:tcPr>
            <w:tcW w:w="7507" w:type="dxa"/>
          </w:tcPr>
          <w:p w14:paraId="6CFA7472" w14:textId="02F1B0BA" w:rsidR="003132B6" w:rsidRDefault="009C1F54"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From SMF</w:t>
            </w:r>
          </w:p>
        </w:tc>
      </w:tr>
      <w:tr w:rsidR="003132B6" w14:paraId="1E942EF9" w14:textId="77777777" w:rsidTr="00167531">
        <w:tc>
          <w:tcPr>
            <w:tcW w:w="1555" w:type="dxa"/>
          </w:tcPr>
          <w:p w14:paraId="6EAA690A" w14:textId="77777777" w:rsidR="003132B6" w:rsidRDefault="003132B6"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Huawei</w:t>
            </w:r>
          </w:p>
        </w:tc>
        <w:tc>
          <w:tcPr>
            <w:tcW w:w="7507" w:type="dxa"/>
          </w:tcPr>
          <w:p w14:paraId="1A8C9747" w14:textId="32DBDAD6" w:rsidR="003132B6" w:rsidRDefault="0023321F"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Option A for Q2</w:t>
            </w:r>
          </w:p>
        </w:tc>
      </w:tr>
      <w:tr w:rsidR="003132B6" w14:paraId="50195607" w14:textId="77777777" w:rsidTr="00167531">
        <w:tc>
          <w:tcPr>
            <w:tcW w:w="1555" w:type="dxa"/>
          </w:tcPr>
          <w:p w14:paraId="35DAD86E" w14:textId="77777777" w:rsidR="003132B6" w:rsidRDefault="003132B6"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Nokia</w:t>
            </w:r>
          </w:p>
        </w:tc>
        <w:tc>
          <w:tcPr>
            <w:tcW w:w="7507" w:type="dxa"/>
          </w:tcPr>
          <w:p w14:paraId="27ADC2DD" w14:textId="17BA6B52" w:rsidR="003132B6" w:rsidRDefault="0023321F"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SMF provide node level information to EASDF. This keeps SMF as the controlling node for the feature and allows some EDI information to be used at SMF level (e.g. DNS address to use to configure the Ue in option C)</w:t>
            </w:r>
          </w:p>
        </w:tc>
      </w:tr>
      <w:tr w:rsidR="003132B6" w14:paraId="036BFA57" w14:textId="77777777" w:rsidTr="00167531">
        <w:tc>
          <w:tcPr>
            <w:tcW w:w="1555" w:type="dxa"/>
          </w:tcPr>
          <w:p w14:paraId="770617CA" w14:textId="44D23C38" w:rsidR="003132B6" w:rsidRDefault="00167531" w:rsidP="00167531">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Z</w:t>
            </w:r>
            <w:r>
              <w:rPr>
                <w:rFonts w:ascii="Calibri" w:hAnsi="Calibri" w:cs="Calibri"/>
                <w:color w:val="1F497D"/>
                <w:sz w:val="21"/>
                <w:szCs w:val="21"/>
                <w:lang w:val="en-US" w:eastAsia="zh-CN"/>
              </w:rPr>
              <w:t>TE</w:t>
            </w:r>
          </w:p>
        </w:tc>
        <w:tc>
          <w:tcPr>
            <w:tcW w:w="7507" w:type="dxa"/>
          </w:tcPr>
          <w:p w14:paraId="3FCBAB00" w14:textId="1C63151C" w:rsidR="003132B6" w:rsidRDefault="00167531" w:rsidP="001D1A5C">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Op</w:t>
            </w:r>
            <w:r>
              <w:rPr>
                <w:rFonts w:ascii="Calibri" w:hAnsi="Calibri" w:cs="Calibri"/>
                <w:color w:val="1F497D"/>
                <w:sz w:val="21"/>
                <w:szCs w:val="21"/>
                <w:lang w:val="en-US" w:eastAsia="zh-CN"/>
              </w:rPr>
              <w:t xml:space="preserve">tion A. </w:t>
            </w:r>
            <w:r w:rsidR="001D1A5C">
              <w:rPr>
                <w:rFonts w:ascii="Calibri" w:hAnsi="Calibri" w:cs="Calibri"/>
                <w:color w:val="1F497D"/>
                <w:sz w:val="21"/>
                <w:szCs w:val="21"/>
                <w:lang w:val="en-US" w:eastAsia="zh-CN"/>
              </w:rPr>
              <w:t>The SMF needs to provide the rule Id of the node level information to EASDF for the session, therefore the SMF has to understand the node level information.</w:t>
            </w:r>
          </w:p>
        </w:tc>
      </w:tr>
      <w:tr w:rsidR="003132B6" w14:paraId="30DC53DB" w14:textId="77777777" w:rsidTr="00167531">
        <w:tc>
          <w:tcPr>
            <w:tcW w:w="1555" w:type="dxa"/>
          </w:tcPr>
          <w:p w14:paraId="606F9F30" w14:textId="5A3EF7E5" w:rsidR="003132B6" w:rsidRDefault="00D85A63"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 xml:space="preserve">Vivo </w:t>
            </w:r>
          </w:p>
        </w:tc>
        <w:tc>
          <w:tcPr>
            <w:tcW w:w="7507" w:type="dxa"/>
          </w:tcPr>
          <w:p w14:paraId="353AEE7F" w14:textId="14D5B95A" w:rsidR="003132B6" w:rsidRDefault="00D85A63"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Option A. SMF to control the information is reasonable, because SMF is also responsible for the user plane selection under the help of EDI</w:t>
            </w:r>
          </w:p>
        </w:tc>
      </w:tr>
      <w:tr w:rsidR="003132B6" w14:paraId="74DF0854" w14:textId="77777777" w:rsidTr="00167531">
        <w:tc>
          <w:tcPr>
            <w:tcW w:w="1555" w:type="dxa"/>
          </w:tcPr>
          <w:p w14:paraId="0F89CA9C" w14:textId="00C956B1" w:rsidR="003132B6" w:rsidRDefault="00CC13EB" w:rsidP="00167531">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T</w:t>
            </w:r>
            <w:r>
              <w:rPr>
                <w:rFonts w:ascii="Calibri" w:hAnsi="Calibri" w:cs="Calibri"/>
                <w:color w:val="1F497D"/>
                <w:sz w:val="21"/>
                <w:szCs w:val="21"/>
                <w:lang w:val="en-US" w:eastAsia="zh-CN"/>
              </w:rPr>
              <w:t>encent</w:t>
            </w:r>
          </w:p>
        </w:tc>
        <w:tc>
          <w:tcPr>
            <w:tcW w:w="7507" w:type="dxa"/>
          </w:tcPr>
          <w:p w14:paraId="342E722D" w14:textId="7CE9EFDC" w:rsidR="003132B6" w:rsidRDefault="00CC13EB" w:rsidP="00167531">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O</w:t>
            </w:r>
            <w:r>
              <w:rPr>
                <w:rFonts w:ascii="Calibri" w:hAnsi="Calibri" w:cs="Calibri"/>
                <w:color w:val="1F497D"/>
                <w:sz w:val="21"/>
                <w:szCs w:val="21"/>
                <w:lang w:val="en-US" w:eastAsia="zh-CN"/>
              </w:rPr>
              <w:t>ption A. SMF provides node level information to EASDF and could also guarantee the consistency of the rules.</w:t>
            </w:r>
          </w:p>
        </w:tc>
      </w:tr>
      <w:tr w:rsidR="003132B6" w14:paraId="743F7729" w14:textId="77777777" w:rsidTr="00167531">
        <w:tc>
          <w:tcPr>
            <w:tcW w:w="1555" w:type="dxa"/>
          </w:tcPr>
          <w:p w14:paraId="2B4F7282" w14:textId="77777777" w:rsidR="003132B6" w:rsidRDefault="003132B6" w:rsidP="00167531">
            <w:pPr>
              <w:rPr>
                <w:rFonts w:ascii="Calibri" w:hAnsi="Calibri" w:cs="Calibri"/>
                <w:color w:val="1F497D"/>
                <w:sz w:val="21"/>
                <w:szCs w:val="21"/>
                <w:lang w:val="en-US" w:eastAsia="zh-CN"/>
              </w:rPr>
            </w:pPr>
          </w:p>
        </w:tc>
        <w:tc>
          <w:tcPr>
            <w:tcW w:w="7507" w:type="dxa"/>
          </w:tcPr>
          <w:p w14:paraId="21E89F99" w14:textId="77777777" w:rsidR="003132B6" w:rsidRDefault="003132B6" w:rsidP="00167531">
            <w:pPr>
              <w:rPr>
                <w:rFonts w:ascii="Calibri" w:hAnsi="Calibri" w:cs="Calibri"/>
                <w:color w:val="1F497D"/>
                <w:sz w:val="21"/>
                <w:szCs w:val="21"/>
                <w:lang w:val="en-US" w:eastAsia="zh-CN"/>
              </w:rPr>
            </w:pPr>
          </w:p>
        </w:tc>
      </w:tr>
    </w:tbl>
    <w:p w14:paraId="03F89166" w14:textId="77777777" w:rsidR="0023321F" w:rsidRDefault="0023321F">
      <w:pPr>
        <w:rPr>
          <w:rFonts w:ascii="Calibri" w:hAnsi="Calibri" w:cs="Calibri"/>
          <w:color w:val="1F497D"/>
          <w:sz w:val="21"/>
          <w:szCs w:val="21"/>
          <w:lang w:val="en-US" w:eastAsia="zh-CN"/>
        </w:rPr>
      </w:pPr>
    </w:p>
    <w:p w14:paraId="0BFFA689" w14:textId="350EC7B0" w:rsidR="00DE79A7" w:rsidRDefault="0023321F">
      <w:pPr>
        <w:rPr>
          <w:rFonts w:ascii="Calibri" w:hAnsi="Calibri" w:cs="Calibri"/>
          <w:color w:val="1F497D"/>
          <w:sz w:val="21"/>
          <w:szCs w:val="21"/>
          <w:lang w:val="en-US" w:eastAsia="zh-CN"/>
        </w:rPr>
      </w:pPr>
      <w:r>
        <w:rPr>
          <w:rFonts w:ascii="Calibri" w:hAnsi="Calibri" w:cs="Calibri"/>
          <w:color w:val="1F497D"/>
          <w:sz w:val="21"/>
          <w:szCs w:val="21"/>
          <w:lang w:val="en-US" w:eastAsia="zh-CN"/>
        </w:rPr>
        <w:t xml:space="preserve"> </w:t>
      </w:r>
      <w:r>
        <w:rPr>
          <w:rFonts w:ascii="Calibri" w:hAnsi="Calibri" w:cs="Calibri"/>
          <w:color w:val="1F497D"/>
          <w:sz w:val="21"/>
          <w:szCs w:val="21"/>
          <w:lang w:val="en-US" w:eastAsia="zh-CN"/>
        </w:rPr>
        <w:br w:type="page"/>
      </w:r>
    </w:p>
    <w:p w14:paraId="077F2606" w14:textId="77777777" w:rsidR="00DE79A7" w:rsidRDefault="00DE79A7" w:rsidP="00DE79A7">
      <w:pPr>
        <w:rPr>
          <w:rFonts w:ascii="Calibri" w:hAnsi="Calibri" w:cs="Calibri"/>
          <w:b/>
          <w:bCs/>
          <w:color w:val="1F497D"/>
          <w:sz w:val="21"/>
          <w:szCs w:val="21"/>
          <w:lang w:val="en-US" w:eastAsia="zh-CN"/>
        </w:rPr>
      </w:pPr>
      <w:r>
        <w:rPr>
          <w:rFonts w:ascii="Calibri" w:hAnsi="Calibri" w:cs="Calibri"/>
          <w:b/>
          <w:bCs/>
          <w:color w:val="1F497D"/>
          <w:sz w:val="21"/>
          <w:szCs w:val="21"/>
          <w:lang w:val="en-US" w:eastAsia="zh-CN"/>
        </w:rPr>
        <w:lastRenderedPageBreak/>
        <w:t>3. What’s the node level info provided to EASDF? Is it same as the EDI from AF?</w:t>
      </w:r>
    </w:p>
    <w:p w14:paraId="33E25DC4" w14:textId="77777777" w:rsidR="00DE79A7" w:rsidRDefault="00DE79A7" w:rsidP="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AS for the content of node level info, there are some different proposals:</w:t>
      </w:r>
    </w:p>
    <w:tbl>
      <w:tblPr>
        <w:tblW w:w="0" w:type="auto"/>
        <w:tblCellMar>
          <w:left w:w="0" w:type="dxa"/>
          <w:right w:w="0" w:type="dxa"/>
        </w:tblCellMar>
        <w:tblLook w:val="04A0" w:firstRow="1" w:lastRow="0" w:firstColumn="1" w:lastColumn="0" w:noHBand="0" w:noVBand="1"/>
      </w:tblPr>
      <w:tblGrid>
        <w:gridCol w:w="5174"/>
        <w:gridCol w:w="3878"/>
      </w:tblGrid>
      <w:tr w:rsidR="00DE79A7" w14:paraId="31F07A26" w14:textId="77777777" w:rsidTr="0023321F">
        <w:tc>
          <w:tcPr>
            <w:tcW w:w="51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285E36" w14:textId="7777777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Option A: Node level info is the same as EAS Deployment Info from AF.</w:t>
            </w:r>
          </w:p>
        </w:tc>
        <w:tc>
          <w:tcPr>
            <w:tcW w:w="38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B3271D" w14:textId="7777777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5616(Samsung)</w:t>
            </w:r>
          </w:p>
        </w:tc>
      </w:tr>
      <w:tr w:rsidR="00DE79A7" w14:paraId="016A5C6B" w14:textId="77777777" w:rsidTr="0023321F">
        <w:tc>
          <w:tcPr>
            <w:tcW w:w="51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8ACBE2" w14:textId="7777777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Option B: define a separated information structure which is different from existing session level DNS message handling rule.</w:t>
            </w:r>
          </w:p>
        </w:tc>
        <w:tc>
          <w:tcPr>
            <w:tcW w:w="3878" w:type="dxa"/>
            <w:tcBorders>
              <w:top w:val="nil"/>
              <w:left w:val="nil"/>
              <w:bottom w:val="single" w:sz="8" w:space="0" w:color="auto"/>
              <w:right w:val="single" w:sz="8" w:space="0" w:color="auto"/>
            </w:tcBorders>
            <w:tcMar>
              <w:top w:w="0" w:type="dxa"/>
              <w:left w:w="108" w:type="dxa"/>
              <w:bottom w:w="0" w:type="dxa"/>
              <w:right w:w="108" w:type="dxa"/>
            </w:tcMar>
            <w:hideMark/>
          </w:tcPr>
          <w:p w14:paraId="74BC9343" w14:textId="7777777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6034(Huawei)</w:t>
            </w:r>
          </w:p>
        </w:tc>
      </w:tr>
      <w:tr w:rsidR="00DE79A7" w14:paraId="6BBD277D" w14:textId="77777777" w:rsidTr="0023321F">
        <w:tc>
          <w:tcPr>
            <w:tcW w:w="51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6817B6" w14:textId="7777777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Option C: Node Level Information share the same structure as Session Level DNS message handling rule that has been defined, but provisioned by node level procedure.</w:t>
            </w:r>
          </w:p>
        </w:tc>
        <w:tc>
          <w:tcPr>
            <w:tcW w:w="3878" w:type="dxa"/>
            <w:tcBorders>
              <w:top w:val="nil"/>
              <w:left w:val="nil"/>
              <w:bottom w:val="single" w:sz="8" w:space="0" w:color="auto"/>
              <w:right w:val="single" w:sz="8" w:space="0" w:color="auto"/>
            </w:tcBorders>
            <w:tcMar>
              <w:top w:w="0" w:type="dxa"/>
              <w:left w:w="108" w:type="dxa"/>
              <w:bottom w:w="0" w:type="dxa"/>
              <w:right w:w="108" w:type="dxa"/>
            </w:tcMar>
            <w:hideMark/>
          </w:tcPr>
          <w:p w14:paraId="7C628CB6" w14:textId="7777777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5994(vivo), 5510(Ericsson), 6294(Lenovo)</w:t>
            </w:r>
          </w:p>
        </w:tc>
      </w:tr>
    </w:tbl>
    <w:p w14:paraId="52A0CC89" w14:textId="77777777" w:rsidR="00DE79A7" w:rsidRDefault="00DE79A7" w:rsidP="00DE79A7">
      <w:pPr>
        <w:rPr>
          <w:rFonts w:ascii="Calibri" w:hAnsi="Calibri" w:cs="Calibri"/>
          <w:color w:val="1F497D"/>
          <w:sz w:val="21"/>
          <w:szCs w:val="21"/>
          <w:lang w:val="en-US" w:eastAsia="zh-CN"/>
        </w:rPr>
      </w:pPr>
    </w:p>
    <w:p w14:paraId="41CB6425" w14:textId="77777777" w:rsidR="003132B6" w:rsidRDefault="003132B6" w:rsidP="003132B6">
      <w:pPr>
        <w:pStyle w:val="ListParagraph"/>
        <w:ind w:left="360" w:firstLine="0"/>
        <w:rPr>
          <w:rFonts w:ascii="Calibri" w:hAnsi="Calibri" w:cs="Calibri"/>
          <w:color w:val="1F497D"/>
          <w:sz w:val="21"/>
          <w:szCs w:val="21"/>
          <w:lang w:val="en-US" w:eastAsia="zh-CN"/>
        </w:rPr>
      </w:pPr>
    </w:p>
    <w:tbl>
      <w:tblPr>
        <w:tblStyle w:val="TableGrid"/>
        <w:tblW w:w="0" w:type="auto"/>
        <w:tblLook w:val="04A0" w:firstRow="1" w:lastRow="0" w:firstColumn="1" w:lastColumn="0" w:noHBand="0" w:noVBand="1"/>
      </w:tblPr>
      <w:tblGrid>
        <w:gridCol w:w="1555"/>
        <w:gridCol w:w="7507"/>
      </w:tblGrid>
      <w:tr w:rsidR="003132B6" w14:paraId="0333F8EF" w14:textId="77777777" w:rsidTr="00167531">
        <w:tc>
          <w:tcPr>
            <w:tcW w:w="1555" w:type="dxa"/>
          </w:tcPr>
          <w:p w14:paraId="32CDA9D9" w14:textId="77777777" w:rsidR="003132B6" w:rsidRDefault="003132B6"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Lenovo</w:t>
            </w:r>
          </w:p>
        </w:tc>
        <w:tc>
          <w:tcPr>
            <w:tcW w:w="7507" w:type="dxa"/>
          </w:tcPr>
          <w:p w14:paraId="16F9AB79" w14:textId="517B9CC8" w:rsidR="003132B6" w:rsidRDefault="0023321F"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Perfer “Option C: Node Level Information share the same structure as Session Level DNS message handling rule that has been defined, but provisioned by node level procedure.” The node level DNS handling rules are deducted from the node level EDI received or configured on the SMF.</w:t>
            </w:r>
          </w:p>
        </w:tc>
      </w:tr>
      <w:tr w:rsidR="0023321F" w14:paraId="6E879CEF" w14:textId="77777777" w:rsidTr="00167531">
        <w:tc>
          <w:tcPr>
            <w:tcW w:w="1555" w:type="dxa"/>
          </w:tcPr>
          <w:p w14:paraId="7BE1903C" w14:textId="77777777" w:rsidR="0023321F" w:rsidRDefault="0023321F" w:rsidP="0023321F">
            <w:pPr>
              <w:rPr>
                <w:rFonts w:ascii="Calibri" w:hAnsi="Calibri" w:cs="Calibri"/>
                <w:color w:val="1F497D"/>
                <w:sz w:val="21"/>
                <w:szCs w:val="21"/>
                <w:lang w:val="en-US" w:eastAsia="zh-CN"/>
              </w:rPr>
            </w:pPr>
            <w:r>
              <w:rPr>
                <w:rFonts w:ascii="Calibri" w:hAnsi="Calibri" w:cs="Calibri"/>
                <w:color w:val="1F497D"/>
                <w:sz w:val="21"/>
                <w:szCs w:val="21"/>
                <w:lang w:val="en-US" w:eastAsia="zh-CN"/>
              </w:rPr>
              <w:t>Ericssson</w:t>
            </w:r>
          </w:p>
        </w:tc>
        <w:tc>
          <w:tcPr>
            <w:tcW w:w="7507" w:type="dxa"/>
          </w:tcPr>
          <w:p w14:paraId="17673C79" w14:textId="3DF43C92" w:rsidR="0023321F" w:rsidRDefault="0023321F" w:rsidP="0023321F">
            <w:pPr>
              <w:rPr>
                <w:rFonts w:ascii="Calibri" w:hAnsi="Calibri" w:cs="Calibri"/>
                <w:color w:val="1F497D"/>
                <w:sz w:val="21"/>
                <w:szCs w:val="21"/>
                <w:lang w:val="en-US" w:eastAsia="zh-CN"/>
              </w:rPr>
            </w:pPr>
            <w:r>
              <w:rPr>
                <w:rFonts w:ascii="Ericsson Hilda" w:hAnsi="Ericsson Hilda"/>
                <w:lang w:val="en-US"/>
              </w:rPr>
              <w:t>It is hard to understand why node level DNS handling rules should have a different structure than session level. We proposed that each DNS handling rule sent to EASDF from SMF can have its unique identifier which can be used when SMF decides which DNS handling rules are applicable for a session. SMF does this by at start of a PDU session by providing session level DNS handling rules and/or referring to node level DNS handling rules to the EASDF.</w:t>
            </w:r>
          </w:p>
        </w:tc>
      </w:tr>
      <w:tr w:rsidR="0023321F" w14:paraId="71920E57" w14:textId="77777777" w:rsidTr="00167531">
        <w:tc>
          <w:tcPr>
            <w:tcW w:w="1555" w:type="dxa"/>
          </w:tcPr>
          <w:p w14:paraId="639C78C1" w14:textId="77777777" w:rsidR="0023321F" w:rsidRDefault="0023321F" w:rsidP="0023321F">
            <w:pPr>
              <w:rPr>
                <w:rFonts w:ascii="Calibri" w:hAnsi="Calibri" w:cs="Calibri"/>
                <w:color w:val="1F497D"/>
                <w:sz w:val="21"/>
                <w:szCs w:val="21"/>
                <w:lang w:val="en-US" w:eastAsia="zh-CN"/>
              </w:rPr>
            </w:pPr>
            <w:r>
              <w:rPr>
                <w:rFonts w:ascii="Calibri" w:hAnsi="Calibri" w:cs="Calibri"/>
                <w:color w:val="1F497D"/>
                <w:sz w:val="21"/>
                <w:szCs w:val="21"/>
                <w:lang w:val="en-US" w:eastAsia="zh-CN"/>
              </w:rPr>
              <w:t>Huawei</w:t>
            </w:r>
          </w:p>
        </w:tc>
        <w:tc>
          <w:tcPr>
            <w:tcW w:w="7507" w:type="dxa"/>
          </w:tcPr>
          <w:p w14:paraId="04D16EBD" w14:textId="7BE91404" w:rsidR="0023321F" w:rsidRDefault="0023321F" w:rsidP="0023321F">
            <w:pPr>
              <w:rPr>
                <w:rFonts w:ascii="Calibri" w:hAnsi="Calibri" w:cs="Calibri"/>
                <w:color w:val="1F497D"/>
                <w:sz w:val="21"/>
                <w:szCs w:val="21"/>
                <w:lang w:val="en-US" w:eastAsia="zh-CN"/>
              </w:rPr>
            </w:pPr>
            <w:r>
              <w:rPr>
                <w:rFonts w:ascii="Calibri" w:hAnsi="Calibri" w:cs="Calibri"/>
                <w:color w:val="1F497D"/>
                <w:sz w:val="21"/>
                <w:szCs w:val="21"/>
                <w:lang w:val="en-US" w:eastAsia="zh-CN"/>
              </w:rPr>
              <w:t>Option B for Q3. The initial purpose of introduce Node Level information is to avoid the PDU session modification signaling storm caused by EDI change, so the information that its change could introduce the signaling storm issues is put into Node Level Info, and then it could be referred to by Session Level rule. The “action” such like “DROP DNS RESPONSE”, “FORWARD DNS RESPONSE” are all DNS message specific, and cannot be applied to all UEs, the introduce of ACTIONS in Node Level info brings complexity, that why it is not reasonable to include actions in Node Level Info</w:t>
            </w:r>
          </w:p>
        </w:tc>
      </w:tr>
      <w:tr w:rsidR="0023321F" w14:paraId="314E816E" w14:textId="77777777" w:rsidTr="00167531">
        <w:tc>
          <w:tcPr>
            <w:tcW w:w="1555" w:type="dxa"/>
          </w:tcPr>
          <w:p w14:paraId="0B3D1CF7" w14:textId="77777777" w:rsidR="0023321F" w:rsidRDefault="0023321F" w:rsidP="0023321F">
            <w:pPr>
              <w:rPr>
                <w:rFonts w:ascii="Calibri" w:hAnsi="Calibri" w:cs="Calibri"/>
                <w:color w:val="1F497D"/>
                <w:sz w:val="21"/>
                <w:szCs w:val="21"/>
                <w:lang w:val="en-US" w:eastAsia="zh-CN"/>
              </w:rPr>
            </w:pPr>
            <w:r>
              <w:rPr>
                <w:rFonts w:ascii="Calibri" w:hAnsi="Calibri" w:cs="Calibri"/>
                <w:color w:val="1F497D"/>
                <w:sz w:val="21"/>
                <w:szCs w:val="21"/>
                <w:lang w:val="en-US" w:eastAsia="zh-CN"/>
              </w:rPr>
              <w:t>Nokia</w:t>
            </w:r>
          </w:p>
        </w:tc>
        <w:tc>
          <w:tcPr>
            <w:tcW w:w="7507" w:type="dxa"/>
          </w:tcPr>
          <w:p w14:paraId="6BE3864B" w14:textId="77777777" w:rsidR="0023321F" w:rsidRDefault="0023321F" w:rsidP="0023321F">
            <w:pPr>
              <w:rPr>
                <w:rFonts w:ascii="Calibri" w:hAnsi="Calibri" w:cs="Calibri"/>
                <w:color w:val="1F497D"/>
                <w:sz w:val="21"/>
                <w:szCs w:val="21"/>
                <w:lang w:val="en-US" w:eastAsia="zh-CN"/>
              </w:rPr>
            </w:pPr>
            <w:r>
              <w:rPr>
                <w:rFonts w:ascii="Calibri" w:hAnsi="Calibri" w:cs="Calibri"/>
                <w:color w:val="1F497D"/>
                <w:sz w:val="21"/>
                <w:szCs w:val="21"/>
                <w:lang w:val="en-US" w:eastAsia="zh-CN"/>
              </w:rPr>
              <w:t>Option B: define a separated information structure which is different from existing session level DNS message handling rule.</w:t>
            </w:r>
          </w:p>
          <w:p w14:paraId="428CDEDC" w14:textId="43C89180" w:rsidR="0023321F" w:rsidRDefault="0023321F" w:rsidP="0023321F">
            <w:pPr>
              <w:rPr>
                <w:rFonts w:ascii="Calibri" w:hAnsi="Calibri" w:cs="Calibri"/>
                <w:color w:val="1F497D"/>
                <w:sz w:val="21"/>
                <w:szCs w:val="21"/>
                <w:lang w:val="en-US" w:eastAsia="zh-CN"/>
              </w:rPr>
            </w:pPr>
            <w:r>
              <w:rPr>
                <w:rFonts w:ascii="Calibri" w:hAnsi="Calibri" w:cs="Calibri"/>
                <w:color w:val="1F497D"/>
                <w:sz w:val="21"/>
                <w:szCs w:val="21"/>
                <w:lang w:val="en-US" w:eastAsia="zh-CN"/>
              </w:rPr>
              <w:t xml:space="preserve">The Node Level Information can complement the DNS handling rules, it is NOT a default DNS handling rule (which the SMF can anyhow populate using </w:t>
            </w:r>
            <w:r w:rsidR="00775BF6">
              <w:rPr>
                <w:rFonts w:ascii="Calibri" w:hAnsi="Calibri" w:cs="Calibri"/>
                <w:color w:val="1F497D"/>
                <w:sz w:val="21"/>
                <w:szCs w:val="21"/>
                <w:lang w:val="en-US" w:eastAsia="zh-CN"/>
              </w:rPr>
              <w:t>a lowest priority DNS handling rule)</w:t>
            </w:r>
          </w:p>
        </w:tc>
      </w:tr>
      <w:tr w:rsidR="0023321F" w14:paraId="1D735491" w14:textId="77777777" w:rsidTr="00167531">
        <w:tc>
          <w:tcPr>
            <w:tcW w:w="1555" w:type="dxa"/>
          </w:tcPr>
          <w:p w14:paraId="2BC814D5" w14:textId="4A79577C" w:rsidR="0023321F" w:rsidRDefault="003B3BAF" w:rsidP="0023321F">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Z</w:t>
            </w:r>
            <w:r>
              <w:rPr>
                <w:rFonts w:ascii="Calibri" w:hAnsi="Calibri" w:cs="Calibri"/>
                <w:color w:val="1F497D"/>
                <w:sz w:val="21"/>
                <w:szCs w:val="21"/>
                <w:lang w:val="en-US" w:eastAsia="zh-CN"/>
              </w:rPr>
              <w:t>TE</w:t>
            </w:r>
          </w:p>
        </w:tc>
        <w:tc>
          <w:tcPr>
            <w:tcW w:w="7507" w:type="dxa"/>
          </w:tcPr>
          <w:p w14:paraId="35D3E7E0" w14:textId="73F3FBA4" w:rsidR="0023321F" w:rsidRDefault="001D1A5C" w:rsidP="0023321F">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O</w:t>
            </w:r>
            <w:r>
              <w:rPr>
                <w:rFonts w:ascii="Calibri" w:hAnsi="Calibri" w:cs="Calibri"/>
                <w:color w:val="1F497D"/>
                <w:sz w:val="21"/>
                <w:szCs w:val="21"/>
                <w:lang w:val="en-US" w:eastAsia="zh-CN"/>
              </w:rPr>
              <w:t>ption B. Session level DNS handling rules is used to identify the DNS traffic and related handling rule, while the node level information is used to identify the local DNS server per S-NSSAI/DNN/DNAI</w:t>
            </w:r>
            <w:r>
              <w:rPr>
                <w:rFonts w:ascii="Calibri" w:hAnsi="Calibri" w:cs="Calibri" w:hint="eastAsia"/>
                <w:color w:val="1F497D"/>
                <w:sz w:val="21"/>
                <w:szCs w:val="21"/>
                <w:lang w:val="en-US" w:eastAsia="zh-CN"/>
              </w:rPr>
              <w:t>.</w:t>
            </w:r>
            <w:r>
              <w:rPr>
                <w:rFonts w:ascii="Calibri" w:hAnsi="Calibri" w:cs="Calibri"/>
                <w:color w:val="1F497D"/>
                <w:sz w:val="21"/>
                <w:szCs w:val="21"/>
                <w:lang w:val="en-US" w:eastAsia="zh-CN"/>
              </w:rPr>
              <w:t xml:space="preserve"> They have different purposes.</w:t>
            </w:r>
          </w:p>
        </w:tc>
      </w:tr>
      <w:tr w:rsidR="0023321F" w14:paraId="5F8EFE49" w14:textId="77777777" w:rsidTr="00167531">
        <w:tc>
          <w:tcPr>
            <w:tcW w:w="1555" w:type="dxa"/>
          </w:tcPr>
          <w:p w14:paraId="6C80107F" w14:textId="64171727" w:rsidR="0023321F" w:rsidRDefault="00D85A63" w:rsidP="0023321F">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v</w:t>
            </w:r>
            <w:r>
              <w:rPr>
                <w:rFonts w:ascii="Calibri" w:hAnsi="Calibri" w:cs="Calibri"/>
                <w:color w:val="1F497D"/>
                <w:sz w:val="21"/>
                <w:szCs w:val="21"/>
                <w:lang w:val="en-US" w:eastAsia="zh-CN"/>
              </w:rPr>
              <w:t>ivo</w:t>
            </w:r>
          </w:p>
        </w:tc>
        <w:tc>
          <w:tcPr>
            <w:tcW w:w="7507" w:type="dxa"/>
          </w:tcPr>
          <w:p w14:paraId="0805BF77" w14:textId="4D983A8D" w:rsidR="0023321F" w:rsidRDefault="00D85A63" w:rsidP="0023321F">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O</w:t>
            </w:r>
            <w:r>
              <w:rPr>
                <w:rFonts w:ascii="Calibri" w:hAnsi="Calibri" w:cs="Calibri"/>
                <w:color w:val="1F497D"/>
                <w:sz w:val="21"/>
                <w:szCs w:val="21"/>
                <w:lang w:val="en-US" w:eastAsia="zh-CN"/>
              </w:rPr>
              <w:t xml:space="preserve">ption C, what the EDI provided to 5GC, the most important is local DNS  server IP and per DNAI information. These node level information can also impact to SMF to trigger user plane configuration, and there don’t see any issues that design a new one. </w:t>
            </w:r>
          </w:p>
        </w:tc>
      </w:tr>
      <w:tr w:rsidR="0023321F" w14:paraId="5039F06C" w14:textId="77777777" w:rsidTr="00167531">
        <w:tc>
          <w:tcPr>
            <w:tcW w:w="1555" w:type="dxa"/>
          </w:tcPr>
          <w:p w14:paraId="0BBE305B" w14:textId="44D7D521" w:rsidR="0023321F" w:rsidRDefault="00C64740" w:rsidP="0023321F">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T</w:t>
            </w:r>
            <w:r>
              <w:rPr>
                <w:rFonts w:ascii="Calibri" w:hAnsi="Calibri" w:cs="Calibri"/>
                <w:color w:val="1F497D"/>
                <w:sz w:val="21"/>
                <w:szCs w:val="21"/>
                <w:lang w:val="en-US" w:eastAsia="zh-CN"/>
              </w:rPr>
              <w:t>encent</w:t>
            </w:r>
          </w:p>
        </w:tc>
        <w:tc>
          <w:tcPr>
            <w:tcW w:w="7507" w:type="dxa"/>
          </w:tcPr>
          <w:p w14:paraId="1A51D3E0" w14:textId="6E123802" w:rsidR="0023321F" w:rsidRDefault="00C64740" w:rsidP="0023321F">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O</w:t>
            </w:r>
            <w:r>
              <w:rPr>
                <w:rFonts w:ascii="Calibri" w:hAnsi="Calibri" w:cs="Calibri"/>
                <w:color w:val="1F497D"/>
                <w:sz w:val="21"/>
                <w:szCs w:val="21"/>
                <w:lang w:val="en-US" w:eastAsia="zh-CN"/>
              </w:rPr>
              <w:t>ption C</w:t>
            </w:r>
            <w:r w:rsidR="00361820">
              <w:rPr>
                <w:rFonts w:ascii="Calibri" w:hAnsi="Calibri" w:cs="Calibri"/>
                <w:color w:val="1F497D"/>
                <w:sz w:val="21"/>
                <w:szCs w:val="21"/>
                <w:lang w:val="en-US" w:eastAsia="zh-CN"/>
              </w:rPr>
              <w:t xml:space="preserve"> with some clarification</w:t>
            </w:r>
            <w:r>
              <w:rPr>
                <w:rFonts w:ascii="Calibri" w:hAnsi="Calibri" w:cs="Calibri"/>
                <w:color w:val="1F497D"/>
                <w:sz w:val="21"/>
                <w:szCs w:val="21"/>
                <w:lang w:val="en-US" w:eastAsia="zh-CN"/>
              </w:rPr>
              <w:t>. The node level rules could share the similar structure as the session level rules. However, some parameters within the rules can be different, e.g., the source IP address is not needed in the node level rules.</w:t>
            </w:r>
            <w:r w:rsidR="00361820">
              <w:rPr>
                <w:rFonts w:ascii="Calibri" w:hAnsi="Calibri" w:cs="Calibri"/>
                <w:color w:val="1F497D"/>
                <w:sz w:val="21"/>
                <w:szCs w:val="21"/>
                <w:lang w:val="en-US" w:eastAsia="zh-CN"/>
              </w:rPr>
              <w:t xml:space="preserve"> </w:t>
            </w:r>
          </w:p>
        </w:tc>
      </w:tr>
      <w:tr w:rsidR="0023321F" w14:paraId="0D6E433B" w14:textId="77777777" w:rsidTr="00167531">
        <w:tc>
          <w:tcPr>
            <w:tcW w:w="1555" w:type="dxa"/>
          </w:tcPr>
          <w:p w14:paraId="59C933FA" w14:textId="77777777" w:rsidR="0023321F" w:rsidRDefault="0023321F" w:rsidP="0023321F">
            <w:pPr>
              <w:rPr>
                <w:rFonts w:ascii="Calibri" w:hAnsi="Calibri" w:cs="Calibri"/>
                <w:color w:val="1F497D"/>
                <w:sz w:val="21"/>
                <w:szCs w:val="21"/>
                <w:lang w:val="en-US" w:eastAsia="zh-CN"/>
              </w:rPr>
            </w:pPr>
          </w:p>
        </w:tc>
        <w:tc>
          <w:tcPr>
            <w:tcW w:w="7507" w:type="dxa"/>
          </w:tcPr>
          <w:p w14:paraId="16DBE85F" w14:textId="77777777" w:rsidR="0023321F" w:rsidRDefault="0023321F" w:rsidP="0023321F">
            <w:pPr>
              <w:rPr>
                <w:rFonts w:ascii="Calibri" w:hAnsi="Calibri" w:cs="Calibri"/>
                <w:color w:val="1F497D"/>
                <w:sz w:val="21"/>
                <w:szCs w:val="21"/>
                <w:lang w:val="en-US" w:eastAsia="zh-CN"/>
              </w:rPr>
            </w:pPr>
          </w:p>
        </w:tc>
      </w:tr>
    </w:tbl>
    <w:p w14:paraId="533AA526" w14:textId="0BDE7A40" w:rsidR="00DE79A7" w:rsidRDefault="00DE79A7"/>
    <w:p w14:paraId="5EF9225E" w14:textId="77777777" w:rsidR="00DE79A7" w:rsidRDefault="00DE79A7" w:rsidP="00DE79A7">
      <w:pPr>
        <w:rPr>
          <w:rFonts w:ascii="DengXian" w:eastAsia="DengXian" w:hAnsi="DengXian"/>
          <w:sz w:val="21"/>
          <w:szCs w:val="21"/>
          <w:lang w:val="en-US" w:eastAsia="zh-CN"/>
        </w:rPr>
      </w:pPr>
    </w:p>
    <w:sectPr w:rsidR="00DE79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4C4C3D"/>
    <w:multiLevelType w:val="hybridMultilevel"/>
    <w:tmpl w:val="AA62E152"/>
    <w:lvl w:ilvl="0" w:tplc="DBA62D5C">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15:restartNumberingAfterBreak="0">
    <w:nsid w:val="2B9662AD"/>
    <w:multiLevelType w:val="hybridMultilevel"/>
    <w:tmpl w:val="3C5CEE5A"/>
    <w:lvl w:ilvl="0" w:tplc="4534542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15:restartNumberingAfterBreak="0">
    <w:nsid w:val="4A847B02"/>
    <w:multiLevelType w:val="hybridMultilevel"/>
    <w:tmpl w:val="A85678BA"/>
    <w:lvl w:ilvl="0" w:tplc="3AA084A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bordersDoNotSurroundHeader/>
  <w:bordersDoNotSurroundFooter/>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9A7"/>
    <w:rsid w:val="00167531"/>
    <w:rsid w:val="001D1A5C"/>
    <w:rsid w:val="0023321F"/>
    <w:rsid w:val="003132B6"/>
    <w:rsid w:val="00316C2E"/>
    <w:rsid w:val="00361820"/>
    <w:rsid w:val="003B3BAF"/>
    <w:rsid w:val="004833F8"/>
    <w:rsid w:val="004E0D2F"/>
    <w:rsid w:val="00775BF6"/>
    <w:rsid w:val="009C073F"/>
    <w:rsid w:val="009C1F54"/>
    <w:rsid w:val="00C01681"/>
    <w:rsid w:val="00C603CB"/>
    <w:rsid w:val="00C64740"/>
    <w:rsid w:val="00CC13EB"/>
    <w:rsid w:val="00D85A63"/>
    <w:rsid w:val="00DD7954"/>
    <w:rsid w:val="00DE79A7"/>
    <w:rsid w:val="00F170AC"/>
    <w:rsid w:val="00F60DBA"/>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2EC86"/>
  <w15:chartTrackingRefBased/>
  <w15:docId w15:val="{E989E473-9497-4E04-8420-825259A6E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79A7"/>
    <w:pPr>
      <w:spacing w:after="0" w:line="240" w:lineRule="auto"/>
      <w:ind w:firstLine="420"/>
    </w:pPr>
    <w:rPr>
      <w:rFonts w:ascii="Arial" w:hAnsi="Arial" w:cs="Arial"/>
      <w:sz w:val="18"/>
      <w:szCs w:val="18"/>
      <w:lang w:eastAsia="ar-SA"/>
    </w:rPr>
  </w:style>
  <w:style w:type="table" w:styleId="TableGrid">
    <w:name w:val="Table Grid"/>
    <w:basedOn w:val="TableNormal"/>
    <w:uiPriority w:val="39"/>
    <w:rsid w:val="00DE7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686098">
      <w:bodyDiv w:val="1"/>
      <w:marLeft w:val="0"/>
      <w:marRight w:val="0"/>
      <w:marTop w:val="0"/>
      <w:marBottom w:val="0"/>
      <w:divBdr>
        <w:top w:val="none" w:sz="0" w:space="0" w:color="auto"/>
        <w:left w:val="none" w:sz="0" w:space="0" w:color="auto"/>
        <w:bottom w:val="none" w:sz="0" w:space="0" w:color="auto"/>
        <w:right w:val="none" w:sz="0" w:space="0" w:color="auto"/>
      </w:divBdr>
    </w:div>
    <w:div w:id="657928984">
      <w:bodyDiv w:val="1"/>
      <w:marLeft w:val="0"/>
      <w:marRight w:val="0"/>
      <w:marTop w:val="0"/>
      <w:marBottom w:val="0"/>
      <w:divBdr>
        <w:top w:val="none" w:sz="0" w:space="0" w:color="auto"/>
        <w:left w:val="none" w:sz="0" w:space="0" w:color="auto"/>
        <w:bottom w:val="none" w:sz="0" w:space="0" w:color="auto"/>
        <w:right w:val="none" w:sz="0" w:space="0" w:color="auto"/>
      </w:divBdr>
    </w:div>
    <w:div w:id="118420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1196</Words>
  <Characters>6822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LTHM1</dc:creator>
  <cp:keywords/>
  <dc:description/>
  <cp:lastModifiedBy>Ericsson-MH4</cp:lastModifiedBy>
  <cp:revision>3</cp:revision>
  <dcterms:created xsi:type="dcterms:W3CDTF">2021-08-17T09:39:00Z</dcterms:created>
  <dcterms:modified xsi:type="dcterms:W3CDTF">2021-08-17T11:07:00Z</dcterms:modified>
</cp:coreProperties>
</file>