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D5C6B0" w14:textId="77777777" w:rsidR="00DE79A7" w:rsidRDefault="00DE79A7" w:rsidP="00DE79A7">
      <w:pPr>
        <w:pStyle w:val="ListParagraph"/>
        <w:numPr>
          <w:ilvl w:val="0"/>
          <w:numId w:val="1"/>
        </w:numPr>
        <w:rPr>
          <w:rFonts w:ascii="Calibri" w:hAnsi="Calibri" w:cs="Calibri"/>
          <w:color w:val="1F497D"/>
          <w:sz w:val="21"/>
          <w:szCs w:val="21"/>
          <w:lang w:val="en-US" w:eastAsia="zh-CN"/>
        </w:rPr>
      </w:pPr>
      <w:r>
        <w:rPr>
          <w:rFonts w:ascii="Calibri" w:hAnsi="Calibri" w:cs="Calibri"/>
          <w:b/>
          <w:bCs/>
          <w:color w:val="1F497D"/>
          <w:sz w:val="21"/>
          <w:szCs w:val="21"/>
          <w:lang w:val="en-US" w:eastAsia="zh-CN"/>
        </w:rPr>
        <w:t>Whether session level EDI is required to be provided to the SMF in addition to the node level EDI?</w:t>
      </w:r>
    </w:p>
    <w:p w14:paraId="593416B1" w14:textId="095398F3"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419FBCC5" w14:textId="77777777" w:rsidTr="00DE79A7">
        <w:tc>
          <w:tcPr>
            <w:tcW w:w="1555" w:type="dxa"/>
          </w:tcPr>
          <w:p w14:paraId="5C9C8CA3" w14:textId="6D3F714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7CCC387B" w14:textId="5441A68D"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Node level EDI provided to SMF is enough, no requirement for session level EDI sent to the SMF is seen up to now.</w:t>
            </w:r>
          </w:p>
        </w:tc>
      </w:tr>
      <w:tr w:rsidR="00DE79A7" w14:paraId="45882AA9" w14:textId="77777777" w:rsidTr="00DE79A7">
        <w:tc>
          <w:tcPr>
            <w:tcW w:w="1555" w:type="dxa"/>
          </w:tcPr>
          <w:p w14:paraId="2819B599" w14:textId="772220FE"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7D5874DD" w14:textId="77777777" w:rsidR="00DE79A7" w:rsidRDefault="00DE79A7">
            <w:pPr>
              <w:rPr>
                <w:rFonts w:ascii="Calibri" w:hAnsi="Calibri" w:cs="Calibri"/>
                <w:color w:val="1F497D"/>
                <w:sz w:val="21"/>
                <w:szCs w:val="21"/>
                <w:lang w:val="en-US" w:eastAsia="zh-CN"/>
              </w:rPr>
            </w:pPr>
          </w:p>
        </w:tc>
      </w:tr>
      <w:tr w:rsidR="00DE79A7" w14:paraId="2449F974" w14:textId="77777777" w:rsidTr="00DE79A7">
        <w:tc>
          <w:tcPr>
            <w:tcW w:w="1555" w:type="dxa"/>
          </w:tcPr>
          <w:p w14:paraId="13D97049" w14:textId="40674006"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7B560A9" w14:textId="140A50FE"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if the session level EDI means EDI dedicated to specific session, then) both Node level EDI and session level EDI is needed. Session level EDI is used by AF for traffic influence for specific session, and it is provided by AF to SMF via AF traffic influence; Node Level EDI is used not specific to any UE.</w:t>
            </w:r>
          </w:p>
        </w:tc>
      </w:tr>
      <w:tr w:rsidR="00DE79A7" w14:paraId="37B7A83E" w14:textId="77777777" w:rsidTr="00DE79A7">
        <w:tc>
          <w:tcPr>
            <w:tcW w:w="1555" w:type="dxa"/>
          </w:tcPr>
          <w:p w14:paraId="44F3AA9C" w14:textId="4C9270FA"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52E509D9" w14:textId="5A772D28" w:rsidR="00DE79A7" w:rsidRDefault="003132B6">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For EDI, </w:t>
            </w:r>
            <w:r>
              <w:rPr>
                <w:rFonts w:ascii="Calibri" w:hAnsi="Calibri" w:cs="Calibri"/>
                <w:color w:val="1F497D"/>
                <w:sz w:val="21"/>
                <w:szCs w:val="21"/>
                <w:lang w:val="en-US" w:eastAsia="zh-CN"/>
              </w:rPr>
              <w:t>Node level EDI provided to SMF is enough</w:t>
            </w:r>
            <w:r w:rsidR="0023321F">
              <w:rPr>
                <w:rFonts w:ascii="Calibri" w:hAnsi="Calibri" w:cs="Calibri"/>
                <w:color w:val="1F497D"/>
                <w:sz w:val="21"/>
                <w:szCs w:val="21"/>
                <w:lang w:val="en-US" w:eastAsia="zh-CN"/>
              </w:rPr>
              <w:t xml:space="preserve"> in terms of EDI configuration</w:t>
            </w:r>
            <w:r>
              <w:rPr>
                <w:rFonts w:ascii="Calibri" w:hAnsi="Calibri" w:cs="Calibri"/>
                <w:color w:val="1F497D"/>
                <w:sz w:val="21"/>
                <w:szCs w:val="21"/>
                <w:lang w:val="en-US" w:eastAsia="zh-CN"/>
              </w:rPr>
              <w:t>. Then the SMF provides DNS handling rules that are per PDU Session</w:t>
            </w:r>
            <w:r w:rsidR="0023321F">
              <w:rPr>
                <w:rFonts w:ascii="Calibri" w:hAnsi="Calibri" w:cs="Calibri"/>
                <w:color w:val="1F497D"/>
                <w:sz w:val="21"/>
                <w:szCs w:val="21"/>
                <w:lang w:val="en-US" w:eastAsia="zh-CN"/>
              </w:rPr>
              <w:t xml:space="preserve"> (and derived from PCC rules that themselves are derived from </w:t>
            </w:r>
            <w:proofErr w:type="spellStart"/>
            <w:r w:rsidR="0023321F">
              <w:rPr>
                <w:rFonts w:ascii="Calibri" w:hAnsi="Calibri" w:cs="Calibri"/>
                <w:color w:val="1F497D"/>
                <w:sz w:val="21"/>
                <w:szCs w:val="21"/>
                <w:lang w:val="en-US" w:eastAsia="zh-CN"/>
              </w:rPr>
              <w:t>Nnef</w:t>
            </w:r>
            <w:proofErr w:type="spellEnd"/>
            <w:r w:rsidR="0023321F">
              <w:rPr>
                <w:rFonts w:ascii="Calibri" w:hAnsi="Calibri" w:cs="Calibri"/>
                <w:color w:val="1F497D"/>
                <w:sz w:val="21"/>
                <w:szCs w:val="21"/>
                <w:lang w:val="en-US" w:eastAsia="zh-CN"/>
              </w:rPr>
              <w:t>-traffic Influence)</w:t>
            </w:r>
            <w:r>
              <w:rPr>
                <w:rFonts w:ascii="Calibri" w:hAnsi="Calibri" w:cs="Calibri"/>
                <w:color w:val="1F497D"/>
                <w:sz w:val="21"/>
                <w:szCs w:val="21"/>
                <w:lang w:val="en-US" w:eastAsia="zh-CN"/>
              </w:rPr>
              <w:t xml:space="preserve">. </w:t>
            </w:r>
          </w:p>
        </w:tc>
      </w:tr>
      <w:tr w:rsidR="00DE79A7" w14:paraId="2494EA55" w14:textId="77777777" w:rsidTr="00DE79A7">
        <w:tc>
          <w:tcPr>
            <w:tcW w:w="1555" w:type="dxa"/>
          </w:tcPr>
          <w:p w14:paraId="1BBE2745" w14:textId="77777777" w:rsidR="00DE79A7" w:rsidRDefault="00DE79A7">
            <w:pPr>
              <w:rPr>
                <w:rFonts w:ascii="Calibri" w:hAnsi="Calibri" w:cs="Calibri"/>
                <w:color w:val="1F497D"/>
                <w:sz w:val="21"/>
                <w:szCs w:val="21"/>
                <w:lang w:val="en-US" w:eastAsia="zh-CN"/>
              </w:rPr>
            </w:pPr>
          </w:p>
        </w:tc>
        <w:tc>
          <w:tcPr>
            <w:tcW w:w="7507" w:type="dxa"/>
          </w:tcPr>
          <w:p w14:paraId="68F54640" w14:textId="77777777" w:rsidR="00DE79A7" w:rsidRDefault="00DE79A7">
            <w:pPr>
              <w:rPr>
                <w:rFonts w:ascii="Calibri" w:hAnsi="Calibri" w:cs="Calibri"/>
                <w:color w:val="1F497D"/>
                <w:sz w:val="21"/>
                <w:szCs w:val="21"/>
                <w:lang w:val="en-US" w:eastAsia="zh-CN"/>
              </w:rPr>
            </w:pPr>
          </w:p>
        </w:tc>
      </w:tr>
      <w:tr w:rsidR="00DE79A7" w14:paraId="3E0B8D8A" w14:textId="77777777" w:rsidTr="00DE79A7">
        <w:tc>
          <w:tcPr>
            <w:tcW w:w="1555" w:type="dxa"/>
          </w:tcPr>
          <w:p w14:paraId="7FEE73A0" w14:textId="77777777" w:rsidR="00DE79A7" w:rsidRDefault="00DE79A7">
            <w:pPr>
              <w:rPr>
                <w:rFonts w:ascii="Calibri" w:hAnsi="Calibri" w:cs="Calibri"/>
                <w:color w:val="1F497D"/>
                <w:sz w:val="21"/>
                <w:szCs w:val="21"/>
                <w:lang w:val="en-US" w:eastAsia="zh-CN"/>
              </w:rPr>
            </w:pPr>
          </w:p>
        </w:tc>
        <w:tc>
          <w:tcPr>
            <w:tcW w:w="7507" w:type="dxa"/>
          </w:tcPr>
          <w:p w14:paraId="79D6BC87" w14:textId="77777777" w:rsidR="00DE79A7" w:rsidRDefault="00DE79A7">
            <w:pPr>
              <w:rPr>
                <w:rFonts w:ascii="Calibri" w:hAnsi="Calibri" w:cs="Calibri"/>
                <w:color w:val="1F497D"/>
                <w:sz w:val="21"/>
                <w:szCs w:val="21"/>
                <w:lang w:val="en-US" w:eastAsia="zh-CN"/>
              </w:rPr>
            </w:pPr>
          </w:p>
        </w:tc>
      </w:tr>
      <w:tr w:rsidR="00DE79A7" w14:paraId="7E4DD2C0" w14:textId="77777777" w:rsidTr="00DE79A7">
        <w:tc>
          <w:tcPr>
            <w:tcW w:w="1555" w:type="dxa"/>
          </w:tcPr>
          <w:p w14:paraId="5C41C2C5" w14:textId="77777777" w:rsidR="00DE79A7" w:rsidRDefault="00DE79A7">
            <w:pPr>
              <w:rPr>
                <w:rFonts w:ascii="Calibri" w:hAnsi="Calibri" w:cs="Calibri"/>
                <w:color w:val="1F497D"/>
                <w:sz w:val="21"/>
                <w:szCs w:val="21"/>
                <w:lang w:val="en-US" w:eastAsia="zh-CN"/>
              </w:rPr>
            </w:pPr>
          </w:p>
        </w:tc>
        <w:tc>
          <w:tcPr>
            <w:tcW w:w="7507" w:type="dxa"/>
          </w:tcPr>
          <w:p w14:paraId="61D9DF06" w14:textId="77777777" w:rsidR="00DE79A7" w:rsidRDefault="00DE79A7">
            <w:pPr>
              <w:rPr>
                <w:rFonts w:ascii="Calibri" w:hAnsi="Calibri" w:cs="Calibri"/>
                <w:color w:val="1F497D"/>
                <w:sz w:val="21"/>
                <w:szCs w:val="21"/>
                <w:lang w:val="en-US" w:eastAsia="zh-CN"/>
              </w:rPr>
            </w:pPr>
          </w:p>
        </w:tc>
      </w:tr>
      <w:tr w:rsidR="00DE79A7" w14:paraId="3BC6BD48" w14:textId="77777777" w:rsidTr="00DE79A7">
        <w:tc>
          <w:tcPr>
            <w:tcW w:w="1555" w:type="dxa"/>
          </w:tcPr>
          <w:p w14:paraId="0A9B0D55" w14:textId="77777777" w:rsidR="00DE79A7" w:rsidRDefault="00DE79A7">
            <w:pPr>
              <w:rPr>
                <w:rFonts w:ascii="Calibri" w:hAnsi="Calibri" w:cs="Calibri"/>
                <w:color w:val="1F497D"/>
                <w:sz w:val="21"/>
                <w:szCs w:val="21"/>
                <w:lang w:val="en-US" w:eastAsia="zh-CN"/>
              </w:rPr>
            </w:pPr>
          </w:p>
        </w:tc>
        <w:tc>
          <w:tcPr>
            <w:tcW w:w="7507" w:type="dxa"/>
          </w:tcPr>
          <w:p w14:paraId="795B39D6" w14:textId="77777777" w:rsidR="00DE79A7" w:rsidRDefault="00DE79A7">
            <w:pPr>
              <w:rPr>
                <w:rFonts w:ascii="Calibri" w:hAnsi="Calibri" w:cs="Calibri"/>
                <w:color w:val="1F497D"/>
                <w:sz w:val="21"/>
                <w:szCs w:val="21"/>
                <w:lang w:val="en-US" w:eastAsia="zh-CN"/>
              </w:rPr>
            </w:pPr>
          </w:p>
        </w:tc>
      </w:tr>
    </w:tbl>
    <w:p w14:paraId="67EFD16B" w14:textId="77777777" w:rsidR="003132B6" w:rsidRDefault="003132B6">
      <w:pPr>
        <w:rPr>
          <w:rFonts w:ascii="Calibri" w:hAnsi="Calibri" w:cs="Calibri"/>
          <w:color w:val="1F497D"/>
          <w:sz w:val="21"/>
          <w:szCs w:val="21"/>
          <w:lang w:val="en-US" w:eastAsia="zh-CN"/>
        </w:rPr>
      </w:pPr>
    </w:p>
    <w:p w14:paraId="5690A1DD" w14:textId="77777777" w:rsidR="003132B6" w:rsidRDefault="003132B6">
      <w:pPr>
        <w:rPr>
          <w:rFonts w:ascii="Calibri" w:hAnsi="Calibri" w:cs="Calibri"/>
          <w:color w:val="1F497D"/>
          <w:sz w:val="21"/>
          <w:szCs w:val="21"/>
          <w:lang w:val="en-US" w:eastAsia="zh-CN"/>
        </w:rPr>
      </w:pPr>
    </w:p>
    <w:p w14:paraId="18802018" w14:textId="77777777" w:rsidR="003132B6" w:rsidRDefault="003132B6" w:rsidP="003132B6"/>
    <w:p w14:paraId="671F6436" w14:textId="7641D4E1"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52D3334E" w14:textId="77777777" w:rsidR="00DE79A7" w:rsidRDefault="00DE79A7" w:rsidP="00DE79A7">
      <w:pPr>
        <w:pStyle w:val="ListParagraph"/>
        <w:ind w:left="360" w:firstLine="0"/>
        <w:rPr>
          <w:rFonts w:ascii="Calibri" w:hAnsi="Calibri" w:cs="Calibri"/>
          <w:color w:val="1F497D"/>
          <w:sz w:val="21"/>
          <w:szCs w:val="21"/>
          <w:lang w:val="en-US" w:eastAsia="zh-CN"/>
        </w:rPr>
      </w:pPr>
    </w:p>
    <w:p w14:paraId="3E576C74"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1. How does AF provide node EDI to SMF?</w:t>
      </w:r>
    </w:p>
    <w:p w14:paraId="3AE8640D"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There are three options for this, all follow the routine of AF-&gt;NEF-&gt;UDR, but with differences between the interface between AF and NEF.</w:t>
      </w:r>
    </w:p>
    <w:tbl>
      <w:tblPr>
        <w:tblW w:w="0" w:type="auto"/>
        <w:tblCellMar>
          <w:left w:w="0" w:type="dxa"/>
          <w:right w:w="0" w:type="dxa"/>
        </w:tblCellMar>
        <w:tblLook w:val="04A0" w:firstRow="1" w:lastRow="0" w:firstColumn="1" w:lastColumn="0" w:noHBand="0" w:noVBand="1"/>
      </w:tblPr>
      <w:tblGrid>
        <w:gridCol w:w="4893"/>
        <w:gridCol w:w="4159"/>
      </w:tblGrid>
      <w:tr w:rsidR="00DE79A7" w14:paraId="6ADF907D" w14:textId="77777777" w:rsidTr="00DE79A7">
        <w:tc>
          <w:tcPr>
            <w:tcW w:w="79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530C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Define a new dedicated NEF service for AF to provide EDI</w:t>
            </w:r>
          </w:p>
        </w:tc>
        <w:tc>
          <w:tcPr>
            <w:tcW w:w="5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D0A0909" w14:textId="77777777" w:rsidR="00DE79A7" w:rsidRDefault="00DE79A7" w:rsidP="006B6B0A">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5400(Nokia): EDI is delivered via AF-NEF-UDR, and SMF interacts with UDR directly via Push mode only.</w:t>
            </w:r>
          </w:p>
          <w:p w14:paraId="55095591" w14:textId="77777777" w:rsidR="00DE79A7" w:rsidRDefault="00DE79A7" w:rsidP="006B6B0A">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EDI is delivered via AF-NEF-UDR, and only pushed  to SMF based on the subscription triggered by App activation in the SMF.</w:t>
            </w:r>
          </w:p>
          <w:p w14:paraId="622485D7" w14:textId="77777777" w:rsidR="00DE79A7" w:rsidRDefault="00DE79A7" w:rsidP="006B6B0A">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6293(Lenovo)</w:t>
            </w:r>
            <w:r>
              <w:rPr>
                <w:rFonts w:ascii="SimSun" w:eastAsia="SimSun" w:hAnsi="SimSun" w:hint="eastAsia"/>
                <w:color w:val="1F497D"/>
                <w:sz w:val="21"/>
                <w:szCs w:val="21"/>
                <w:lang w:eastAsia="zh-CN"/>
              </w:rPr>
              <w:t>：</w:t>
            </w:r>
            <w:r>
              <w:rPr>
                <w:rFonts w:ascii="Calibri" w:hAnsi="Calibri" w:cs="Calibri"/>
                <w:color w:val="1F497D"/>
                <w:sz w:val="21"/>
                <w:szCs w:val="21"/>
                <w:lang w:val="en-US" w:eastAsia="zh-CN"/>
              </w:rPr>
              <w:t>EDI is delivered via AF-NEF-UDR, SMF interacts with NEF via Push/Pull mode.</w:t>
            </w:r>
          </w:p>
          <w:p w14:paraId="2E2F626C" w14:textId="77777777" w:rsidR="00DE79A7" w:rsidRDefault="00DE79A7" w:rsidP="006B6B0A">
            <w:pPr>
              <w:pStyle w:val="ListParagraph"/>
              <w:numPr>
                <w:ilvl w:val="0"/>
                <w:numId w:val="2"/>
              </w:numPr>
              <w:rPr>
                <w:rFonts w:ascii="Calibri" w:hAnsi="Calibri" w:cs="Calibri"/>
                <w:color w:val="1F497D"/>
                <w:sz w:val="21"/>
                <w:szCs w:val="21"/>
                <w:lang w:val="en-US" w:eastAsia="zh-CN"/>
              </w:rPr>
            </w:pPr>
            <w:r>
              <w:rPr>
                <w:rFonts w:ascii="Calibri" w:hAnsi="Calibri" w:cs="Calibri"/>
                <w:color w:val="1F497D"/>
                <w:sz w:val="21"/>
                <w:szCs w:val="21"/>
                <w:lang w:val="en-US" w:eastAsia="zh-CN"/>
              </w:rPr>
              <w:t>6031(Huawei):  EDI is delivered via AF-NEF-UDR, SMF interacts with NEF via Push/Pull mode.</w:t>
            </w:r>
          </w:p>
        </w:tc>
      </w:tr>
      <w:tr w:rsidR="00DE79A7" w14:paraId="1799B135"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701A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Option B: Reuse the existing </w:t>
            </w:r>
            <w:proofErr w:type="spellStart"/>
            <w:r>
              <w:rPr>
                <w:rFonts w:ascii="Calibri" w:hAnsi="Calibri" w:cs="Calibri"/>
                <w:color w:val="1F497D"/>
                <w:sz w:val="21"/>
                <w:szCs w:val="21"/>
                <w:lang w:val="en-US" w:eastAsia="zh-CN"/>
              </w:rPr>
              <w:t>Nnef_TrafficInfluence</w:t>
            </w:r>
            <w:proofErr w:type="spellEnd"/>
            <w:r>
              <w:rPr>
                <w:rFonts w:ascii="Calibri" w:hAnsi="Calibri" w:cs="Calibri"/>
                <w:color w:val="1F497D"/>
                <w:sz w:val="21"/>
                <w:szCs w:val="21"/>
                <w:lang w:val="en-US" w:eastAsia="zh-CN"/>
              </w:rPr>
              <w:t xml:space="preserve"> service with Target UE Identifier set as any UE.</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10C7090F" w14:textId="77777777" w:rsidR="00DE79A7" w:rsidRDefault="00DE79A7" w:rsidP="006B6B0A">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5986(vivo): EDI is delivered via AF-NEF-UDR-PCF, and EDI is included in the PCC rule sent to the SMF from the PCF.</w:t>
            </w:r>
          </w:p>
          <w:p w14:paraId="3EB3506D" w14:textId="77777777" w:rsidR="00DE79A7" w:rsidRDefault="00DE79A7" w:rsidP="006B6B0A">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629</w:t>
            </w:r>
            <w:r>
              <w:rPr>
                <w:rFonts w:ascii="Calibri" w:hAnsi="Calibri" w:cs="Calibri"/>
                <w:sz w:val="21"/>
                <w:szCs w:val="21"/>
                <w:lang w:val="en-US" w:eastAsia="zh-CN"/>
              </w:rPr>
              <w:t>0</w:t>
            </w:r>
            <w:r>
              <w:rPr>
                <w:rFonts w:ascii="Calibri" w:hAnsi="Calibri" w:cs="Calibri"/>
                <w:color w:val="1F497D"/>
                <w:sz w:val="21"/>
                <w:szCs w:val="21"/>
                <w:lang w:val="en-US" w:eastAsia="zh-CN"/>
              </w:rPr>
              <w:t>/6291/629</w:t>
            </w:r>
            <w:r>
              <w:rPr>
                <w:rFonts w:ascii="Calibri" w:hAnsi="Calibri" w:cs="Calibri"/>
                <w:sz w:val="21"/>
                <w:szCs w:val="21"/>
                <w:lang w:val="en-US" w:eastAsia="zh-CN"/>
              </w:rPr>
              <w:t>2</w:t>
            </w:r>
            <w:r>
              <w:rPr>
                <w:rFonts w:ascii="Calibri" w:hAnsi="Calibri" w:cs="Calibri"/>
                <w:color w:val="1F497D"/>
                <w:sz w:val="21"/>
                <w:szCs w:val="21"/>
                <w:lang w:val="en-US" w:eastAsia="zh-CN"/>
              </w:rPr>
              <w:t>(Lenovo): EDI is delivered via AF-NEF-UDR-PCF, and EDI is provided via node level interaction between PCF and SMF.</w:t>
            </w:r>
          </w:p>
          <w:p w14:paraId="0021467C" w14:textId="77777777" w:rsidR="00DE79A7" w:rsidRDefault="00DE79A7" w:rsidP="006B6B0A">
            <w:pPr>
              <w:pStyle w:val="ListParagraph"/>
              <w:numPr>
                <w:ilvl w:val="0"/>
                <w:numId w:val="3"/>
              </w:numPr>
              <w:rPr>
                <w:rFonts w:ascii="Calibri" w:hAnsi="Calibri" w:cs="Calibri"/>
                <w:color w:val="1F497D"/>
                <w:sz w:val="21"/>
                <w:szCs w:val="21"/>
                <w:lang w:val="en-US" w:eastAsia="zh-CN"/>
              </w:rPr>
            </w:pPr>
            <w:r>
              <w:rPr>
                <w:rFonts w:ascii="Calibri" w:hAnsi="Calibri" w:cs="Calibri"/>
                <w:color w:val="1F497D"/>
                <w:sz w:val="21"/>
                <w:szCs w:val="21"/>
                <w:lang w:val="en-US" w:eastAsia="zh-CN"/>
              </w:rPr>
              <w:t>6131/6141(Tencent): EDI is delivered via AF-NEF-UDR, and SMF interacts with UDR directly via Push/Pull mode.</w:t>
            </w:r>
          </w:p>
        </w:tc>
      </w:tr>
      <w:tr w:rsidR="00DE79A7" w14:paraId="33356D1E" w14:textId="77777777" w:rsidTr="00DE79A7">
        <w:tc>
          <w:tcPr>
            <w:tcW w:w="793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FED88" w14:textId="77777777" w:rsidR="00DE79A7" w:rsidRDefault="00DE79A7">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OptionC</w:t>
            </w:r>
            <w:proofErr w:type="spellEnd"/>
            <w:r>
              <w:rPr>
                <w:rFonts w:ascii="Calibri" w:hAnsi="Calibri" w:cs="Calibri"/>
                <w:color w:val="1F497D"/>
                <w:sz w:val="21"/>
                <w:szCs w:val="21"/>
                <w:lang w:val="en-US" w:eastAsia="zh-CN"/>
              </w:rPr>
              <w:t>: Option A + Option B</w:t>
            </w:r>
          </w:p>
        </w:tc>
        <w:tc>
          <w:tcPr>
            <w:tcW w:w="5601" w:type="dxa"/>
            <w:tcBorders>
              <w:top w:val="nil"/>
              <w:left w:val="nil"/>
              <w:bottom w:val="single" w:sz="8" w:space="0" w:color="auto"/>
              <w:right w:val="single" w:sz="8" w:space="0" w:color="auto"/>
            </w:tcBorders>
            <w:tcMar>
              <w:top w:w="0" w:type="dxa"/>
              <w:left w:w="108" w:type="dxa"/>
              <w:bottom w:w="0" w:type="dxa"/>
              <w:right w:w="108" w:type="dxa"/>
            </w:tcMar>
            <w:hideMark/>
          </w:tcPr>
          <w:p w14:paraId="0FB87A38" w14:textId="77777777" w:rsidR="00DE79A7" w:rsidRDefault="00DE79A7">
            <w:pPr>
              <w:rPr>
                <w:rFonts w:ascii="Calibri" w:hAnsi="Calibri" w:cs="Calibri"/>
                <w:color w:val="1F497D"/>
                <w:sz w:val="21"/>
                <w:szCs w:val="21"/>
                <w:lang w:val="en-US" w:eastAsia="zh-CN"/>
              </w:rPr>
            </w:pPr>
          </w:p>
        </w:tc>
      </w:tr>
    </w:tbl>
    <w:p w14:paraId="23A7E946" w14:textId="2BD5ACAC" w:rsidR="00DE79A7" w:rsidRDefault="00DE79A7" w:rsidP="00DE79A7">
      <w:pPr>
        <w:rPr>
          <w:rFonts w:ascii="Calibri" w:hAnsi="Calibri" w:cs="Calibri"/>
          <w:color w:val="1F497D"/>
          <w:sz w:val="21"/>
          <w:szCs w:val="21"/>
          <w:lang w:val="en-US" w:eastAsia="zh-CN"/>
        </w:rPr>
      </w:pPr>
    </w:p>
    <w:p w14:paraId="3F4E138F" w14:textId="31511CF5" w:rsidR="00DE79A7" w:rsidRDefault="00DE79A7" w:rsidP="00DE79A7">
      <w:pPr>
        <w:rPr>
          <w:rFonts w:ascii="Calibri" w:hAnsi="Calibri" w:cs="Calibri"/>
          <w:color w:val="1F497D"/>
          <w:sz w:val="21"/>
          <w:szCs w:val="21"/>
          <w:lang w:val="en-US" w:eastAsia="zh-CN"/>
        </w:rPr>
      </w:pPr>
    </w:p>
    <w:p w14:paraId="535CF97F" w14:textId="77777777" w:rsidR="00DE79A7" w:rsidRDefault="00DE79A7" w:rsidP="00DE79A7">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DE79A7" w14:paraId="6C1A6A47" w14:textId="77777777" w:rsidTr="006B6B0A">
        <w:tc>
          <w:tcPr>
            <w:tcW w:w="1555" w:type="dxa"/>
          </w:tcPr>
          <w:p w14:paraId="30DC654A" w14:textId="77777777" w:rsidR="00DE79A7" w:rsidRDefault="00DE79A7"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2268DCB" w14:textId="6DE00DC3" w:rsidR="00DE79A7" w:rsidRDefault="0023321F"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Define a new dedicated NEF service for AF to provide EDI”, and prefers that SMF interact with UDR via NEF for higher efficiency follow the same logic of PFDF management.</w:t>
            </w:r>
          </w:p>
        </w:tc>
      </w:tr>
      <w:tr w:rsidR="00DE79A7" w14:paraId="0572DD74" w14:textId="77777777" w:rsidTr="006B6B0A">
        <w:tc>
          <w:tcPr>
            <w:tcW w:w="1555" w:type="dxa"/>
          </w:tcPr>
          <w:p w14:paraId="4C6C1536" w14:textId="77777777" w:rsidR="00DE79A7" w:rsidRDefault="00DE79A7" w:rsidP="006B6B0A">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976965A" w14:textId="77777777" w:rsidR="00DE79A7" w:rsidRDefault="00DE79A7" w:rsidP="006B6B0A">
            <w:pPr>
              <w:rPr>
                <w:rFonts w:ascii="Calibri" w:hAnsi="Calibri" w:cs="Calibri"/>
                <w:color w:val="1F497D"/>
                <w:sz w:val="21"/>
                <w:szCs w:val="21"/>
                <w:lang w:val="en-US" w:eastAsia="zh-CN"/>
              </w:rPr>
            </w:pPr>
          </w:p>
        </w:tc>
      </w:tr>
      <w:tr w:rsidR="00DE79A7" w14:paraId="48DAB268" w14:textId="77777777" w:rsidTr="006B6B0A">
        <w:tc>
          <w:tcPr>
            <w:tcW w:w="1555" w:type="dxa"/>
          </w:tcPr>
          <w:p w14:paraId="22A66E0E" w14:textId="77777777" w:rsidR="00DE79A7" w:rsidRDefault="00DE79A7"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65D8CA6D" w14:textId="7F2DD6FE" w:rsidR="00DE79A7" w:rsidRDefault="0023321F"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Q1.</w:t>
            </w:r>
          </w:p>
        </w:tc>
      </w:tr>
      <w:tr w:rsidR="00DE79A7" w14:paraId="4E8B6C01" w14:textId="77777777" w:rsidTr="006B6B0A">
        <w:tc>
          <w:tcPr>
            <w:tcW w:w="1555" w:type="dxa"/>
          </w:tcPr>
          <w:p w14:paraId="08FB0E76" w14:textId="77777777" w:rsidR="00DE79A7" w:rsidRDefault="00DE79A7"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2666DB5" w14:textId="31DF213D" w:rsidR="00DE79A7" w:rsidRDefault="0023321F"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Prefer “Option A: Define a new dedicated NEF service for AF to provide EDI”, and prefers that SMF interact </w:t>
            </w:r>
            <w:r>
              <w:rPr>
                <w:rFonts w:ascii="Calibri" w:hAnsi="Calibri" w:cs="Calibri"/>
                <w:color w:val="1F497D"/>
                <w:sz w:val="21"/>
                <w:szCs w:val="21"/>
                <w:lang w:val="en-US" w:eastAsia="zh-CN"/>
              </w:rPr>
              <w:t xml:space="preserve">DIRECTLY </w:t>
            </w:r>
            <w:r>
              <w:rPr>
                <w:rFonts w:ascii="Calibri" w:hAnsi="Calibri" w:cs="Calibri"/>
                <w:color w:val="1F497D"/>
                <w:sz w:val="21"/>
                <w:szCs w:val="21"/>
                <w:lang w:val="en-US" w:eastAsia="zh-CN"/>
              </w:rPr>
              <w:t>with UDR</w:t>
            </w:r>
            <w:r>
              <w:rPr>
                <w:rFonts w:ascii="Calibri" w:hAnsi="Calibri" w:cs="Calibri"/>
                <w:color w:val="1F497D"/>
                <w:sz w:val="21"/>
                <w:szCs w:val="21"/>
                <w:lang w:val="en-US" w:eastAsia="zh-CN"/>
              </w:rPr>
              <w:t xml:space="preserve"> f</w:t>
            </w:r>
            <w:r>
              <w:rPr>
                <w:rFonts w:ascii="Calibri" w:hAnsi="Calibri" w:cs="Calibri"/>
                <w:color w:val="1F497D"/>
                <w:sz w:val="21"/>
                <w:szCs w:val="21"/>
                <w:lang w:val="en-US" w:eastAsia="zh-CN"/>
              </w:rPr>
              <w:t>or higher efficiency follow</w:t>
            </w:r>
            <w:r>
              <w:rPr>
                <w:rFonts w:ascii="Calibri" w:hAnsi="Calibri" w:cs="Calibri"/>
                <w:color w:val="1F497D"/>
                <w:sz w:val="21"/>
                <w:szCs w:val="21"/>
                <w:lang w:val="en-US" w:eastAsia="zh-CN"/>
              </w:rPr>
              <w:t>ing</w:t>
            </w:r>
            <w:r>
              <w:rPr>
                <w:rFonts w:ascii="Calibri" w:hAnsi="Calibri" w:cs="Calibri"/>
                <w:color w:val="1F497D"/>
                <w:sz w:val="21"/>
                <w:szCs w:val="21"/>
                <w:lang w:val="en-US" w:eastAsia="zh-CN"/>
              </w:rPr>
              <w:t xml:space="preserve"> the same logic</w:t>
            </w:r>
            <w:r>
              <w:rPr>
                <w:rFonts w:ascii="Calibri" w:hAnsi="Calibri" w:cs="Calibri"/>
                <w:color w:val="1F497D"/>
                <w:sz w:val="21"/>
                <w:szCs w:val="21"/>
                <w:lang w:val="en-US" w:eastAsia="zh-CN"/>
              </w:rPr>
              <w:t xml:space="preserve"> than PCF for Traffic influence data</w:t>
            </w:r>
          </w:p>
        </w:tc>
      </w:tr>
      <w:tr w:rsidR="00DE79A7" w14:paraId="3A308025" w14:textId="77777777" w:rsidTr="006B6B0A">
        <w:tc>
          <w:tcPr>
            <w:tcW w:w="1555" w:type="dxa"/>
          </w:tcPr>
          <w:p w14:paraId="55BB457E" w14:textId="77777777" w:rsidR="00DE79A7" w:rsidRDefault="00DE79A7" w:rsidP="006B6B0A">
            <w:pPr>
              <w:rPr>
                <w:rFonts w:ascii="Calibri" w:hAnsi="Calibri" w:cs="Calibri"/>
                <w:color w:val="1F497D"/>
                <w:sz w:val="21"/>
                <w:szCs w:val="21"/>
                <w:lang w:val="en-US" w:eastAsia="zh-CN"/>
              </w:rPr>
            </w:pPr>
          </w:p>
        </w:tc>
        <w:tc>
          <w:tcPr>
            <w:tcW w:w="7507" w:type="dxa"/>
          </w:tcPr>
          <w:p w14:paraId="0C65D888" w14:textId="77777777" w:rsidR="00DE79A7" w:rsidRDefault="00DE79A7" w:rsidP="006B6B0A">
            <w:pPr>
              <w:rPr>
                <w:rFonts w:ascii="Calibri" w:hAnsi="Calibri" w:cs="Calibri"/>
                <w:color w:val="1F497D"/>
                <w:sz w:val="21"/>
                <w:szCs w:val="21"/>
                <w:lang w:val="en-US" w:eastAsia="zh-CN"/>
              </w:rPr>
            </w:pPr>
          </w:p>
        </w:tc>
      </w:tr>
      <w:tr w:rsidR="00DE79A7" w14:paraId="6CC9499E" w14:textId="77777777" w:rsidTr="006B6B0A">
        <w:tc>
          <w:tcPr>
            <w:tcW w:w="1555" w:type="dxa"/>
          </w:tcPr>
          <w:p w14:paraId="71B0E1C2" w14:textId="77777777" w:rsidR="00DE79A7" w:rsidRDefault="00DE79A7" w:rsidP="006B6B0A">
            <w:pPr>
              <w:rPr>
                <w:rFonts w:ascii="Calibri" w:hAnsi="Calibri" w:cs="Calibri"/>
                <w:color w:val="1F497D"/>
                <w:sz w:val="21"/>
                <w:szCs w:val="21"/>
                <w:lang w:val="en-US" w:eastAsia="zh-CN"/>
              </w:rPr>
            </w:pPr>
          </w:p>
        </w:tc>
        <w:tc>
          <w:tcPr>
            <w:tcW w:w="7507" w:type="dxa"/>
          </w:tcPr>
          <w:p w14:paraId="29D1B2E8" w14:textId="77777777" w:rsidR="00DE79A7" w:rsidRDefault="00DE79A7" w:rsidP="006B6B0A">
            <w:pPr>
              <w:rPr>
                <w:rFonts w:ascii="Calibri" w:hAnsi="Calibri" w:cs="Calibri"/>
                <w:color w:val="1F497D"/>
                <w:sz w:val="21"/>
                <w:szCs w:val="21"/>
                <w:lang w:val="en-US" w:eastAsia="zh-CN"/>
              </w:rPr>
            </w:pPr>
          </w:p>
        </w:tc>
      </w:tr>
      <w:tr w:rsidR="00DE79A7" w14:paraId="5DFCE000" w14:textId="77777777" w:rsidTr="006B6B0A">
        <w:tc>
          <w:tcPr>
            <w:tcW w:w="1555" w:type="dxa"/>
          </w:tcPr>
          <w:p w14:paraId="011A1C5A" w14:textId="77777777" w:rsidR="00DE79A7" w:rsidRDefault="00DE79A7" w:rsidP="006B6B0A">
            <w:pPr>
              <w:rPr>
                <w:rFonts w:ascii="Calibri" w:hAnsi="Calibri" w:cs="Calibri"/>
                <w:color w:val="1F497D"/>
                <w:sz w:val="21"/>
                <w:szCs w:val="21"/>
                <w:lang w:val="en-US" w:eastAsia="zh-CN"/>
              </w:rPr>
            </w:pPr>
          </w:p>
        </w:tc>
        <w:tc>
          <w:tcPr>
            <w:tcW w:w="7507" w:type="dxa"/>
          </w:tcPr>
          <w:p w14:paraId="61BE562D" w14:textId="77777777" w:rsidR="00DE79A7" w:rsidRDefault="00DE79A7" w:rsidP="006B6B0A">
            <w:pPr>
              <w:rPr>
                <w:rFonts w:ascii="Calibri" w:hAnsi="Calibri" w:cs="Calibri"/>
                <w:color w:val="1F497D"/>
                <w:sz w:val="21"/>
                <w:szCs w:val="21"/>
                <w:lang w:val="en-US" w:eastAsia="zh-CN"/>
              </w:rPr>
            </w:pPr>
          </w:p>
        </w:tc>
      </w:tr>
      <w:tr w:rsidR="00DE79A7" w14:paraId="15253E60" w14:textId="77777777" w:rsidTr="006B6B0A">
        <w:tc>
          <w:tcPr>
            <w:tcW w:w="1555" w:type="dxa"/>
          </w:tcPr>
          <w:p w14:paraId="492A5BA2" w14:textId="77777777" w:rsidR="00DE79A7" w:rsidRDefault="00DE79A7" w:rsidP="006B6B0A">
            <w:pPr>
              <w:rPr>
                <w:rFonts w:ascii="Calibri" w:hAnsi="Calibri" w:cs="Calibri"/>
                <w:color w:val="1F497D"/>
                <w:sz w:val="21"/>
                <w:szCs w:val="21"/>
                <w:lang w:val="en-US" w:eastAsia="zh-CN"/>
              </w:rPr>
            </w:pPr>
          </w:p>
        </w:tc>
        <w:tc>
          <w:tcPr>
            <w:tcW w:w="7507" w:type="dxa"/>
          </w:tcPr>
          <w:p w14:paraId="790A2473" w14:textId="77777777" w:rsidR="00DE79A7" w:rsidRDefault="00DE79A7" w:rsidP="006B6B0A">
            <w:pPr>
              <w:rPr>
                <w:rFonts w:ascii="Calibri" w:hAnsi="Calibri" w:cs="Calibri"/>
                <w:color w:val="1F497D"/>
                <w:sz w:val="21"/>
                <w:szCs w:val="21"/>
                <w:lang w:val="en-US" w:eastAsia="zh-CN"/>
              </w:rPr>
            </w:pPr>
          </w:p>
        </w:tc>
      </w:tr>
    </w:tbl>
    <w:p w14:paraId="0FD0ABD6" w14:textId="0F3743DB" w:rsidR="00DE79A7" w:rsidRDefault="00DE79A7" w:rsidP="00DE79A7">
      <w:pPr>
        <w:rPr>
          <w:rFonts w:ascii="Calibri" w:hAnsi="Calibri" w:cs="Calibri"/>
          <w:color w:val="1F497D"/>
          <w:sz w:val="21"/>
          <w:szCs w:val="21"/>
          <w:lang w:val="en-US" w:eastAsia="zh-CN"/>
        </w:rPr>
      </w:pPr>
    </w:p>
    <w:p w14:paraId="54CE73A4" w14:textId="0726B0EE" w:rsidR="0023321F"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br w:type="page"/>
      </w:r>
    </w:p>
    <w:p w14:paraId="725E4671" w14:textId="77777777" w:rsidR="00DE79A7" w:rsidRDefault="00DE79A7" w:rsidP="00DE79A7">
      <w:pPr>
        <w:rPr>
          <w:rFonts w:ascii="Calibri" w:hAnsi="Calibri" w:cs="Calibri"/>
          <w:color w:val="1F497D"/>
          <w:sz w:val="21"/>
          <w:szCs w:val="21"/>
          <w:lang w:val="en-US" w:eastAsia="zh-CN"/>
        </w:rPr>
      </w:pPr>
    </w:p>
    <w:p w14:paraId="7BACDFF1"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2. How does EASDF get node level info? From where? (SMF or NEF)</w:t>
      </w:r>
    </w:p>
    <w:p w14:paraId="321825A0"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Different options is summarized as follows:</w:t>
      </w:r>
    </w:p>
    <w:tbl>
      <w:tblPr>
        <w:tblW w:w="0" w:type="auto"/>
        <w:tblCellMar>
          <w:left w:w="0" w:type="dxa"/>
          <w:right w:w="0" w:type="dxa"/>
        </w:tblCellMar>
        <w:tblLook w:val="04A0" w:firstRow="1" w:lastRow="0" w:firstColumn="1" w:lastColumn="0" w:noHBand="0" w:noVBand="1"/>
      </w:tblPr>
      <w:tblGrid>
        <w:gridCol w:w="5275"/>
        <w:gridCol w:w="3777"/>
      </w:tblGrid>
      <w:tr w:rsidR="00DE79A7" w14:paraId="7AAB623F" w14:textId="77777777" w:rsidTr="0023321F">
        <w:tc>
          <w:tcPr>
            <w:tcW w:w="52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D4A44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w:t>
            </w:r>
            <w:r>
              <w:rPr>
                <w:lang w:val="en-US"/>
              </w:rPr>
              <w:t xml:space="preserve"> </w:t>
            </w:r>
            <w:r>
              <w:rPr>
                <w:rFonts w:ascii="Calibri" w:hAnsi="Calibri" w:cs="Calibri"/>
                <w:color w:val="00B050"/>
                <w:sz w:val="21"/>
                <w:szCs w:val="21"/>
                <w:lang w:val="en-US" w:eastAsia="zh-CN"/>
              </w:rPr>
              <w:t>SMF-&gt;EASDF</w:t>
            </w:r>
            <w:r>
              <w:rPr>
                <w:rFonts w:ascii="Calibri" w:hAnsi="Calibri" w:cs="Calibri"/>
                <w:color w:val="1F497D"/>
                <w:sz w:val="21"/>
                <w:szCs w:val="21"/>
                <w:lang w:val="en-US" w:eastAsia="zh-CN"/>
              </w:rPr>
              <w:t>, SMF provide node level information to EASDF by EASDF service.</w:t>
            </w:r>
          </w:p>
        </w:tc>
        <w:tc>
          <w:tcPr>
            <w:tcW w:w="3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B0048E"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5503(Ericsson), 6034(Huawei), 5994(vivo), 5616(Samsung), 6294 (Lenovo), 5400(Nokia)</w:t>
            </w:r>
          </w:p>
        </w:tc>
      </w:tr>
      <w:tr w:rsidR="00DE79A7" w14:paraId="4084341C" w14:textId="77777777" w:rsidTr="0023321F">
        <w:tc>
          <w:tcPr>
            <w:tcW w:w="52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E5009A"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w:t>
            </w:r>
            <w:r>
              <w:rPr>
                <w:rFonts w:ascii="Calibri" w:hAnsi="Calibri" w:cs="Calibri"/>
                <w:color w:val="00B050"/>
                <w:sz w:val="21"/>
                <w:szCs w:val="21"/>
                <w:lang w:val="en-US" w:eastAsia="zh-CN"/>
              </w:rPr>
              <w:t xml:space="preserve"> NEF-&gt;EASDF</w:t>
            </w:r>
            <w:r>
              <w:rPr>
                <w:rFonts w:ascii="Calibri" w:hAnsi="Calibri" w:cs="Calibri"/>
                <w:color w:val="1F497D"/>
                <w:sz w:val="21"/>
                <w:szCs w:val="21"/>
                <w:lang w:val="en-US" w:eastAsia="zh-CN"/>
              </w:rPr>
              <w:t>,  EASDF could use the new NEF service (the same as NEF-&gt;SMF in option A) to fetch EDI directly without involving SMF.</w:t>
            </w:r>
          </w:p>
        </w:tc>
        <w:tc>
          <w:tcPr>
            <w:tcW w:w="3777" w:type="dxa"/>
            <w:tcBorders>
              <w:top w:val="nil"/>
              <w:left w:val="nil"/>
              <w:bottom w:val="single" w:sz="8" w:space="0" w:color="auto"/>
              <w:right w:val="single" w:sz="8" w:space="0" w:color="auto"/>
            </w:tcBorders>
            <w:tcMar>
              <w:top w:w="0" w:type="dxa"/>
              <w:left w:w="108" w:type="dxa"/>
              <w:bottom w:w="0" w:type="dxa"/>
              <w:right w:w="108" w:type="dxa"/>
            </w:tcMar>
            <w:hideMark/>
          </w:tcPr>
          <w:p w14:paraId="3B54D535"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bl>
    <w:p w14:paraId="2ACFF88E" w14:textId="62CA7537" w:rsidR="00DE79A7" w:rsidRDefault="00DE79A7" w:rsidP="00DE79A7">
      <w:pPr>
        <w:rPr>
          <w:rFonts w:ascii="Calibri" w:hAnsi="Calibri" w:cs="Calibri"/>
          <w:color w:val="1F497D"/>
          <w:sz w:val="21"/>
          <w:szCs w:val="21"/>
          <w:lang w:val="en-US" w:eastAsia="zh-CN"/>
        </w:rPr>
      </w:pPr>
    </w:p>
    <w:p w14:paraId="279E1D92"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19FEA7B6" w14:textId="77777777" w:rsidTr="006B6B0A">
        <w:tc>
          <w:tcPr>
            <w:tcW w:w="1555" w:type="dxa"/>
          </w:tcPr>
          <w:p w14:paraId="77E1309E" w14:textId="77777777" w:rsidR="003132B6" w:rsidRDefault="003132B6"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51321A6" w14:textId="404A9359" w:rsidR="003132B6" w:rsidRDefault="0023321F"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Prefer “Option A: SMF-&gt;EASDF” to follow the same logic of PFDF management and SMF can be the Data concentration point to have all the information for DNS handling rule to guarantee the information consistency as much as possible.</w:t>
            </w:r>
          </w:p>
        </w:tc>
      </w:tr>
      <w:tr w:rsidR="003132B6" w14:paraId="5F522D8D" w14:textId="77777777" w:rsidTr="006B6B0A">
        <w:tc>
          <w:tcPr>
            <w:tcW w:w="1555" w:type="dxa"/>
          </w:tcPr>
          <w:p w14:paraId="5974B2C1" w14:textId="77777777" w:rsidR="003132B6" w:rsidRDefault="003132B6" w:rsidP="006B6B0A">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6CFA7472" w14:textId="77777777" w:rsidR="003132B6" w:rsidRDefault="003132B6" w:rsidP="006B6B0A">
            <w:pPr>
              <w:rPr>
                <w:rFonts w:ascii="Calibri" w:hAnsi="Calibri" w:cs="Calibri"/>
                <w:color w:val="1F497D"/>
                <w:sz w:val="21"/>
                <w:szCs w:val="21"/>
                <w:lang w:val="en-US" w:eastAsia="zh-CN"/>
              </w:rPr>
            </w:pPr>
          </w:p>
        </w:tc>
      </w:tr>
      <w:tr w:rsidR="003132B6" w14:paraId="1E942EF9" w14:textId="77777777" w:rsidTr="006B6B0A">
        <w:tc>
          <w:tcPr>
            <w:tcW w:w="1555" w:type="dxa"/>
          </w:tcPr>
          <w:p w14:paraId="6EAA690A" w14:textId="77777777" w:rsidR="003132B6" w:rsidRDefault="003132B6"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1A8C9747" w14:textId="32DBDAD6" w:rsidR="003132B6" w:rsidRDefault="0023321F"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for Q2</w:t>
            </w:r>
          </w:p>
        </w:tc>
      </w:tr>
      <w:tr w:rsidR="003132B6" w14:paraId="50195607" w14:textId="77777777" w:rsidTr="006B6B0A">
        <w:tc>
          <w:tcPr>
            <w:tcW w:w="1555" w:type="dxa"/>
          </w:tcPr>
          <w:p w14:paraId="35DAD86E" w14:textId="77777777" w:rsidR="003132B6" w:rsidRDefault="003132B6"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27ADC2DD" w14:textId="17BA6B52" w:rsidR="003132B6" w:rsidRDefault="0023321F"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SMF provide node level information to EASDF</w:t>
            </w:r>
            <w:r>
              <w:rPr>
                <w:rFonts w:ascii="Calibri" w:hAnsi="Calibri" w:cs="Calibri"/>
                <w:color w:val="1F497D"/>
                <w:sz w:val="21"/>
                <w:szCs w:val="21"/>
                <w:lang w:val="en-US" w:eastAsia="zh-CN"/>
              </w:rPr>
              <w:t xml:space="preserve">. This keeps SMF as the controlling node for the feature and allows some EDI information to be used at SMF level (e.g. DNS address to use to configure the </w:t>
            </w:r>
            <w:proofErr w:type="spellStart"/>
            <w:r>
              <w:rPr>
                <w:rFonts w:ascii="Calibri" w:hAnsi="Calibri" w:cs="Calibri"/>
                <w:color w:val="1F497D"/>
                <w:sz w:val="21"/>
                <w:szCs w:val="21"/>
                <w:lang w:val="en-US" w:eastAsia="zh-CN"/>
              </w:rPr>
              <w:t>Ue</w:t>
            </w:r>
            <w:proofErr w:type="spellEnd"/>
            <w:r>
              <w:rPr>
                <w:rFonts w:ascii="Calibri" w:hAnsi="Calibri" w:cs="Calibri"/>
                <w:color w:val="1F497D"/>
                <w:sz w:val="21"/>
                <w:szCs w:val="21"/>
                <w:lang w:val="en-US" w:eastAsia="zh-CN"/>
              </w:rPr>
              <w:t xml:space="preserve"> in option C)</w:t>
            </w:r>
          </w:p>
        </w:tc>
      </w:tr>
      <w:tr w:rsidR="003132B6" w14:paraId="036BFA57" w14:textId="77777777" w:rsidTr="006B6B0A">
        <w:tc>
          <w:tcPr>
            <w:tcW w:w="1555" w:type="dxa"/>
          </w:tcPr>
          <w:p w14:paraId="770617CA" w14:textId="77777777" w:rsidR="003132B6" w:rsidRDefault="003132B6" w:rsidP="006B6B0A">
            <w:pPr>
              <w:rPr>
                <w:rFonts w:ascii="Calibri" w:hAnsi="Calibri" w:cs="Calibri"/>
                <w:color w:val="1F497D"/>
                <w:sz w:val="21"/>
                <w:szCs w:val="21"/>
                <w:lang w:val="en-US" w:eastAsia="zh-CN"/>
              </w:rPr>
            </w:pPr>
          </w:p>
        </w:tc>
        <w:tc>
          <w:tcPr>
            <w:tcW w:w="7507" w:type="dxa"/>
          </w:tcPr>
          <w:p w14:paraId="3FCBAB00" w14:textId="77777777" w:rsidR="003132B6" w:rsidRDefault="003132B6" w:rsidP="006B6B0A">
            <w:pPr>
              <w:rPr>
                <w:rFonts w:ascii="Calibri" w:hAnsi="Calibri" w:cs="Calibri"/>
                <w:color w:val="1F497D"/>
                <w:sz w:val="21"/>
                <w:szCs w:val="21"/>
                <w:lang w:val="en-US" w:eastAsia="zh-CN"/>
              </w:rPr>
            </w:pPr>
          </w:p>
        </w:tc>
      </w:tr>
      <w:tr w:rsidR="003132B6" w14:paraId="30DC53DB" w14:textId="77777777" w:rsidTr="006B6B0A">
        <w:tc>
          <w:tcPr>
            <w:tcW w:w="1555" w:type="dxa"/>
          </w:tcPr>
          <w:p w14:paraId="606F9F30" w14:textId="77777777" w:rsidR="003132B6" w:rsidRDefault="003132B6" w:rsidP="006B6B0A">
            <w:pPr>
              <w:rPr>
                <w:rFonts w:ascii="Calibri" w:hAnsi="Calibri" w:cs="Calibri"/>
                <w:color w:val="1F497D"/>
                <w:sz w:val="21"/>
                <w:szCs w:val="21"/>
                <w:lang w:val="en-US" w:eastAsia="zh-CN"/>
              </w:rPr>
            </w:pPr>
          </w:p>
        </w:tc>
        <w:tc>
          <w:tcPr>
            <w:tcW w:w="7507" w:type="dxa"/>
          </w:tcPr>
          <w:p w14:paraId="353AEE7F" w14:textId="77777777" w:rsidR="003132B6" w:rsidRDefault="003132B6" w:rsidP="006B6B0A">
            <w:pPr>
              <w:rPr>
                <w:rFonts w:ascii="Calibri" w:hAnsi="Calibri" w:cs="Calibri"/>
                <w:color w:val="1F497D"/>
                <w:sz w:val="21"/>
                <w:szCs w:val="21"/>
                <w:lang w:val="en-US" w:eastAsia="zh-CN"/>
              </w:rPr>
            </w:pPr>
          </w:p>
        </w:tc>
      </w:tr>
      <w:tr w:rsidR="003132B6" w14:paraId="74DF0854" w14:textId="77777777" w:rsidTr="006B6B0A">
        <w:tc>
          <w:tcPr>
            <w:tcW w:w="1555" w:type="dxa"/>
          </w:tcPr>
          <w:p w14:paraId="0F89CA9C" w14:textId="77777777" w:rsidR="003132B6" w:rsidRDefault="003132B6" w:rsidP="006B6B0A">
            <w:pPr>
              <w:rPr>
                <w:rFonts w:ascii="Calibri" w:hAnsi="Calibri" w:cs="Calibri"/>
                <w:color w:val="1F497D"/>
                <w:sz w:val="21"/>
                <w:szCs w:val="21"/>
                <w:lang w:val="en-US" w:eastAsia="zh-CN"/>
              </w:rPr>
            </w:pPr>
          </w:p>
        </w:tc>
        <w:tc>
          <w:tcPr>
            <w:tcW w:w="7507" w:type="dxa"/>
          </w:tcPr>
          <w:p w14:paraId="342E722D" w14:textId="77777777" w:rsidR="003132B6" w:rsidRDefault="003132B6" w:rsidP="006B6B0A">
            <w:pPr>
              <w:rPr>
                <w:rFonts w:ascii="Calibri" w:hAnsi="Calibri" w:cs="Calibri"/>
                <w:color w:val="1F497D"/>
                <w:sz w:val="21"/>
                <w:szCs w:val="21"/>
                <w:lang w:val="en-US" w:eastAsia="zh-CN"/>
              </w:rPr>
            </w:pPr>
          </w:p>
        </w:tc>
      </w:tr>
      <w:tr w:rsidR="003132B6" w14:paraId="743F7729" w14:textId="77777777" w:rsidTr="006B6B0A">
        <w:tc>
          <w:tcPr>
            <w:tcW w:w="1555" w:type="dxa"/>
          </w:tcPr>
          <w:p w14:paraId="2B4F7282" w14:textId="77777777" w:rsidR="003132B6" w:rsidRDefault="003132B6" w:rsidP="006B6B0A">
            <w:pPr>
              <w:rPr>
                <w:rFonts w:ascii="Calibri" w:hAnsi="Calibri" w:cs="Calibri"/>
                <w:color w:val="1F497D"/>
                <w:sz w:val="21"/>
                <w:szCs w:val="21"/>
                <w:lang w:val="en-US" w:eastAsia="zh-CN"/>
              </w:rPr>
            </w:pPr>
          </w:p>
        </w:tc>
        <w:tc>
          <w:tcPr>
            <w:tcW w:w="7507" w:type="dxa"/>
          </w:tcPr>
          <w:p w14:paraId="21E89F99" w14:textId="77777777" w:rsidR="003132B6" w:rsidRDefault="003132B6" w:rsidP="006B6B0A">
            <w:pPr>
              <w:rPr>
                <w:rFonts w:ascii="Calibri" w:hAnsi="Calibri" w:cs="Calibri"/>
                <w:color w:val="1F497D"/>
                <w:sz w:val="21"/>
                <w:szCs w:val="21"/>
                <w:lang w:val="en-US" w:eastAsia="zh-CN"/>
              </w:rPr>
            </w:pPr>
          </w:p>
        </w:tc>
      </w:tr>
    </w:tbl>
    <w:p w14:paraId="03F89166" w14:textId="77777777" w:rsidR="0023321F" w:rsidRDefault="0023321F">
      <w:pPr>
        <w:rPr>
          <w:rFonts w:ascii="Calibri" w:hAnsi="Calibri" w:cs="Calibri"/>
          <w:color w:val="1F497D"/>
          <w:sz w:val="21"/>
          <w:szCs w:val="21"/>
          <w:lang w:val="en-US" w:eastAsia="zh-CN"/>
        </w:rPr>
      </w:pPr>
    </w:p>
    <w:p w14:paraId="0BFFA689" w14:textId="350EC7B0" w:rsidR="00DE79A7" w:rsidRDefault="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 </w:t>
      </w:r>
      <w:r>
        <w:rPr>
          <w:rFonts w:ascii="Calibri" w:hAnsi="Calibri" w:cs="Calibri"/>
          <w:color w:val="1F497D"/>
          <w:sz w:val="21"/>
          <w:szCs w:val="21"/>
          <w:lang w:val="en-US" w:eastAsia="zh-CN"/>
        </w:rPr>
        <w:br w:type="page"/>
      </w:r>
    </w:p>
    <w:p w14:paraId="077F2606" w14:textId="77777777" w:rsidR="00DE79A7" w:rsidRDefault="00DE79A7" w:rsidP="00DE79A7">
      <w:pPr>
        <w:rPr>
          <w:rFonts w:ascii="Calibri" w:hAnsi="Calibri" w:cs="Calibri"/>
          <w:b/>
          <w:bCs/>
          <w:color w:val="1F497D"/>
          <w:sz w:val="21"/>
          <w:szCs w:val="21"/>
          <w:lang w:val="en-US" w:eastAsia="zh-CN"/>
        </w:rPr>
      </w:pPr>
      <w:r>
        <w:rPr>
          <w:rFonts w:ascii="Calibri" w:hAnsi="Calibri" w:cs="Calibri"/>
          <w:b/>
          <w:bCs/>
          <w:color w:val="1F497D"/>
          <w:sz w:val="21"/>
          <w:szCs w:val="21"/>
          <w:lang w:val="en-US" w:eastAsia="zh-CN"/>
        </w:rPr>
        <w:t>3. What’s the node level info provided to EASDF? Is it same as the EDI from AF?</w:t>
      </w:r>
    </w:p>
    <w:p w14:paraId="33E25DC4" w14:textId="77777777" w:rsidR="00DE79A7" w:rsidRDefault="00DE79A7" w:rsidP="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AS for the content of node level info, there are some different proposals:</w:t>
      </w:r>
    </w:p>
    <w:tbl>
      <w:tblPr>
        <w:tblW w:w="0" w:type="auto"/>
        <w:tblCellMar>
          <w:left w:w="0" w:type="dxa"/>
          <w:right w:w="0" w:type="dxa"/>
        </w:tblCellMar>
        <w:tblLook w:val="04A0" w:firstRow="1" w:lastRow="0" w:firstColumn="1" w:lastColumn="0" w:noHBand="0" w:noVBand="1"/>
      </w:tblPr>
      <w:tblGrid>
        <w:gridCol w:w="5174"/>
        <w:gridCol w:w="3878"/>
      </w:tblGrid>
      <w:tr w:rsidR="00DE79A7" w14:paraId="31F07A26" w14:textId="77777777" w:rsidTr="0023321F">
        <w:tc>
          <w:tcPr>
            <w:tcW w:w="51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B285E3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A: Node level info is the same as EAS Deployment Info from AF.</w:t>
            </w:r>
          </w:p>
        </w:tc>
        <w:tc>
          <w:tcPr>
            <w:tcW w:w="38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6B3271D"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5616(Samsung)</w:t>
            </w:r>
          </w:p>
        </w:tc>
      </w:tr>
      <w:tr w:rsidR="00DE79A7" w14:paraId="016A5C6B"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ACBE2"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4BC9343"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6034(Huawei)</w:t>
            </w:r>
          </w:p>
        </w:tc>
      </w:tr>
      <w:tr w:rsidR="00DE79A7" w14:paraId="6BBD277D" w14:textId="77777777" w:rsidTr="0023321F">
        <w:tc>
          <w:tcPr>
            <w:tcW w:w="517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6817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Option C: Node Level Information share the same structure as Session Level DNS message handling rule that has been defined, but provisioned by node level procedure.</w:t>
            </w:r>
          </w:p>
        </w:tc>
        <w:tc>
          <w:tcPr>
            <w:tcW w:w="3878" w:type="dxa"/>
            <w:tcBorders>
              <w:top w:val="nil"/>
              <w:left w:val="nil"/>
              <w:bottom w:val="single" w:sz="8" w:space="0" w:color="auto"/>
              <w:right w:val="single" w:sz="8" w:space="0" w:color="auto"/>
            </w:tcBorders>
            <w:tcMar>
              <w:top w:w="0" w:type="dxa"/>
              <w:left w:w="108" w:type="dxa"/>
              <w:bottom w:w="0" w:type="dxa"/>
              <w:right w:w="108" w:type="dxa"/>
            </w:tcMar>
            <w:hideMark/>
          </w:tcPr>
          <w:p w14:paraId="7C628CB6" w14:textId="77777777" w:rsidR="00DE79A7" w:rsidRDefault="00DE79A7">
            <w:pPr>
              <w:rPr>
                <w:rFonts w:ascii="Calibri" w:hAnsi="Calibri" w:cs="Calibri"/>
                <w:color w:val="1F497D"/>
                <w:sz w:val="21"/>
                <w:szCs w:val="21"/>
                <w:lang w:val="en-US" w:eastAsia="zh-CN"/>
              </w:rPr>
            </w:pPr>
            <w:r>
              <w:rPr>
                <w:rFonts w:ascii="Calibri" w:hAnsi="Calibri" w:cs="Calibri"/>
                <w:color w:val="1F497D"/>
                <w:sz w:val="21"/>
                <w:szCs w:val="21"/>
                <w:lang w:val="en-US" w:eastAsia="zh-CN"/>
              </w:rPr>
              <w:t>5994(vivo), 5510(Ericsson), 6294(Lenovo)</w:t>
            </w:r>
          </w:p>
        </w:tc>
      </w:tr>
    </w:tbl>
    <w:p w14:paraId="52A0CC89" w14:textId="77777777" w:rsidR="00DE79A7" w:rsidRDefault="00DE79A7" w:rsidP="00DE79A7">
      <w:pPr>
        <w:rPr>
          <w:rFonts w:ascii="Calibri" w:hAnsi="Calibri" w:cs="Calibri"/>
          <w:color w:val="1F497D"/>
          <w:sz w:val="21"/>
          <w:szCs w:val="21"/>
          <w:lang w:val="en-US" w:eastAsia="zh-CN"/>
        </w:rPr>
      </w:pPr>
    </w:p>
    <w:p w14:paraId="41CB6425" w14:textId="77777777" w:rsidR="003132B6" w:rsidRDefault="003132B6" w:rsidP="003132B6">
      <w:pPr>
        <w:pStyle w:val="ListParagraph"/>
        <w:ind w:left="360" w:firstLine="0"/>
        <w:rPr>
          <w:rFonts w:ascii="Calibri" w:hAnsi="Calibri" w:cs="Calibri"/>
          <w:color w:val="1F497D"/>
          <w:sz w:val="21"/>
          <w:szCs w:val="21"/>
          <w:lang w:val="en-US" w:eastAsia="zh-CN"/>
        </w:rPr>
      </w:pPr>
    </w:p>
    <w:tbl>
      <w:tblPr>
        <w:tblStyle w:val="TableGrid"/>
        <w:tblW w:w="0" w:type="auto"/>
        <w:tblLook w:val="04A0" w:firstRow="1" w:lastRow="0" w:firstColumn="1" w:lastColumn="0" w:noHBand="0" w:noVBand="1"/>
      </w:tblPr>
      <w:tblGrid>
        <w:gridCol w:w="1555"/>
        <w:gridCol w:w="7507"/>
      </w:tblGrid>
      <w:tr w:rsidR="003132B6" w14:paraId="0333F8EF" w14:textId="77777777" w:rsidTr="006B6B0A">
        <w:tc>
          <w:tcPr>
            <w:tcW w:w="1555" w:type="dxa"/>
          </w:tcPr>
          <w:p w14:paraId="32CDA9D9" w14:textId="77777777" w:rsidR="003132B6" w:rsidRDefault="003132B6" w:rsidP="006B6B0A">
            <w:pPr>
              <w:rPr>
                <w:rFonts w:ascii="Calibri" w:hAnsi="Calibri" w:cs="Calibri"/>
                <w:color w:val="1F497D"/>
                <w:sz w:val="21"/>
                <w:szCs w:val="21"/>
                <w:lang w:val="en-US" w:eastAsia="zh-CN"/>
              </w:rPr>
            </w:pPr>
            <w:r>
              <w:rPr>
                <w:rFonts w:ascii="Calibri" w:hAnsi="Calibri" w:cs="Calibri"/>
                <w:color w:val="1F497D"/>
                <w:sz w:val="21"/>
                <w:szCs w:val="21"/>
                <w:lang w:val="en-US" w:eastAsia="zh-CN"/>
              </w:rPr>
              <w:t>Lenovo</w:t>
            </w:r>
          </w:p>
        </w:tc>
        <w:tc>
          <w:tcPr>
            <w:tcW w:w="7507" w:type="dxa"/>
          </w:tcPr>
          <w:p w14:paraId="16F9AB79" w14:textId="517B9CC8" w:rsidR="003132B6" w:rsidRDefault="0023321F" w:rsidP="006B6B0A">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Perfer</w:t>
            </w:r>
            <w:proofErr w:type="spellEnd"/>
            <w:r>
              <w:rPr>
                <w:rFonts w:ascii="Calibri" w:hAnsi="Calibri" w:cs="Calibri"/>
                <w:color w:val="1F497D"/>
                <w:sz w:val="21"/>
                <w:szCs w:val="21"/>
                <w:lang w:val="en-US" w:eastAsia="zh-CN"/>
              </w:rPr>
              <w:t xml:space="preserve"> “Option C: Node Level Information share the same structure as Session Level DNS message handling rule that has been defined, but provisioned by node level procedure.” The node level DNS handling rules are deducted from the node level EDI received or configured on the SMF.</w:t>
            </w:r>
          </w:p>
        </w:tc>
      </w:tr>
      <w:tr w:rsidR="0023321F" w14:paraId="6E879CEF" w14:textId="77777777" w:rsidTr="006B6B0A">
        <w:tc>
          <w:tcPr>
            <w:tcW w:w="1555" w:type="dxa"/>
          </w:tcPr>
          <w:p w14:paraId="7BE1903C" w14:textId="77777777" w:rsidR="0023321F" w:rsidRDefault="0023321F" w:rsidP="0023321F">
            <w:pPr>
              <w:rPr>
                <w:rFonts w:ascii="Calibri" w:hAnsi="Calibri" w:cs="Calibri"/>
                <w:color w:val="1F497D"/>
                <w:sz w:val="21"/>
                <w:szCs w:val="21"/>
                <w:lang w:val="en-US" w:eastAsia="zh-CN"/>
              </w:rPr>
            </w:pPr>
            <w:proofErr w:type="spellStart"/>
            <w:r>
              <w:rPr>
                <w:rFonts w:ascii="Calibri" w:hAnsi="Calibri" w:cs="Calibri"/>
                <w:color w:val="1F497D"/>
                <w:sz w:val="21"/>
                <w:szCs w:val="21"/>
                <w:lang w:val="en-US" w:eastAsia="zh-CN"/>
              </w:rPr>
              <w:t>Ericssson</w:t>
            </w:r>
            <w:proofErr w:type="spellEnd"/>
          </w:p>
        </w:tc>
        <w:tc>
          <w:tcPr>
            <w:tcW w:w="7507" w:type="dxa"/>
          </w:tcPr>
          <w:p w14:paraId="17673C79" w14:textId="3DF43C92" w:rsidR="0023321F" w:rsidRDefault="0023321F" w:rsidP="0023321F">
            <w:pPr>
              <w:rPr>
                <w:rFonts w:ascii="Calibri" w:hAnsi="Calibri" w:cs="Calibri"/>
                <w:color w:val="1F497D"/>
                <w:sz w:val="21"/>
                <w:szCs w:val="21"/>
                <w:lang w:val="en-US" w:eastAsia="zh-CN"/>
              </w:rPr>
            </w:pPr>
            <w:r>
              <w:rPr>
                <w:rFonts w:ascii="Ericsson Hilda" w:hAnsi="Ericsson Hilda"/>
                <w:lang w:val="en-US"/>
              </w:rPr>
              <w:t>It is hard to understand why node level DNS handling rules should have a different structure than session level. We proposed that each DNS handling rule sent to EASDF from SMF can have its unique identifier which can be used when SMF decides which DNS handling rules are applicable for a session. SMF does this by at start of a PDU session by providing session level DNS handling rules and/or referring to node level DNS handling rules to the EASDF.</w:t>
            </w:r>
          </w:p>
        </w:tc>
      </w:tr>
      <w:tr w:rsidR="0023321F" w14:paraId="71920E57" w14:textId="77777777" w:rsidTr="006B6B0A">
        <w:tc>
          <w:tcPr>
            <w:tcW w:w="1555" w:type="dxa"/>
          </w:tcPr>
          <w:p w14:paraId="639C78C1"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Huawei</w:t>
            </w:r>
          </w:p>
        </w:tc>
        <w:tc>
          <w:tcPr>
            <w:tcW w:w="7507" w:type="dxa"/>
          </w:tcPr>
          <w:p w14:paraId="04D16EBD" w14:textId="7BE91404"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for Q3. The initial purpose of introduce Node Level information is to avoid the PDU session modification signaling storm caused by EDI change, so the information that its change could introduce the signaling storm issues is put into Node Level Info, and then it could be referred to by Session Level rule. The “action” such like “DROP DNS RESPONSE”, “FORWARD DNS RESPONSE” are all DNS message specific, and cannot be applied to all UEs, the introduce of ACTIONS in Node Level info brings complexity, that why it is not reasonable to include actions in Node Level Info</w:t>
            </w:r>
          </w:p>
        </w:tc>
      </w:tr>
      <w:tr w:rsidR="0023321F" w14:paraId="314E816E" w14:textId="77777777" w:rsidTr="006B6B0A">
        <w:tc>
          <w:tcPr>
            <w:tcW w:w="1555" w:type="dxa"/>
          </w:tcPr>
          <w:p w14:paraId="0B3D1CF7"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Nokia</w:t>
            </w:r>
          </w:p>
        </w:tc>
        <w:tc>
          <w:tcPr>
            <w:tcW w:w="7507" w:type="dxa"/>
          </w:tcPr>
          <w:p w14:paraId="6BE3864B" w14:textId="77777777"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Option B: define a separated information structure which is different from existing session level DNS message handling rule.</w:t>
            </w:r>
          </w:p>
          <w:p w14:paraId="428CDEDC" w14:textId="43C89180" w:rsidR="0023321F" w:rsidRDefault="0023321F" w:rsidP="0023321F">
            <w:pPr>
              <w:rPr>
                <w:rFonts w:ascii="Calibri" w:hAnsi="Calibri" w:cs="Calibri"/>
                <w:color w:val="1F497D"/>
                <w:sz w:val="21"/>
                <w:szCs w:val="21"/>
                <w:lang w:val="en-US" w:eastAsia="zh-CN"/>
              </w:rPr>
            </w:pPr>
            <w:r>
              <w:rPr>
                <w:rFonts w:ascii="Calibri" w:hAnsi="Calibri" w:cs="Calibri"/>
                <w:color w:val="1F497D"/>
                <w:sz w:val="21"/>
                <w:szCs w:val="21"/>
                <w:lang w:val="en-US" w:eastAsia="zh-CN"/>
              </w:rPr>
              <w:t xml:space="preserve">The </w:t>
            </w:r>
            <w:r>
              <w:rPr>
                <w:rFonts w:ascii="Calibri" w:hAnsi="Calibri" w:cs="Calibri"/>
                <w:color w:val="1F497D"/>
                <w:sz w:val="21"/>
                <w:szCs w:val="21"/>
                <w:lang w:val="en-US" w:eastAsia="zh-CN"/>
              </w:rPr>
              <w:t>Node Level Information</w:t>
            </w:r>
            <w:r>
              <w:rPr>
                <w:rFonts w:ascii="Calibri" w:hAnsi="Calibri" w:cs="Calibri"/>
                <w:color w:val="1F497D"/>
                <w:sz w:val="21"/>
                <w:szCs w:val="21"/>
                <w:lang w:val="en-US" w:eastAsia="zh-CN"/>
              </w:rPr>
              <w:t xml:space="preserve"> can complement the DNS handling rules, it is NOT a default DNS handling rule (which the SMF can anyhow populate using </w:t>
            </w:r>
            <w:r w:rsidR="00775BF6">
              <w:rPr>
                <w:rFonts w:ascii="Calibri" w:hAnsi="Calibri" w:cs="Calibri"/>
                <w:color w:val="1F497D"/>
                <w:sz w:val="21"/>
                <w:szCs w:val="21"/>
                <w:lang w:val="en-US" w:eastAsia="zh-CN"/>
              </w:rPr>
              <w:t>a lowest priority DNS handling rule)</w:t>
            </w:r>
          </w:p>
        </w:tc>
      </w:tr>
      <w:tr w:rsidR="0023321F" w14:paraId="1D735491" w14:textId="77777777" w:rsidTr="006B6B0A">
        <w:tc>
          <w:tcPr>
            <w:tcW w:w="1555" w:type="dxa"/>
          </w:tcPr>
          <w:p w14:paraId="2BC814D5" w14:textId="77777777" w:rsidR="0023321F" w:rsidRDefault="0023321F" w:rsidP="0023321F">
            <w:pPr>
              <w:rPr>
                <w:rFonts w:ascii="Calibri" w:hAnsi="Calibri" w:cs="Calibri"/>
                <w:color w:val="1F497D"/>
                <w:sz w:val="21"/>
                <w:szCs w:val="21"/>
                <w:lang w:val="en-US" w:eastAsia="zh-CN"/>
              </w:rPr>
            </w:pPr>
          </w:p>
        </w:tc>
        <w:tc>
          <w:tcPr>
            <w:tcW w:w="7507" w:type="dxa"/>
          </w:tcPr>
          <w:p w14:paraId="35D3E7E0" w14:textId="77777777" w:rsidR="0023321F" w:rsidRDefault="0023321F" w:rsidP="0023321F">
            <w:pPr>
              <w:rPr>
                <w:rFonts w:ascii="Calibri" w:hAnsi="Calibri" w:cs="Calibri"/>
                <w:color w:val="1F497D"/>
                <w:sz w:val="21"/>
                <w:szCs w:val="21"/>
                <w:lang w:val="en-US" w:eastAsia="zh-CN"/>
              </w:rPr>
            </w:pPr>
          </w:p>
        </w:tc>
      </w:tr>
      <w:tr w:rsidR="0023321F" w14:paraId="5F8EFE49" w14:textId="77777777" w:rsidTr="006B6B0A">
        <w:tc>
          <w:tcPr>
            <w:tcW w:w="1555" w:type="dxa"/>
          </w:tcPr>
          <w:p w14:paraId="6C80107F" w14:textId="77777777" w:rsidR="0023321F" w:rsidRDefault="0023321F" w:rsidP="0023321F">
            <w:pPr>
              <w:rPr>
                <w:rFonts w:ascii="Calibri" w:hAnsi="Calibri" w:cs="Calibri"/>
                <w:color w:val="1F497D"/>
                <w:sz w:val="21"/>
                <w:szCs w:val="21"/>
                <w:lang w:val="en-US" w:eastAsia="zh-CN"/>
              </w:rPr>
            </w:pPr>
          </w:p>
        </w:tc>
        <w:tc>
          <w:tcPr>
            <w:tcW w:w="7507" w:type="dxa"/>
          </w:tcPr>
          <w:p w14:paraId="0805BF77" w14:textId="77777777" w:rsidR="0023321F" w:rsidRDefault="0023321F" w:rsidP="0023321F">
            <w:pPr>
              <w:rPr>
                <w:rFonts w:ascii="Calibri" w:hAnsi="Calibri" w:cs="Calibri"/>
                <w:color w:val="1F497D"/>
                <w:sz w:val="21"/>
                <w:szCs w:val="21"/>
                <w:lang w:val="en-US" w:eastAsia="zh-CN"/>
              </w:rPr>
            </w:pPr>
          </w:p>
        </w:tc>
      </w:tr>
      <w:tr w:rsidR="0023321F" w14:paraId="5039F06C" w14:textId="77777777" w:rsidTr="006B6B0A">
        <w:tc>
          <w:tcPr>
            <w:tcW w:w="1555" w:type="dxa"/>
          </w:tcPr>
          <w:p w14:paraId="0BBE305B" w14:textId="77777777" w:rsidR="0023321F" w:rsidRDefault="0023321F" w:rsidP="0023321F">
            <w:pPr>
              <w:rPr>
                <w:rFonts w:ascii="Calibri" w:hAnsi="Calibri" w:cs="Calibri"/>
                <w:color w:val="1F497D"/>
                <w:sz w:val="21"/>
                <w:szCs w:val="21"/>
                <w:lang w:val="en-US" w:eastAsia="zh-CN"/>
              </w:rPr>
            </w:pPr>
          </w:p>
        </w:tc>
        <w:tc>
          <w:tcPr>
            <w:tcW w:w="7507" w:type="dxa"/>
          </w:tcPr>
          <w:p w14:paraId="1A51D3E0" w14:textId="77777777" w:rsidR="0023321F" w:rsidRDefault="0023321F" w:rsidP="0023321F">
            <w:pPr>
              <w:rPr>
                <w:rFonts w:ascii="Calibri" w:hAnsi="Calibri" w:cs="Calibri"/>
                <w:color w:val="1F497D"/>
                <w:sz w:val="21"/>
                <w:szCs w:val="21"/>
                <w:lang w:val="en-US" w:eastAsia="zh-CN"/>
              </w:rPr>
            </w:pPr>
          </w:p>
        </w:tc>
      </w:tr>
      <w:tr w:rsidR="0023321F" w14:paraId="0D6E433B" w14:textId="77777777" w:rsidTr="006B6B0A">
        <w:tc>
          <w:tcPr>
            <w:tcW w:w="1555" w:type="dxa"/>
          </w:tcPr>
          <w:p w14:paraId="59C933FA" w14:textId="77777777" w:rsidR="0023321F" w:rsidRDefault="0023321F" w:rsidP="0023321F">
            <w:pPr>
              <w:rPr>
                <w:rFonts w:ascii="Calibri" w:hAnsi="Calibri" w:cs="Calibri"/>
                <w:color w:val="1F497D"/>
                <w:sz w:val="21"/>
                <w:szCs w:val="21"/>
                <w:lang w:val="en-US" w:eastAsia="zh-CN"/>
              </w:rPr>
            </w:pPr>
          </w:p>
        </w:tc>
        <w:tc>
          <w:tcPr>
            <w:tcW w:w="7507" w:type="dxa"/>
          </w:tcPr>
          <w:p w14:paraId="16DBE85F" w14:textId="77777777" w:rsidR="0023321F" w:rsidRDefault="0023321F" w:rsidP="0023321F">
            <w:pPr>
              <w:rPr>
                <w:rFonts w:ascii="Calibri" w:hAnsi="Calibri" w:cs="Calibri"/>
                <w:color w:val="1F497D"/>
                <w:sz w:val="21"/>
                <w:szCs w:val="21"/>
                <w:lang w:val="en-US" w:eastAsia="zh-CN"/>
              </w:rPr>
            </w:pPr>
          </w:p>
        </w:tc>
      </w:tr>
    </w:tbl>
    <w:p w14:paraId="533AA526" w14:textId="0BDE7A40" w:rsidR="00DE79A7" w:rsidRDefault="00DE79A7"/>
    <w:p w14:paraId="5EF9225E" w14:textId="77777777" w:rsidR="00DE79A7" w:rsidRDefault="00DE79A7" w:rsidP="00DE79A7">
      <w:pPr>
        <w:rPr>
          <w:rFonts w:ascii="DengXian" w:eastAsia="DengXian" w:hAnsi="DengXian"/>
          <w:sz w:val="21"/>
          <w:szCs w:val="21"/>
          <w:lang w:val="en-US" w:eastAsia="zh-CN"/>
        </w:rPr>
      </w:pPr>
    </w:p>
    <w:sectPr w:rsidR="00DE79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4C4C3D"/>
    <w:multiLevelType w:val="hybridMultilevel"/>
    <w:tmpl w:val="AA62E152"/>
    <w:lvl w:ilvl="0" w:tplc="DBA62D5C">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B9662AD"/>
    <w:multiLevelType w:val="hybridMultilevel"/>
    <w:tmpl w:val="3C5CEE5A"/>
    <w:lvl w:ilvl="0" w:tplc="4534542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 w15:restartNumberingAfterBreak="0">
    <w:nsid w:val="4A847B02"/>
    <w:multiLevelType w:val="hybridMultilevel"/>
    <w:tmpl w:val="A85678BA"/>
    <w:lvl w:ilvl="0" w:tplc="3AA084A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A7"/>
    <w:rsid w:val="0023321F"/>
    <w:rsid w:val="003132B6"/>
    <w:rsid w:val="00775BF6"/>
    <w:rsid w:val="00DE79A7"/>
    <w:rsid w:val="00F170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2EC86"/>
  <w15:chartTrackingRefBased/>
  <w15:docId w15:val="{E989E473-9497-4E04-8420-825259A6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79A7"/>
    <w:pPr>
      <w:spacing w:after="0" w:line="240" w:lineRule="auto"/>
      <w:ind w:firstLine="420"/>
    </w:pPr>
    <w:rPr>
      <w:rFonts w:ascii="Arial" w:hAnsi="Arial" w:cs="Arial"/>
      <w:sz w:val="18"/>
      <w:szCs w:val="18"/>
      <w:lang w:eastAsia="ar-SA"/>
    </w:rPr>
  </w:style>
  <w:style w:type="table" w:styleId="TableGrid">
    <w:name w:val="Table Grid"/>
    <w:basedOn w:val="TableNormal"/>
    <w:uiPriority w:val="39"/>
    <w:rsid w:val="00DE7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686098">
      <w:bodyDiv w:val="1"/>
      <w:marLeft w:val="0"/>
      <w:marRight w:val="0"/>
      <w:marTop w:val="0"/>
      <w:marBottom w:val="0"/>
      <w:divBdr>
        <w:top w:val="none" w:sz="0" w:space="0" w:color="auto"/>
        <w:left w:val="none" w:sz="0" w:space="0" w:color="auto"/>
        <w:bottom w:val="none" w:sz="0" w:space="0" w:color="auto"/>
        <w:right w:val="none" w:sz="0" w:space="0" w:color="auto"/>
      </w:divBdr>
    </w:div>
    <w:div w:id="657928984">
      <w:bodyDiv w:val="1"/>
      <w:marLeft w:val="0"/>
      <w:marRight w:val="0"/>
      <w:marTop w:val="0"/>
      <w:marBottom w:val="0"/>
      <w:divBdr>
        <w:top w:val="none" w:sz="0" w:space="0" w:color="auto"/>
        <w:left w:val="none" w:sz="0" w:space="0" w:color="auto"/>
        <w:bottom w:val="none" w:sz="0" w:space="0" w:color="auto"/>
        <w:right w:val="none" w:sz="0" w:space="0" w:color="auto"/>
      </w:divBdr>
    </w:div>
    <w:div w:id="1184202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864</Words>
  <Characters>4755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LTHM1</dc:creator>
  <cp:keywords/>
  <dc:description/>
  <cp:lastModifiedBy>LTHM1</cp:lastModifiedBy>
  <cp:revision>2</cp:revision>
  <dcterms:created xsi:type="dcterms:W3CDTF">2021-08-16T16:34:00Z</dcterms:created>
  <dcterms:modified xsi:type="dcterms:W3CDTF">2021-08-16T16:55:00Z</dcterms:modified>
</cp:coreProperties>
</file>