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D1F26" w14:textId="77777777" w:rsidR="006B1110" w:rsidRDefault="006B1110" w:rsidP="006B1110">
      <w:pPr>
        <w:pStyle w:val="CRCoverPage"/>
        <w:tabs>
          <w:tab w:val="right" w:pos="9639"/>
        </w:tabs>
        <w:spacing w:after="0"/>
        <w:rPr>
          <w:b/>
          <w:i/>
          <w:noProof/>
          <w:sz w:val="28"/>
        </w:rPr>
      </w:pPr>
      <w:r>
        <w:rPr>
          <w:b/>
          <w:noProof/>
          <w:sz w:val="24"/>
        </w:rPr>
        <w:t>3GPP TSG-SA2 # 14</w:t>
      </w:r>
      <w:r w:rsidR="00A93923">
        <w:rPr>
          <w:b/>
          <w:noProof/>
          <w:sz w:val="24"/>
          <w:lang w:eastAsia="zh-CN"/>
        </w:rPr>
        <w:t>6</w:t>
      </w:r>
      <w:r>
        <w:rPr>
          <w:b/>
          <w:noProof/>
          <w:sz w:val="24"/>
        </w:rPr>
        <w:t>E (</w:t>
      </w:r>
      <w:r>
        <w:rPr>
          <w:rFonts w:hint="eastAsia"/>
          <w:b/>
          <w:noProof/>
          <w:sz w:val="24"/>
          <w:lang w:eastAsia="zh-CN"/>
        </w:rPr>
        <w:t>e</w:t>
      </w:r>
      <w:r>
        <w:rPr>
          <w:b/>
          <w:noProof/>
          <w:sz w:val="24"/>
        </w:rPr>
        <w:t>-meeting)</w:t>
      </w:r>
      <w:r w:rsidR="00A46417">
        <w:rPr>
          <w:b/>
          <w:i/>
          <w:noProof/>
          <w:sz w:val="28"/>
        </w:rPr>
        <w:tab/>
      </w:r>
      <w:r w:rsidR="00E17F30">
        <w:rPr>
          <w:b/>
          <w:bCs/>
          <w:color w:val="808080"/>
          <w:sz w:val="26"/>
          <w:szCs w:val="26"/>
        </w:rPr>
        <w:t>S2-21xxxxx</w:t>
      </w:r>
    </w:p>
    <w:p w14:paraId="5E20E07A" w14:textId="77777777" w:rsidR="006B1110" w:rsidRPr="00AD73DC" w:rsidRDefault="00A93923" w:rsidP="006B1110">
      <w:pPr>
        <w:pStyle w:val="CRCoverPage"/>
        <w:outlineLvl w:val="0"/>
        <w:rPr>
          <w:b/>
          <w:noProof/>
          <w:sz w:val="24"/>
          <w:u w:val="single"/>
        </w:rPr>
      </w:pPr>
      <w:r>
        <w:rPr>
          <w:b/>
          <w:noProof/>
          <w:sz w:val="24"/>
          <w:u w:val="single"/>
          <w:lang w:eastAsia="zh-CN"/>
        </w:rPr>
        <w:t>August</w:t>
      </w:r>
      <w:r w:rsidR="00A21DBB">
        <w:rPr>
          <w:b/>
          <w:noProof/>
          <w:sz w:val="24"/>
          <w:u w:val="single"/>
        </w:rPr>
        <w:t xml:space="preserve"> </w:t>
      </w:r>
      <w:r w:rsidR="00C642BD">
        <w:rPr>
          <w:rFonts w:hint="eastAsia"/>
          <w:b/>
          <w:noProof/>
          <w:sz w:val="24"/>
          <w:u w:val="single"/>
          <w:lang w:eastAsia="zh-CN"/>
        </w:rPr>
        <w:t>1</w:t>
      </w:r>
      <w:r>
        <w:rPr>
          <w:b/>
          <w:noProof/>
          <w:sz w:val="24"/>
          <w:u w:val="single"/>
          <w:lang w:eastAsia="zh-CN"/>
        </w:rPr>
        <w:t>6</w:t>
      </w:r>
      <w:r w:rsidR="00A21DBB">
        <w:rPr>
          <w:b/>
          <w:noProof/>
          <w:sz w:val="24"/>
          <w:u w:val="single"/>
        </w:rPr>
        <w:t xml:space="preserve"> </w:t>
      </w:r>
      <w:r w:rsidR="006B1110" w:rsidRPr="00AD73DC">
        <w:rPr>
          <w:b/>
          <w:noProof/>
          <w:sz w:val="24"/>
          <w:u w:val="single"/>
        </w:rPr>
        <w:t xml:space="preserve">– </w:t>
      </w:r>
      <w:r>
        <w:rPr>
          <w:b/>
          <w:noProof/>
          <w:sz w:val="24"/>
          <w:u w:val="single"/>
          <w:lang w:eastAsia="zh-CN"/>
        </w:rPr>
        <w:t>August</w:t>
      </w:r>
      <w:r w:rsidR="00C642BD">
        <w:rPr>
          <w:b/>
          <w:noProof/>
          <w:sz w:val="24"/>
          <w:u w:val="single"/>
          <w:lang w:eastAsia="zh-CN"/>
        </w:rPr>
        <w:t xml:space="preserve"> </w:t>
      </w:r>
      <w:r>
        <w:rPr>
          <w:b/>
          <w:noProof/>
          <w:sz w:val="24"/>
          <w:u w:val="single"/>
          <w:lang w:eastAsia="zh-CN"/>
        </w:rPr>
        <w:t>2</w:t>
      </w:r>
      <w:r w:rsidR="00AC25DF">
        <w:rPr>
          <w:b/>
          <w:noProof/>
          <w:sz w:val="24"/>
          <w:u w:val="single"/>
          <w:lang w:eastAsia="zh-CN"/>
        </w:rPr>
        <w:t>7</w:t>
      </w:r>
      <w:r w:rsidR="006B1110" w:rsidRPr="00AD73DC">
        <w:rPr>
          <w:b/>
          <w:noProof/>
          <w:sz w:val="24"/>
          <w:u w:val="single"/>
          <w:lang w:eastAsia="zh-CN"/>
        </w:rPr>
        <w:t>, 2021</w:t>
      </w:r>
      <w:r w:rsidR="00AD73DC">
        <w:rPr>
          <w:b/>
          <w:noProof/>
          <w:sz w:val="24"/>
          <w:u w:val="single"/>
          <w:lang w:eastAsia="zh-CN"/>
        </w:rPr>
        <w:t xml:space="preserve">                                                     </w:t>
      </w:r>
    </w:p>
    <w:p w14:paraId="2E5082D6" w14:textId="77777777" w:rsidR="006B1110" w:rsidRDefault="006B1110" w:rsidP="006B1110">
      <w:pPr>
        <w:ind w:left="2127" w:hanging="2127"/>
        <w:rPr>
          <w:rFonts w:cs="Arial"/>
          <w:b/>
        </w:rPr>
      </w:pPr>
      <w:r>
        <w:rPr>
          <w:rFonts w:cs="Arial"/>
          <w:b/>
        </w:rPr>
        <w:t>Source:</w:t>
      </w:r>
      <w:r>
        <w:rPr>
          <w:rFonts w:cs="Arial"/>
          <w:b/>
        </w:rPr>
        <w:tab/>
      </w:r>
      <w:r w:rsidR="00E17F30">
        <w:rPr>
          <w:rFonts w:cs="Arial"/>
          <w:b/>
        </w:rPr>
        <w:t>Orange</w:t>
      </w:r>
      <w:r>
        <w:rPr>
          <w:rFonts w:cs="Arial"/>
          <w:b/>
        </w:rPr>
        <w:t xml:space="preserve"> </w:t>
      </w:r>
    </w:p>
    <w:p w14:paraId="61B80F67" w14:textId="77777777" w:rsidR="006B1110" w:rsidRDefault="006B1110" w:rsidP="006B1110">
      <w:pPr>
        <w:ind w:left="2127" w:hanging="2127"/>
        <w:rPr>
          <w:rFonts w:cs="Arial"/>
          <w:b/>
          <w:bCs/>
        </w:rPr>
      </w:pPr>
      <w:r>
        <w:rPr>
          <w:rFonts w:cs="Arial"/>
          <w:b/>
          <w:bCs/>
        </w:rPr>
        <w:t>Title:</w:t>
      </w:r>
      <w:r>
        <w:rPr>
          <w:rFonts w:cs="Arial"/>
          <w:b/>
        </w:rPr>
        <w:tab/>
        <w:t xml:space="preserve">Discussion on </w:t>
      </w:r>
      <w:r w:rsidR="00FF17A5" w:rsidRPr="00FF17A5">
        <w:rPr>
          <w:rFonts w:cs="Arial"/>
          <w:b/>
        </w:rPr>
        <w:t>CN procedures involving NWDAF</w:t>
      </w:r>
    </w:p>
    <w:p w14:paraId="6D33BD14" w14:textId="77777777" w:rsidR="006B1110" w:rsidRDefault="006B1110" w:rsidP="006B1110">
      <w:pPr>
        <w:ind w:left="2127" w:hanging="2127"/>
        <w:rPr>
          <w:rFonts w:cs="Arial"/>
          <w:b/>
        </w:rPr>
      </w:pPr>
      <w:r>
        <w:rPr>
          <w:rFonts w:cs="Arial"/>
          <w:b/>
        </w:rPr>
        <w:t>Document for:</w:t>
      </w:r>
      <w:r>
        <w:rPr>
          <w:rFonts w:cs="Arial"/>
          <w:b/>
        </w:rPr>
        <w:tab/>
      </w:r>
      <w:r w:rsidR="00FA7427">
        <w:rPr>
          <w:rFonts w:cs="Arial"/>
          <w:b/>
        </w:rPr>
        <w:t>Discussion</w:t>
      </w:r>
    </w:p>
    <w:p w14:paraId="74E9A039" w14:textId="66AB67CE" w:rsidR="006B1110" w:rsidRDefault="006B1110" w:rsidP="006B1110">
      <w:pPr>
        <w:ind w:left="2127" w:hanging="2127"/>
        <w:rPr>
          <w:rFonts w:cs="Arial"/>
          <w:b/>
        </w:rPr>
      </w:pPr>
      <w:r>
        <w:rPr>
          <w:rFonts w:cs="Arial"/>
          <w:b/>
        </w:rPr>
        <w:t>Agenda Item:</w:t>
      </w:r>
      <w:r>
        <w:rPr>
          <w:rFonts w:cs="Arial"/>
          <w:b/>
          <w:bCs/>
        </w:rPr>
        <w:t xml:space="preserve"> </w:t>
      </w:r>
      <w:r w:rsidR="00A46417">
        <w:rPr>
          <w:rFonts w:cs="Arial"/>
          <w:b/>
        </w:rPr>
        <w:tab/>
      </w:r>
      <w:r w:rsidR="008B5542">
        <w:rPr>
          <w:rFonts w:cs="Arial"/>
          <w:b/>
        </w:rPr>
        <w:t>9</w:t>
      </w:r>
      <w:r w:rsidR="00A46417">
        <w:rPr>
          <w:rFonts w:cs="Arial"/>
          <w:b/>
        </w:rPr>
        <w:t>.1</w:t>
      </w:r>
      <w:r w:rsidR="008B5542">
        <w:rPr>
          <w:rFonts w:cs="Arial"/>
          <w:b/>
        </w:rPr>
        <w:t>.3</w:t>
      </w:r>
    </w:p>
    <w:p w14:paraId="41B4A391" w14:textId="3C85565D" w:rsidR="006B1110" w:rsidRDefault="006B1110" w:rsidP="006B1110">
      <w:pPr>
        <w:ind w:left="2127" w:hanging="2127"/>
        <w:rPr>
          <w:rFonts w:cs="Arial"/>
          <w:b/>
        </w:rPr>
      </w:pPr>
      <w:r>
        <w:rPr>
          <w:rFonts w:cs="Arial"/>
          <w:b/>
        </w:rPr>
        <w:t>Work Item / Release:</w:t>
      </w:r>
      <w:r>
        <w:rPr>
          <w:rFonts w:cs="Arial"/>
          <w:b/>
        </w:rPr>
        <w:tab/>
      </w:r>
      <w:r w:rsidR="003C6AF5">
        <w:rPr>
          <w:rFonts w:cs="Arial"/>
          <w:b/>
        </w:rPr>
        <w:t>Rel-18</w:t>
      </w:r>
    </w:p>
    <w:p w14:paraId="49F3CB11" w14:textId="23D167F2" w:rsidR="00E17F30" w:rsidRPr="00F801A1" w:rsidRDefault="006B1110" w:rsidP="006B1110">
      <w:pPr>
        <w:rPr>
          <w:rFonts w:cs="Arial"/>
          <w:i/>
        </w:rPr>
      </w:pPr>
      <w:r>
        <w:rPr>
          <w:rFonts w:cs="Arial"/>
          <w:b/>
          <w:i/>
        </w:rPr>
        <w:t>Abstract of the contribution:</w:t>
      </w:r>
      <w:r>
        <w:rPr>
          <w:rFonts w:cs="Arial"/>
          <w:i/>
        </w:rPr>
        <w:t xml:space="preserve"> </w:t>
      </w:r>
      <w:r w:rsidR="00F801A1" w:rsidRPr="00F801A1">
        <w:rPr>
          <w:rFonts w:cs="Arial"/>
          <w:i/>
        </w:rPr>
        <w:t xml:space="preserve">This paper discusses on </w:t>
      </w:r>
      <w:r w:rsidR="00B56692">
        <w:rPr>
          <w:rFonts w:cs="Arial"/>
          <w:i/>
        </w:rPr>
        <w:t xml:space="preserve">the possibility to </w:t>
      </w:r>
      <w:r w:rsidR="00FF17A5">
        <w:rPr>
          <w:rFonts w:cs="Arial"/>
          <w:i/>
        </w:rPr>
        <w:t xml:space="preserve">improve the quality of specifications concerning </w:t>
      </w:r>
      <w:r w:rsidR="00FF17A5" w:rsidRPr="00FF17A5">
        <w:rPr>
          <w:rFonts w:cs="Arial"/>
          <w:i/>
        </w:rPr>
        <w:t>CN procedures involving NWDAF</w:t>
      </w:r>
      <w:r w:rsidR="000A072C">
        <w:rPr>
          <w:rFonts w:cs="Arial"/>
          <w:i/>
        </w:rPr>
        <w:t xml:space="preserve"> and proposes an objective to be added to the Rel-18 eNA study</w:t>
      </w:r>
      <w:r w:rsidR="00B56692">
        <w:rPr>
          <w:rFonts w:cs="Arial"/>
          <w:i/>
        </w:rPr>
        <w:t>.</w:t>
      </w:r>
    </w:p>
    <w:p w14:paraId="28C21967" w14:textId="77777777" w:rsidR="00FA7427" w:rsidRDefault="001F5CFD" w:rsidP="00ED073B">
      <w:pPr>
        <w:pStyle w:val="Titre1"/>
        <w:numPr>
          <w:ilvl w:val="0"/>
          <w:numId w:val="11"/>
        </w:numPr>
        <w:pBdr>
          <w:top w:val="single" w:sz="12" w:space="12" w:color="auto"/>
        </w:pBdr>
      </w:pPr>
      <w:r>
        <w:t>Discussion</w:t>
      </w:r>
    </w:p>
    <w:p w14:paraId="3955502C" w14:textId="546B8C53" w:rsidR="00FF17A5" w:rsidRPr="003416BF" w:rsidRDefault="007013CD" w:rsidP="00FF17A5">
      <w:pPr>
        <w:rPr>
          <w:rFonts w:cs="Arial"/>
          <w:lang w:eastAsia="ja-JP"/>
        </w:rPr>
      </w:pPr>
      <w:r w:rsidRPr="007013CD">
        <w:rPr>
          <w:rFonts w:cs="Arial"/>
          <w:lang w:eastAsia="ja-JP"/>
        </w:rPr>
        <w:t>The key to the performance improvements brought about by the NWDAF lies in its effective and relevant use by other CN and OSS entities. For CN, use cases describing the consumption of NWDAF services are defined in NF procedures.</w:t>
      </w:r>
      <w:r>
        <w:rPr>
          <w:rFonts w:cs="Arial"/>
          <w:lang w:eastAsia="ja-JP"/>
        </w:rPr>
        <w:t xml:space="preserve"> </w:t>
      </w:r>
      <w:r w:rsidR="00FF17A5" w:rsidRPr="003416BF">
        <w:rPr>
          <w:rFonts w:cs="Arial"/>
          <w:lang w:eastAsia="ja-JP"/>
        </w:rPr>
        <w:t xml:space="preserve">The procedures currently </w:t>
      </w:r>
      <w:r w:rsidR="00FF17A5" w:rsidRPr="003416BF">
        <w:rPr>
          <w:rFonts w:cs="Arial"/>
          <w:u w:val="single"/>
          <w:lang w:eastAsia="ja-JP"/>
        </w:rPr>
        <w:t>only mention the</w:t>
      </w:r>
      <w:r>
        <w:rPr>
          <w:rFonts w:cs="Arial"/>
          <w:u w:val="single"/>
          <w:lang w:eastAsia="ja-JP"/>
        </w:rPr>
        <w:t xml:space="preserve"> possibility of</w:t>
      </w:r>
      <w:r w:rsidR="00FF17A5" w:rsidRPr="003416BF">
        <w:rPr>
          <w:rFonts w:cs="Arial"/>
          <w:u w:val="single"/>
          <w:lang w:eastAsia="ja-JP"/>
        </w:rPr>
        <w:t xml:space="preserve"> NWDAF request</w:t>
      </w:r>
      <w:r>
        <w:rPr>
          <w:rFonts w:cs="Arial"/>
          <w:u w:val="single"/>
          <w:lang w:eastAsia="ja-JP"/>
        </w:rPr>
        <w:t>s</w:t>
      </w:r>
      <w:r w:rsidR="00FF17A5" w:rsidRPr="003416BF">
        <w:rPr>
          <w:rFonts w:cs="Arial"/>
          <w:u w:val="single"/>
          <w:lang w:eastAsia="ja-JP"/>
        </w:rPr>
        <w:t xml:space="preserve">, </w:t>
      </w:r>
      <w:r w:rsidR="001C79A8" w:rsidRPr="003416BF">
        <w:rPr>
          <w:rFonts w:cs="Arial"/>
          <w:u w:val="single"/>
          <w:lang w:eastAsia="ja-JP"/>
        </w:rPr>
        <w:t xml:space="preserve">with </w:t>
      </w:r>
      <w:r>
        <w:rPr>
          <w:rFonts w:cs="Arial"/>
          <w:u w:val="single"/>
          <w:lang w:eastAsia="ja-JP"/>
        </w:rPr>
        <w:t>little</w:t>
      </w:r>
      <w:r w:rsidR="00FF17A5" w:rsidRPr="003416BF">
        <w:rPr>
          <w:rFonts w:cs="Arial"/>
          <w:u w:val="single"/>
          <w:lang w:eastAsia="ja-JP"/>
        </w:rPr>
        <w:t xml:space="preserve"> details</w:t>
      </w:r>
      <w:r w:rsidR="00FF17A5" w:rsidRPr="003416BF">
        <w:rPr>
          <w:rFonts w:cs="Arial"/>
          <w:lang w:eastAsia="ja-JP"/>
        </w:rPr>
        <w:t xml:space="preserve">. </w:t>
      </w:r>
    </w:p>
    <w:p w14:paraId="18F173F7" w14:textId="77777777" w:rsidR="0002752B" w:rsidRPr="003416BF" w:rsidRDefault="0002752B" w:rsidP="00FF17A5">
      <w:pPr>
        <w:rPr>
          <w:rFonts w:cs="Arial"/>
          <w:lang w:eastAsia="ja-JP"/>
        </w:rPr>
      </w:pPr>
      <w:r w:rsidRPr="003416BF">
        <w:rPr>
          <w:rFonts w:cs="Arial"/>
          <w:lang w:eastAsia="ja-JP"/>
        </w:rPr>
        <w:t xml:space="preserve">For instance, for the decisions related to </w:t>
      </w:r>
      <w:r w:rsidR="000415E6">
        <w:rPr>
          <w:rFonts w:cs="Arial"/>
          <w:lang w:eastAsia="ja-JP"/>
        </w:rPr>
        <w:t>SMF selection</w:t>
      </w:r>
      <w:r w:rsidRPr="003416BF">
        <w:rPr>
          <w:rFonts w:cs="Arial"/>
          <w:lang w:eastAsia="ja-JP"/>
        </w:rPr>
        <w:t xml:space="preserve">, the current text can be found in TS 23.501 </w:t>
      </w:r>
      <w:r w:rsidR="007013CD">
        <w:rPr>
          <w:rFonts w:cs="Arial"/>
          <w:lang w:eastAsia="ja-JP"/>
        </w:rPr>
        <w:t>6.3.2</w:t>
      </w:r>
      <w:r w:rsidRPr="003416BF">
        <w:rPr>
          <w:rFonts w:cs="Arial"/>
          <w:lang w:eastAsia="ja-JP"/>
        </w:rPr>
        <w:t xml:space="preserve">: </w:t>
      </w:r>
    </w:p>
    <w:p w14:paraId="01FA8541" w14:textId="77777777" w:rsidR="007013CD" w:rsidRPr="003C57B5" w:rsidRDefault="007013CD" w:rsidP="003C57B5">
      <w:pPr>
        <w:ind w:left="420"/>
        <w:rPr>
          <w:rFonts w:cs="Arial"/>
          <w:lang w:eastAsia="zh-CN"/>
        </w:rPr>
      </w:pPr>
      <w:r w:rsidRPr="007013CD">
        <w:rPr>
          <w:rFonts w:cs="Arial"/>
          <w:i/>
          <w:lang w:eastAsia="zh-CN"/>
        </w:rPr>
        <w:t>The following factors may be considered during the SMF selection:</w:t>
      </w:r>
      <w:r w:rsidR="003C57B5">
        <w:rPr>
          <w:rFonts w:cs="Arial"/>
          <w:i/>
          <w:lang w:eastAsia="zh-CN"/>
        </w:rPr>
        <w:t xml:space="preserve"> </w:t>
      </w:r>
      <w:r w:rsidR="003C57B5" w:rsidRPr="003C57B5">
        <w:rPr>
          <w:rFonts w:cs="Arial"/>
          <w:lang w:eastAsia="zh-CN"/>
        </w:rPr>
        <w:t>(…)</w:t>
      </w:r>
    </w:p>
    <w:p w14:paraId="02D6BCC6" w14:textId="77777777" w:rsidR="007013CD" w:rsidRPr="007013CD" w:rsidRDefault="007013CD" w:rsidP="007013CD">
      <w:pPr>
        <w:ind w:left="420"/>
        <w:rPr>
          <w:rFonts w:cs="Arial"/>
          <w:i/>
          <w:lang w:eastAsia="zh-CN"/>
        </w:rPr>
      </w:pPr>
      <w:r w:rsidRPr="007013CD">
        <w:rPr>
          <w:rFonts w:cs="Arial"/>
          <w:i/>
          <w:lang w:eastAsia="zh-CN"/>
        </w:rPr>
        <w:t>i)</w:t>
      </w:r>
      <w:r w:rsidRPr="007013CD">
        <w:rPr>
          <w:rFonts w:cs="Arial"/>
          <w:i/>
          <w:lang w:eastAsia="zh-CN"/>
        </w:rPr>
        <w:tab/>
        <w:t>Load conditions of the candidate SMFs.</w:t>
      </w:r>
    </w:p>
    <w:p w14:paraId="0314A737" w14:textId="77777777" w:rsidR="007013CD" w:rsidRPr="007013CD" w:rsidRDefault="007013CD" w:rsidP="003C57B5">
      <w:pPr>
        <w:ind w:left="420"/>
        <w:rPr>
          <w:rFonts w:cs="Arial"/>
          <w:i/>
          <w:lang w:eastAsia="zh-CN"/>
        </w:rPr>
      </w:pPr>
      <w:r w:rsidRPr="007013CD">
        <w:rPr>
          <w:rFonts w:cs="Arial"/>
          <w:i/>
          <w:lang w:eastAsia="zh-CN"/>
        </w:rPr>
        <w:t>j)</w:t>
      </w:r>
      <w:r w:rsidRPr="007013CD">
        <w:rPr>
          <w:rFonts w:cs="Arial"/>
          <w:i/>
          <w:lang w:eastAsia="zh-CN"/>
        </w:rPr>
        <w:tab/>
        <w:t>Analytics (i.e. statistics or predictions) for candidate SMFs' load as received from NWDAF (see TS 23.288 [86]), if NWDAF is deployed.</w:t>
      </w:r>
      <w:r w:rsidR="003C57B5" w:rsidRPr="003C57B5">
        <w:rPr>
          <w:rFonts w:cs="Arial"/>
          <w:lang w:eastAsia="zh-CN"/>
        </w:rPr>
        <w:t xml:space="preserve"> </w:t>
      </w:r>
      <w:r w:rsidR="003C57B5" w:rsidRPr="003C57B5">
        <w:rPr>
          <w:rFonts w:cs="Arial"/>
          <w:lang w:val="fr-FR" w:eastAsia="zh-CN"/>
        </w:rPr>
        <w:t>(...)</w:t>
      </w:r>
    </w:p>
    <w:p w14:paraId="4A5FA4B1" w14:textId="77777777" w:rsidR="00FF17A5" w:rsidRPr="003416BF" w:rsidRDefault="00FF17A5" w:rsidP="00FF17A5">
      <w:pPr>
        <w:rPr>
          <w:rFonts w:cs="Arial"/>
          <w:lang w:eastAsia="ja-JP"/>
        </w:rPr>
      </w:pPr>
      <w:r w:rsidRPr="003416BF">
        <w:rPr>
          <w:rFonts w:cs="Arial"/>
          <w:lang w:eastAsia="ja-JP"/>
        </w:rPr>
        <w:t>Several risk</w:t>
      </w:r>
      <w:r w:rsidR="00140BAA">
        <w:rPr>
          <w:rFonts w:cs="Arial"/>
          <w:lang w:eastAsia="ja-JP"/>
        </w:rPr>
        <w:t>s</w:t>
      </w:r>
      <w:r w:rsidRPr="003416BF">
        <w:rPr>
          <w:rFonts w:cs="Arial"/>
          <w:lang w:eastAsia="ja-JP"/>
        </w:rPr>
        <w:t xml:space="preserve"> can be identified</w:t>
      </w:r>
      <w:r w:rsidR="008B1259">
        <w:rPr>
          <w:rFonts w:cs="Arial"/>
          <w:lang w:eastAsia="ja-JP"/>
        </w:rPr>
        <w:t xml:space="preserve"> in this example</w:t>
      </w:r>
      <w:r w:rsidRPr="003416BF">
        <w:rPr>
          <w:rFonts w:cs="Arial"/>
          <w:lang w:eastAsia="ja-JP"/>
        </w:rPr>
        <w:t>:</w:t>
      </w:r>
    </w:p>
    <w:p w14:paraId="523E09F6" w14:textId="77777777" w:rsidR="008B1259" w:rsidRPr="003C57B5" w:rsidRDefault="00FF17A5" w:rsidP="007110DE">
      <w:pPr>
        <w:pStyle w:val="B1"/>
        <w:numPr>
          <w:ilvl w:val="0"/>
          <w:numId w:val="16"/>
        </w:numPr>
      </w:pPr>
      <w:r w:rsidRPr="008B1259">
        <w:rPr>
          <w:rFonts w:cs="Arial"/>
        </w:rPr>
        <w:t>Systematic use of NW</w:t>
      </w:r>
      <w:r w:rsidR="007013CD" w:rsidRPr="008B1259">
        <w:rPr>
          <w:rFonts w:cs="Arial"/>
        </w:rPr>
        <w:t>D</w:t>
      </w:r>
      <w:r w:rsidRPr="008B1259">
        <w:rPr>
          <w:rFonts w:cs="Arial"/>
        </w:rPr>
        <w:t>AF services leading to overloading of the NWDAF</w:t>
      </w:r>
      <w:r w:rsidR="003C57B5" w:rsidRPr="008B1259">
        <w:rPr>
          <w:rFonts w:cs="Arial"/>
        </w:rPr>
        <w:t xml:space="preserve">. </w:t>
      </w:r>
      <w:r w:rsidR="003C57B5" w:rsidRPr="008B1259">
        <w:rPr>
          <w:rFonts w:cs="Arial"/>
        </w:rPr>
        <w:br/>
      </w:r>
      <w:r w:rsidR="008B1259" w:rsidRPr="003C57B5">
        <w:t>To avoid such situation</w:t>
      </w:r>
      <w:r w:rsidR="008B1259">
        <w:t>s,</w:t>
      </w:r>
      <w:r w:rsidR="008B1259" w:rsidRPr="003C57B5">
        <w:t xml:space="preserve"> the solicitation of the NWDAF </w:t>
      </w:r>
      <w:r w:rsidR="008B1259">
        <w:t>might</w:t>
      </w:r>
      <w:r w:rsidR="008B1259" w:rsidRPr="003C57B5">
        <w:t xml:space="preserve"> be rather reserved to situations of high</w:t>
      </w:r>
      <w:r w:rsidR="008B1259">
        <w:t xml:space="preserve">est objectives, for instance depending on the </w:t>
      </w:r>
      <w:r w:rsidR="008B1259" w:rsidRPr="003C57B5">
        <w:t xml:space="preserve">load </w:t>
      </w:r>
      <w:r w:rsidR="008B1259">
        <w:t xml:space="preserve">conditions </w:t>
      </w:r>
      <w:r w:rsidR="008B1259" w:rsidRPr="003C57B5">
        <w:t xml:space="preserve">of candidate SMFs (i.e. above a certain threshold), or </w:t>
      </w:r>
      <w:r w:rsidR="008B1259">
        <w:t>on</w:t>
      </w:r>
      <w:r w:rsidR="008B1259" w:rsidRPr="003C57B5">
        <w:t xml:space="preserve"> specific </w:t>
      </w:r>
      <w:r w:rsidR="008B1259">
        <w:t xml:space="preserve">services (e.g., URLCC, emBB), </w:t>
      </w:r>
      <w:r w:rsidR="008B1259" w:rsidRPr="003C57B5">
        <w:t xml:space="preserve">user profiles </w:t>
      </w:r>
      <w:r w:rsidR="008B1259">
        <w:t xml:space="preserve">(e.g. NPN) </w:t>
      </w:r>
      <w:r w:rsidR="008B1259" w:rsidRPr="003C57B5">
        <w:t xml:space="preserve">or DNNs. The NWDAF query parameters (prediction period, accuracy) should also be studied, as they have a direct impact on the </w:t>
      </w:r>
      <w:r w:rsidR="008B1259">
        <w:t xml:space="preserve">NWDAF </w:t>
      </w:r>
      <w:r w:rsidR="008B1259" w:rsidRPr="003C57B5">
        <w:t>load</w:t>
      </w:r>
    </w:p>
    <w:p w14:paraId="3110F610" w14:textId="77777777" w:rsidR="00B6462A" w:rsidRPr="003C57B5" w:rsidRDefault="00B6462A" w:rsidP="00B6462A">
      <w:pPr>
        <w:pStyle w:val="B1"/>
        <w:numPr>
          <w:ilvl w:val="0"/>
          <w:numId w:val="16"/>
        </w:numPr>
      </w:pPr>
      <w:r w:rsidRPr="003416BF">
        <w:rPr>
          <w:rFonts w:cs="Arial"/>
        </w:rPr>
        <w:t xml:space="preserve">Systematic use of </w:t>
      </w:r>
      <w:r>
        <w:rPr>
          <w:rFonts w:cs="Arial"/>
        </w:rPr>
        <w:t>data collection</w:t>
      </w:r>
      <w:r w:rsidRPr="003416BF">
        <w:rPr>
          <w:rFonts w:cs="Arial"/>
        </w:rPr>
        <w:t xml:space="preserve"> lea</w:t>
      </w:r>
      <w:r>
        <w:rPr>
          <w:rFonts w:cs="Arial"/>
        </w:rPr>
        <w:t xml:space="preserve">ding to overloading of provider NFs. </w:t>
      </w:r>
      <w:r>
        <w:rPr>
          <w:rFonts w:cs="Arial"/>
        </w:rPr>
        <w:br/>
      </w:r>
      <w:r w:rsidRPr="003C57B5">
        <w:t>To avoid such situation</w:t>
      </w:r>
      <w:r>
        <w:t>s,</w:t>
      </w:r>
      <w:r w:rsidRPr="003C57B5">
        <w:t xml:space="preserve"> the </w:t>
      </w:r>
      <w:r>
        <w:t xml:space="preserve">data collection policies </w:t>
      </w:r>
      <w:r w:rsidRPr="003C57B5">
        <w:t xml:space="preserve">should also be studied, as they have a direct impact on the </w:t>
      </w:r>
      <w:r>
        <w:t xml:space="preserve">NF </w:t>
      </w:r>
      <w:r w:rsidRPr="003C57B5">
        <w:t xml:space="preserve">load. </w:t>
      </w:r>
    </w:p>
    <w:p w14:paraId="72BC9987" w14:textId="77777777" w:rsidR="003C57B5" w:rsidRPr="00B82C7E" w:rsidRDefault="00FF17A5" w:rsidP="00110694">
      <w:pPr>
        <w:pStyle w:val="B1"/>
        <w:numPr>
          <w:ilvl w:val="0"/>
          <w:numId w:val="16"/>
        </w:numPr>
        <w:rPr>
          <w:rFonts w:cs="Arial"/>
        </w:rPr>
      </w:pPr>
      <w:r w:rsidRPr="003C57B5">
        <w:rPr>
          <w:rFonts w:cs="Arial"/>
        </w:rPr>
        <w:t xml:space="preserve">Indiscriminate use of the analytics returned by the NWDAF, with the risk of </w:t>
      </w:r>
      <w:r w:rsidRPr="00C56DAD">
        <w:rPr>
          <w:rFonts w:cs="Arial"/>
          <w:u w:val="single"/>
        </w:rPr>
        <w:t>overly s</w:t>
      </w:r>
      <w:r w:rsidRPr="00682D03">
        <w:rPr>
          <w:rFonts w:cs="Arial"/>
          <w:u w:val="single"/>
        </w:rPr>
        <w:t>ensitive</w:t>
      </w:r>
      <w:r w:rsidRPr="003C57B5">
        <w:rPr>
          <w:rFonts w:cs="Arial"/>
        </w:rPr>
        <w:t xml:space="preserve"> </w:t>
      </w:r>
      <w:r w:rsidR="00B015D9">
        <w:rPr>
          <w:rFonts w:cs="Arial"/>
        </w:rPr>
        <w:t xml:space="preserve">or </w:t>
      </w:r>
      <w:r w:rsidR="00682D03">
        <w:rPr>
          <w:rFonts w:cs="Arial"/>
        </w:rPr>
        <w:t xml:space="preserve">even </w:t>
      </w:r>
      <w:r w:rsidR="00B015D9" w:rsidRPr="00682D03">
        <w:rPr>
          <w:rFonts w:cs="Arial"/>
          <w:u w:val="single"/>
        </w:rPr>
        <w:t>conflictual</w:t>
      </w:r>
      <w:r w:rsidR="00B015D9">
        <w:rPr>
          <w:rFonts w:cs="Arial"/>
        </w:rPr>
        <w:t xml:space="preserve"> </w:t>
      </w:r>
      <w:r w:rsidRPr="003C57B5">
        <w:rPr>
          <w:rFonts w:cs="Arial"/>
        </w:rPr>
        <w:t>control loops</w:t>
      </w:r>
      <w:r w:rsidR="00140BAA">
        <w:rPr>
          <w:rFonts w:cs="Arial"/>
        </w:rPr>
        <w:t>.</w:t>
      </w:r>
      <w:r w:rsidR="003C57B5" w:rsidRPr="003C57B5">
        <w:rPr>
          <w:rFonts w:cs="Arial"/>
        </w:rPr>
        <w:br/>
      </w:r>
      <w:r w:rsidR="003C57B5" w:rsidRPr="003C57B5">
        <w:t>To avoid such situation</w:t>
      </w:r>
      <w:r w:rsidR="00140BAA">
        <w:t>s</w:t>
      </w:r>
      <w:r w:rsidR="003C57B5" w:rsidRPr="003C57B5">
        <w:t xml:space="preserve">, </w:t>
      </w:r>
      <w:r w:rsidR="0059407D">
        <w:t>each</w:t>
      </w:r>
      <w:r w:rsidR="003C57B5" w:rsidRPr="003C57B5">
        <w:t xml:space="preserve"> </w:t>
      </w:r>
      <w:r w:rsidR="0059407D">
        <w:t>consumer</w:t>
      </w:r>
      <w:r w:rsidR="003C57B5" w:rsidRPr="003C57B5">
        <w:t xml:space="preserve"> NF can voluntarily </w:t>
      </w:r>
      <w:r w:rsidR="00682D03">
        <w:t>integrate</w:t>
      </w:r>
      <w:r w:rsidR="003C57B5" w:rsidRPr="003C57B5">
        <w:t xml:space="preserve"> the NWDAF estimates in </w:t>
      </w:r>
      <w:r w:rsidR="00682D03">
        <w:t xml:space="preserve">a general decision-making process, with several options </w:t>
      </w:r>
      <w:r w:rsidR="003C57B5" w:rsidRPr="003C57B5">
        <w:t xml:space="preserve">(e.g. </w:t>
      </w:r>
      <w:r w:rsidR="00682D03">
        <w:t xml:space="preserve">hierarchical decisions, fuzzy logic, </w:t>
      </w:r>
      <w:r w:rsidR="003C57B5" w:rsidRPr="003C57B5">
        <w:lastRenderedPageBreak/>
        <w:t>random selection of the SMF if the evaluated SMFs have similar estimated loads over the prediction period, or low confidence).</w:t>
      </w:r>
    </w:p>
    <w:p w14:paraId="485AC874" w14:textId="77777777" w:rsidR="00B82C7E" w:rsidRDefault="00B82C7E" w:rsidP="00B6462A">
      <w:pPr>
        <w:rPr>
          <w:lang w:val="en-US"/>
        </w:rPr>
      </w:pPr>
      <w:r w:rsidRPr="00B82C7E">
        <w:rPr>
          <w:lang w:val="en-US"/>
        </w:rPr>
        <w:t>The human network operator should</w:t>
      </w:r>
      <w:r>
        <w:rPr>
          <w:lang w:val="en-US"/>
        </w:rPr>
        <w:t xml:space="preserve"> be able to</w:t>
      </w:r>
      <w:r w:rsidRPr="00B82C7E">
        <w:rPr>
          <w:lang w:val="en-US"/>
        </w:rPr>
        <w:t xml:space="preserve"> govern the eNA network policies, in order to be able to define the goals and setting modes of each use case. </w:t>
      </w:r>
      <w:r>
        <w:rPr>
          <w:lang w:val="en-US"/>
        </w:rPr>
        <w:t>Such</w:t>
      </w:r>
      <w:r w:rsidRPr="00B82C7E">
        <w:rPr>
          <w:lang w:val="en-US"/>
        </w:rPr>
        <w:t xml:space="preserve"> governance should allow the human operator to control </w:t>
      </w:r>
      <w:r>
        <w:rPr>
          <w:lang w:val="en-US"/>
        </w:rPr>
        <w:t xml:space="preserve">the use of NWDAF analytics </w:t>
      </w:r>
      <w:r w:rsidRPr="00B82C7E">
        <w:rPr>
          <w:lang w:val="en-US"/>
        </w:rPr>
        <w:t xml:space="preserve">and configure them to operate either in "open-loop" or "closed-loop" mode. </w:t>
      </w:r>
    </w:p>
    <w:p w14:paraId="5DC8E015" w14:textId="77777777" w:rsidR="008B1259" w:rsidRDefault="008B1259" w:rsidP="00B6462A">
      <w:pPr>
        <w:rPr>
          <w:lang w:val="en-US"/>
        </w:rPr>
      </w:pPr>
      <w:r>
        <w:rPr>
          <w:lang w:val="en-US"/>
        </w:rPr>
        <w:t>In a more general way:</w:t>
      </w:r>
    </w:p>
    <w:p w14:paraId="7E496C94" w14:textId="77777777" w:rsidR="008B1259" w:rsidRPr="008B1259" w:rsidRDefault="008B1259" w:rsidP="008B1259">
      <w:pPr>
        <w:pStyle w:val="B1"/>
        <w:numPr>
          <w:ilvl w:val="0"/>
          <w:numId w:val="20"/>
        </w:numPr>
        <w:rPr>
          <w:lang w:val="en-US"/>
        </w:rPr>
      </w:pPr>
      <w:r w:rsidRPr="008B1259">
        <w:rPr>
          <w:lang w:val="en-US"/>
        </w:rPr>
        <w:t xml:space="preserve">Each procedure </w:t>
      </w:r>
      <w:r>
        <w:rPr>
          <w:lang w:val="en-US"/>
        </w:rPr>
        <w:t xml:space="preserve">including eNA analytics </w:t>
      </w:r>
      <w:r w:rsidRPr="008B1259">
        <w:rPr>
          <w:lang w:val="en-US"/>
        </w:rPr>
        <w:t xml:space="preserve">should be validated to trust the performance of recommendation. Human could </w:t>
      </w:r>
      <w:r>
        <w:rPr>
          <w:lang w:val="en-US"/>
        </w:rPr>
        <w:t xml:space="preserve">be able to </w:t>
      </w:r>
      <w:r w:rsidRPr="008B1259">
        <w:rPr>
          <w:lang w:val="en-US"/>
        </w:rPr>
        <w:t>validate the loop to test and trust recommendation before the control loop could be closed</w:t>
      </w:r>
      <w:r w:rsidR="00C56DAD">
        <w:rPr>
          <w:lang w:val="en-US"/>
        </w:rPr>
        <w:t>.</w:t>
      </w:r>
    </w:p>
    <w:p w14:paraId="61D759A2" w14:textId="77777777" w:rsidR="008B1259" w:rsidRPr="008B1259" w:rsidRDefault="008B1259" w:rsidP="008B1259">
      <w:pPr>
        <w:pStyle w:val="B1"/>
        <w:numPr>
          <w:ilvl w:val="0"/>
          <w:numId w:val="20"/>
        </w:numPr>
        <w:rPr>
          <w:lang w:val="en-US"/>
        </w:rPr>
      </w:pPr>
      <w:r w:rsidRPr="008B1259">
        <w:rPr>
          <w:lang w:val="en-US"/>
        </w:rPr>
        <w:t>Each recommendation should be govern</w:t>
      </w:r>
      <w:r w:rsidR="00C56DAD">
        <w:rPr>
          <w:lang w:val="en-US"/>
        </w:rPr>
        <w:t>ed</w:t>
      </w:r>
      <w:r w:rsidRPr="008B1259">
        <w:rPr>
          <w:lang w:val="en-US"/>
        </w:rPr>
        <w:t xml:space="preserve"> by administrator by prescribing </w:t>
      </w:r>
      <w:r w:rsidR="00C56DAD">
        <w:rPr>
          <w:lang w:val="en-US"/>
        </w:rPr>
        <w:t xml:space="preserve">which </w:t>
      </w:r>
      <w:r w:rsidRPr="008B1259">
        <w:rPr>
          <w:lang w:val="en-US"/>
        </w:rPr>
        <w:t>key objectives the control loop should manage</w:t>
      </w:r>
      <w:r w:rsidR="00C56DAD">
        <w:rPr>
          <w:lang w:val="en-US"/>
        </w:rPr>
        <w:t>.</w:t>
      </w:r>
    </w:p>
    <w:p w14:paraId="1D967D09" w14:textId="77777777" w:rsidR="008B1259" w:rsidRPr="008B1259" w:rsidRDefault="008B1259" w:rsidP="008B1259">
      <w:pPr>
        <w:pStyle w:val="B1"/>
        <w:numPr>
          <w:ilvl w:val="0"/>
          <w:numId w:val="20"/>
        </w:numPr>
        <w:rPr>
          <w:lang w:val="en-US"/>
        </w:rPr>
      </w:pPr>
      <w:r w:rsidRPr="008B1259">
        <w:rPr>
          <w:lang w:val="en-US"/>
        </w:rPr>
        <w:t xml:space="preserve">Each control loop should manage their assigned associated managed entities to avoid multiple control loop managing the same managed entities (parameters). </w:t>
      </w:r>
    </w:p>
    <w:p w14:paraId="31478C4D" w14:textId="77777777" w:rsidR="008B1259" w:rsidRPr="008B1259" w:rsidRDefault="008B1259" w:rsidP="008B1259">
      <w:pPr>
        <w:pStyle w:val="B1"/>
        <w:numPr>
          <w:ilvl w:val="0"/>
          <w:numId w:val="20"/>
        </w:numPr>
        <w:rPr>
          <w:lang w:val="en-US"/>
        </w:rPr>
      </w:pPr>
      <w:r>
        <w:rPr>
          <w:lang w:val="en-US"/>
        </w:rPr>
        <w:t>T</w:t>
      </w:r>
      <w:r w:rsidRPr="008B1259">
        <w:rPr>
          <w:lang w:val="en-US"/>
        </w:rPr>
        <w:t>he number of control loop</w:t>
      </w:r>
      <w:r>
        <w:rPr>
          <w:lang w:val="en-US"/>
        </w:rPr>
        <w:t>s</w:t>
      </w:r>
      <w:r w:rsidRPr="008B1259">
        <w:rPr>
          <w:lang w:val="en-US"/>
        </w:rPr>
        <w:t xml:space="preserve"> within the network </w:t>
      </w:r>
      <w:r>
        <w:rPr>
          <w:lang w:val="en-US"/>
        </w:rPr>
        <w:t>should be limited, with a provided</w:t>
      </w:r>
      <w:r w:rsidRPr="008B1259">
        <w:rPr>
          <w:lang w:val="en-US"/>
        </w:rPr>
        <w:t xml:space="preserve"> governance interface to manage hierarchical control loop.</w:t>
      </w:r>
    </w:p>
    <w:p w14:paraId="20DE2B22" w14:textId="77777777" w:rsidR="008B1259" w:rsidRPr="008B1259" w:rsidRDefault="008B1259" w:rsidP="008B1259">
      <w:pPr>
        <w:pStyle w:val="B1"/>
        <w:numPr>
          <w:ilvl w:val="0"/>
          <w:numId w:val="20"/>
        </w:numPr>
        <w:rPr>
          <w:lang w:val="en-US"/>
        </w:rPr>
      </w:pPr>
      <w:r w:rsidRPr="008B1259">
        <w:rPr>
          <w:lang w:val="en-US"/>
        </w:rPr>
        <w:t>Conflict resolution</w:t>
      </w:r>
      <w:r>
        <w:rPr>
          <w:lang w:val="en-US"/>
        </w:rPr>
        <w:t xml:space="preserve"> should be managed with the following properties</w:t>
      </w:r>
      <w:r w:rsidRPr="008B1259">
        <w:rPr>
          <w:lang w:val="en-US"/>
        </w:rPr>
        <w:t xml:space="preserve">: </w:t>
      </w:r>
    </w:p>
    <w:p w14:paraId="062983EF" w14:textId="77777777" w:rsidR="008B1259" w:rsidRDefault="008B1259" w:rsidP="00DF4936">
      <w:pPr>
        <w:pStyle w:val="B2"/>
        <w:rPr>
          <w:lang w:val="en-US"/>
        </w:rPr>
      </w:pPr>
      <w:r w:rsidRPr="008B1259">
        <w:rPr>
          <w:lang w:val="en-US"/>
        </w:rPr>
        <w:t xml:space="preserve">Activation of a control loop should be added with no conflicted decisions with existing control loop. </w:t>
      </w:r>
    </w:p>
    <w:p w14:paraId="01B70D5E" w14:textId="77777777" w:rsidR="008B1259" w:rsidRPr="008B1259" w:rsidRDefault="008B1259" w:rsidP="008B1259">
      <w:pPr>
        <w:pStyle w:val="B2"/>
        <w:rPr>
          <w:lang w:val="en-US"/>
        </w:rPr>
      </w:pPr>
      <w:r w:rsidRPr="008B1259">
        <w:rPr>
          <w:lang w:val="en-US"/>
        </w:rPr>
        <w:t>A control loop should be managed and controlled as any other managed entities</w:t>
      </w:r>
      <w:r>
        <w:rPr>
          <w:lang w:val="en-US"/>
        </w:rPr>
        <w:t xml:space="preserve"> (e.g. ability to started or stopped).</w:t>
      </w:r>
    </w:p>
    <w:p w14:paraId="668882B2" w14:textId="77777777" w:rsidR="00BD4270" w:rsidRDefault="00BD4270" w:rsidP="00F801A1">
      <w:pPr>
        <w:pStyle w:val="Titre1"/>
        <w:numPr>
          <w:ilvl w:val="0"/>
          <w:numId w:val="11"/>
        </w:numPr>
        <w:rPr>
          <w:lang w:eastAsia="zh-CN"/>
        </w:rPr>
      </w:pPr>
      <w:r>
        <w:rPr>
          <w:lang w:eastAsia="zh-CN"/>
        </w:rPr>
        <w:t>Conclusion</w:t>
      </w:r>
      <w:r w:rsidR="00A52D78">
        <w:rPr>
          <w:lang w:eastAsia="zh-CN"/>
        </w:rPr>
        <w:t xml:space="preserve"> and Proposal</w:t>
      </w:r>
    </w:p>
    <w:p w14:paraId="1E0AE5AC" w14:textId="77777777" w:rsidR="00B82C7E" w:rsidRDefault="00B82C7E" w:rsidP="00250936">
      <w:pPr>
        <w:rPr>
          <w:rFonts w:cs="Arial"/>
          <w:lang w:eastAsia="zh-CN"/>
        </w:rPr>
      </w:pPr>
      <w:r w:rsidRPr="00B82C7E">
        <w:rPr>
          <w:rFonts w:cs="Arial"/>
          <w:lang w:eastAsia="zh-CN"/>
        </w:rPr>
        <w:t>There is a need to define more precisely the governance modes of the eNA control loops.</w:t>
      </w:r>
    </w:p>
    <w:p w14:paraId="2319BD65" w14:textId="77777777" w:rsidR="00250936" w:rsidRPr="003416BF" w:rsidRDefault="00B82C7E" w:rsidP="00250936">
      <w:pPr>
        <w:rPr>
          <w:rFonts w:cs="Arial"/>
          <w:lang w:eastAsia="ja-JP"/>
        </w:rPr>
      </w:pPr>
      <w:r>
        <w:rPr>
          <w:rFonts w:cs="Arial"/>
          <w:lang w:eastAsia="zh-CN"/>
        </w:rPr>
        <w:t>For such purpose, i</w:t>
      </w:r>
      <w:r w:rsidR="00250936" w:rsidRPr="003416BF">
        <w:rPr>
          <w:rFonts w:cs="Arial"/>
          <w:lang w:eastAsia="zh-CN"/>
        </w:rPr>
        <w:t xml:space="preserve">t is </w:t>
      </w:r>
      <w:r w:rsidR="00250936" w:rsidRPr="003416BF">
        <w:rPr>
          <w:rFonts w:cs="Arial"/>
          <w:lang w:eastAsia="ja-JP"/>
        </w:rPr>
        <w:t xml:space="preserve">proposed to study to what extent </w:t>
      </w:r>
      <w:r w:rsidR="001C79A8" w:rsidRPr="003416BF">
        <w:rPr>
          <w:rFonts w:cs="Arial"/>
          <w:lang w:eastAsia="ja-JP"/>
        </w:rPr>
        <w:t xml:space="preserve">the </w:t>
      </w:r>
      <w:r w:rsidR="00250936" w:rsidRPr="003416BF">
        <w:rPr>
          <w:rFonts w:cs="Arial"/>
          <w:lang w:eastAsia="ja-JP"/>
        </w:rPr>
        <w:t>network procedures involving the NWD</w:t>
      </w:r>
      <w:r w:rsidR="001C79A8" w:rsidRPr="003416BF">
        <w:rPr>
          <w:rFonts w:cs="Arial"/>
          <w:lang w:eastAsia="ja-JP"/>
        </w:rPr>
        <w:t>AF could be specified more precisely:</w:t>
      </w:r>
    </w:p>
    <w:p w14:paraId="2D83913A" w14:textId="77777777" w:rsidR="00250936" w:rsidRDefault="00250936" w:rsidP="00250936">
      <w:pPr>
        <w:pStyle w:val="B1"/>
        <w:rPr>
          <w:rFonts w:cs="Arial"/>
        </w:rPr>
      </w:pPr>
      <w:r w:rsidRPr="003416BF">
        <w:rPr>
          <w:rFonts w:cs="Arial"/>
        </w:rPr>
        <w:t>-</w:t>
      </w:r>
      <w:r w:rsidRPr="003416BF">
        <w:rPr>
          <w:rFonts w:cs="Arial"/>
        </w:rPr>
        <w:tab/>
        <w:t>study</w:t>
      </w:r>
      <w:r w:rsidR="001C79A8" w:rsidRPr="003416BF">
        <w:rPr>
          <w:rFonts w:cs="Arial"/>
        </w:rPr>
        <w:t>ing</w:t>
      </w:r>
      <w:r w:rsidRPr="003416BF">
        <w:rPr>
          <w:rFonts w:cs="Arial"/>
        </w:rPr>
        <w:t xml:space="preserve">, per use case, under which conditions the consuming NF should </w:t>
      </w:r>
      <w:r w:rsidR="000415E6">
        <w:rPr>
          <w:rFonts w:cs="Arial"/>
        </w:rPr>
        <w:t>request</w:t>
      </w:r>
      <w:r w:rsidRPr="003416BF">
        <w:rPr>
          <w:rFonts w:cs="Arial"/>
        </w:rPr>
        <w:t xml:space="preserve"> NWDAF </w:t>
      </w:r>
      <w:r w:rsidR="000415E6">
        <w:rPr>
          <w:rFonts w:cs="Arial"/>
        </w:rPr>
        <w:t xml:space="preserve">services </w:t>
      </w:r>
      <w:r w:rsidRPr="003416BF">
        <w:rPr>
          <w:rFonts w:cs="Arial"/>
        </w:rPr>
        <w:t>(e.g. customer profile, type of application</w:t>
      </w:r>
      <w:r w:rsidR="000415E6">
        <w:rPr>
          <w:rFonts w:cs="Arial"/>
        </w:rPr>
        <w:t xml:space="preserve"> / DNN</w:t>
      </w:r>
      <w:r w:rsidR="00140BAA">
        <w:rPr>
          <w:rFonts w:cs="Arial"/>
        </w:rPr>
        <w:t>, network load</w:t>
      </w:r>
      <w:r w:rsidR="000415E6">
        <w:rPr>
          <w:rFonts w:cs="Arial"/>
        </w:rPr>
        <w:t>) and which parameters should be used (e.g.</w:t>
      </w:r>
      <w:r w:rsidRPr="003416BF">
        <w:rPr>
          <w:rFonts w:cs="Arial"/>
        </w:rPr>
        <w:t>, prediction period, accuracy).</w:t>
      </w:r>
    </w:p>
    <w:p w14:paraId="2B672721" w14:textId="77777777" w:rsidR="00B6462A" w:rsidRPr="003416BF" w:rsidRDefault="00B6462A" w:rsidP="00250936">
      <w:pPr>
        <w:pStyle w:val="B1"/>
        <w:rPr>
          <w:rFonts w:cs="Arial"/>
        </w:rPr>
      </w:pPr>
      <w:r>
        <w:rPr>
          <w:rFonts w:cs="Arial"/>
        </w:rPr>
        <w:t>-</w:t>
      </w:r>
      <w:r>
        <w:rPr>
          <w:rFonts w:cs="Arial"/>
        </w:rPr>
        <w:tab/>
        <w:t>studying, per use case, the data collection policies (e.g. permanent data collection, on-demand)</w:t>
      </w:r>
    </w:p>
    <w:p w14:paraId="2F54D449" w14:textId="570552F2" w:rsidR="001C79A8" w:rsidRPr="003416BF" w:rsidRDefault="00250936" w:rsidP="001C79A8">
      <w:pPr>
        <w:pStyle w:val="B1"/>
        <w:rPr>
          <w:rFonts w:cs="Arial"/>
        </w:rPr>
      </w:pPr>
      <w:r w:rsidRPr="003416BF">
        <w:rPr>
          <w:rFonts w:cs="Arial"/>
        </w:rPr>
        <w:t>-</w:t>
      </w:r>
      <w:r w:rsidRPr="003416BF">
        <w:rPr>
          <w:rFonts w:cs="Arial"/>
        </w:rPr>
        <w:tab/>
        <w:t>study</w:t>
      </w:r>
      <w:r w:rsidR="001C79A8" w:rsidRPr="003416BF">
        <w:rPr>
          <w:rFonts w:cs="Arial"/>
        </w:rPr>
        <w:t>ing</w:t>
      </w:r>
      <w:r w:rsidRPr="003416BF">
        <w:rPr>
          <w:rFonts w:cs="Arial"/>
        </w:rPr>
        <w:t>, per use case, the choices that result from the analytics received from NWDAF, i.e. identify the criteria that will contribute to the decision of the consumer NF</w:t>
      </w:r>
      <w:r w:rsidR="00140BAA">
        <w:rPr>
          <w:rFonts w:cs="Arial"/>
        </w:rPr>
        <w:t xml:space="preserve"> (e.g. results, confidence)</w:t>
      </w:r>
      <w:r w:rsidRPr="003416BF">
        <w:rPr>
          <w:rFonts w:cs="Arial"/>
        </w:rPr>
        <w:t>, and the possible alternatives of actions</w:t>
      </w:r>
      <w:r w:rsidR="00140BAA">
        <w:rPr>
          <w:rFonts w:cs="Arial"/>
        </w:rPr>
        <w:t xml:space="preserve"> (e.g. ignore, take into account, </w:t>
      </w:r>
      <w:r w:rsidR="002D00E9">
        <w:rPr>
          <w:rFonts w:cs="Arial"/>
        </w:rPr>
        <w:t xml:space="preserve">use fuzzy logic, </w:t>
      </w:r>
      <w:r w:rsidR="00140BAA">
        <w:rPr>
          <w:rFonts w:cs="Arial"/>
        </w:rPr>
        <w:t>do random choice)</w:t>
      </w:r>
      <w:r w:rsidRPr="003416BF">
        <w:rPr>
          <w:rFonts w:cs="Arial"/>
        </w:rPr>
        <w:t xml:space="preserve">. </w:t>
      </w:r>
      <w:r w:rsidR="001C79A8" w:rsidRPr="003416BF">
        <w:rPr>
          <w:rFonts w:cs="Arial"/>
        </w:rPr>
        <w:t xml:space="preserve"> </w:t>
      </w:r>
    </w:p>
    <w:p w14:paraId="6460D04E" w14:textId="024BE74F" w:rsidR="001C79A8" w:rsidRPr="003416BF" w:rsidRDefault="00682D03" w:rsidP="001C79A8">
      <w:pPr>
        <w:rPr>
          <w:rFonts w:cs="Arial"/>
        </w:rPr>
      </w:pPr>
      <w:r>
        <w:rPr>
          <w:rFonts w:cs="Arial"/>
        </w:rPr>
        <w:t>Eventually, it</w:t>
      </w:r>
      <w:r w:rsidR="00250936" w:rsidRPr="003416BF">
        <w:rPr>
          <w:rFonts w:cs="Arial"/>
        </w:rPr>
        <w:t xml:space="preserve"> would be left to the implementations to ch</w:t>
      </w:r>
      <w:r>
        <w:rPr>
          <w:rFonts w:cs="Arial"/>
        </w:rPr>
        <w:t>oose among these triggers and parameters</w:t>
      </w:r>
      <w:r w:rsidR="00250936" w:rsidRPr="003416BF">
        <w:rPr>
          <w:rFonts w:cs="Arial"/>
        </w:rPr>
        <w:t>, feedback criteria and actions.</w:t>
      </w:r>
      <w:r w:rsidR="001C79A8" w:rsidRPr="003416BF">
        <w:rPr>
          <w:rFonts w:cs="Arial"/>
        </w:rPr>
        <w:t xml:space="preserve"> As a complement, the study should identify which </w:t>
      </w:r>
      <w:r w:rsidR="00B82C7E">
        <w:rPr>
          <w:rFonts w:cs="Arial"/>
        </w:rPr>
        <w:t>API/</w:t>
      </w:r>
      <w:r w:rsidR="001C79A8" w:rsidRPr="003416BF">
        <w:rPr>
          <w:rFonts w:cs="Arial"/>
        </w:rPr>
        <w:t>parameters</w:t>
      </w:r>
      <w:r w:rsidR="002D00E9">
        <w:rPr>
          <w:rFonts w:cs="Arial"/>
        </w:rPr>
        <w:t>/rules/criteria</w:t>
      </w:r>
      <w:r w:rsidR="001C79A8" w:rsidRPr="003416BF">
        <w:rPr>
          <w:rFonts w:cs="Arial"/>
        </w:rPr>
        <w:t xml:space="preserve"> should be </w:t>
      </w:r>
      <w:r w:rsidR="00B82C7E">
        <w:rPr>
          <w:rFonts w:cs="Arial"/>
        </w:rPr>
        <w:t>available for</w:t>
      </w:r>
      <w:r w:rsidR="001C79A8" w:rsidRPr="003416BF">
        <w:rPr>
          <w:rFonts w:cs="Arial"/>
        </w:rPr>
        <w:t xml:space="preserve"> operator configuration (e.g. per </w:t>
      </w:r>
      <w:r>
        <w:rPr>
          <w:rFonts w:cs="Arial"/>
        </w:rPr>
        <w:t xml:space="preserve">DNN, </w:t>
      </w:r>
      <w:r w:rsidR="001C79A8" w:rsidRPr="003416BF">
        <w:rPr>
          <w:rFonts w:cs="Arial"/>
        </w:rPr>
        <w:t>slice, per NF).</w:t>
      </w:r>
    </w:p>
    <w:p w14:paraId="71242DBB" w14:textId="34F56990" w:rsidR="00437502" w:rsidRDefault="00250936" w:rsidP="00FF17A5">
      <w:pPr>
        <w:rPr>
          <w:lang w:eastAsia="ja-JP"/>
        </w:rPr>
      </w:pPr>
      <w:r w:rsidRPr="003416BF">
        <w:rPr>
          <w:rFonts w:cs="Arial"/>
          <w:lang w:eastAsia="ja-JP"/>
        </w:rPr>
        <w:lastRenderedPageBreak/>
        <w:t xml:space="preserve">Lastly, it should be investigated whether other use cases (e.g. identified in TR 23.791 or </w:t>
      </w:r>
      <w:r w:rsidR="009F6589">
        <w:rPr>
          <w:rFonts w:cs="Arial"/>
          <w:lang w:eastAsia="ja-JP"/>
        </w:rPr>
        <w:t xml:space="preserve">TR </w:t>
      </w:r>
      <w:r w:rsidRPr="003416BF">
        <w:rPr>
          <w:rFonts w:cs="Arial"/>
          <w:lang w:eastAsia="ja-JP"/>
        </w:rPr>
        <w:t>23.700</w:t>
      </w:r>
      <w:r w:rsidR="009F6589">
        <w:rPr>
          <w:rFonts w:cs="Arial"/>
          <w:lang w:eastAsia="ja-JP"/>
        </w:rPr>
        <w:t>-</w:t>
      </w:r>
      <w:r w:rsidRPr="003416BF">
        <w:rPr>
          <w:rFonts w:cs="Arial"/>
          <w:lang w:eastAsia="ja-JP"/>
        </w:rPr>
        <w:t>91) can benefit from the existing statistics</w:t>
      </w:r>
      <w:r w:rsidR="00682D03">
        <w:rPr>
          <w:rFonts w:cs="Arial"/>
          <w:lang w:eastAsia="ja-JP"/>
        </w:rPr>
        <w:t xml:space="preserve"> (e.g. SMF selection could also be based on UE location predictions, PCF selection could use various analytics as well)</w:t>
      </w:r>
      <w:r>
        <w:rPr>
          <w:lang w:eastAsia="ja-JP"/>
        </w:rPr>
        <w:t>.</w:t>
      </w:r>
    </w:p>
    <w:p w14:paraId="24D85A92" w14:textId="3BAF1DC5" w:rsidR="00874E42" w:rsidRDefault="00874E42" w:rsidP="00FF17A5">
      <w:pPr>
        <w:rPr>
          <w:lang w:eastAsia="ja-JP"/>
        </w:rPr>
      </w:pPr>
      <w:r>
        <w:rPr>
          <w:lang w:eastAsia="ja-JP"/>
        </w:rPr>
        <w:t>We propose to add this as an objective to the Rel-18 Study Item following up on eNA_ph2.</w:t>
      </w:r>
    </w:p>
    <w:p w14:paraId="13FB4045" w14:textId="77777777" w:rsidR="00250936" w:rsidRDefault="00250936" w:rsidP="00FF17A5">
      <w:pPr>
        <w:pStyle w:val="Titre1"/>
        <w:numPr>
          <w:ilvl w:val="0"/>
          <w:numId w:val="11"/>
        </w:numPr>
        <w:rPr>
          <w:lang w:eastAsia="zh-CN"/>
        </w:rPr>
      </w:pPr>
      <w:r>
        <w:rPr>
          <w:lang w:eastAsia="zh-CN"/>
        </w:rPr>
        <w:t>Annex: NWDAF R16 use cases</w:t>
      </w:r>
    </w:p>
    <w:tbl>
      <w:tblPr>
        <w:tblpPr w:leftFromText="180" w:rightFromText="180" w:vertAnchor="text" w:horzAnchor="margin" w:tblpXSpec="center" w:tblpY="16"/>
        <w:tblOverlap w:val="neve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2"/>
        <w:gridCol w:w="7654"/>
      </w:tblGrid>
      <w:tr w:rsidR="00250936" w:rsidRPr="00BD40A9" w14:paraId="49B7C5A2" w14:textId="77777777" w:rsidTr="00250936">
        <w:trPr>
          <w:cantSplit/>
          <w:trHeight w:val="265"/>
          <w:tblHeader/>
        </w:trPr>
        <w:tc>
          <w:tcPr>
            <w:tcW w:w="1552" w:type="dxa"/>
            <w:shd w:val="clear" w:color="auto" w:fill="00B0F0"/>
            <w:tcMar>
              <w:left w:w="57" w:type="dxa"/>
              <w:right w:w="57" w:type="dxa"/>
            </w:tcMar>
            <w:vAlign w:val="center"/>
          </w:tcPr>
          <w:p w14:paraId="28DD48BF" w14:textId="77777777" w:rsidR="00250936" w:rsidRPr="003416BF" w:rsidRDefault="00250936" w:rsidP="00250936">
            <w:pPr>
              <w:rPr>
                <w:rFonts w:cs="Arial"/>
              </w:rPr>
            </w:pPr>
            <w:r w:rsidRPr="003416BF">
              <w:rPr>
                <w:rFonts w:cs="Arial"/>
              </w:rPr>
              <w:t>NF</w:t>
            </w:r>
            <w:bookmarkStart w:id="0" w:name="_GoBack"/>
            <w:bookmarkEnd w:id="0"/>
          </w:p>
        </w:tc>
        <w:tc>
          <w:tcPr>
            <w:tcW w:w="7654" w:type="dxa"/>
            <w:shd w:val="clear" w:color="auto" w:fill="00B0F0"/>
            <w:tcMar>
              <w:left w:w="57" w:type="dxa"/>
              <w:right w:w="57" w:type="dxa"/>
            </w:tcMar>
          </w:tcPr>
          <w:p w14:paraId="4C3C8B45" w14:textId="77777777" w:rsidR="00250936" w:rsidRPr="003416BF" w:rsidRDefault="00250936" w:rsidP="00250936">
            <w:pPr>
              <w:tabs>
                <w:tab w:val="center" w:pos="1668"/>
              </w:tabs>
              <w:rPr>
                <w:rFonts w:cs="Arial"/>
              </w:rPr>
            </w:pPr>
            <w:r w:rsidRPr="003416BF">
              <w:rPr>
                <w:rFonts w:cs="Arial"/>
              </w:rPr>
              <w:t>Use case an related procedure</w:t>
            </w:r>
          </w:p>
        </w:tc>
      </w:tr>
      <w:tr w:rsidR="00250936" w14:paraId="60DBC5EF" w14:textId="77777777" w:rsidTr="00250936">
        <w:trPr>
          <w:cantSplit/>
        </w:trPr>
        <w:tc>
          <w:tcPr>
            <w:tcW w:w="1552" w:type="dxa"/>
            <w:tcMar>
              <w:left w:w="57" w:type="dxa"/>
              <w:right w:w="57" w:type="dxa"/>
            </w:tcMar>
            <w:vAlign w:val="center"/>
          </w:tcPr>
          <w:p w14:paraId="2A25C373" w14:textId="77777777" w:rsidR="00250936" w:rsidRPr="003416BF" w:rsidRDefault="00250936" w:rsidP="00250936">
            <w:pPr>
              <w:rPr>
                <w:rFonts w:cs="Arial"/>
                <w:color w:val="000000"/>
              </w:rPr>
            </w:pPr>
            <w:r w:rsidRPr="003416BF">
              <w:rPr>
                <w:rFonts w:cs="Arial"/>
                <w:color w:val="000000"/>
              </w:rPr>
              <w:t>AF/ NEF 1</w:t>
            </w:r>
          </w:p>
        </w:tc>
        <w:tc>
          <w:tcPr>
            <w:tcW w:w="7654" w:type="dxa"/>
            <w:tcMar>
              <w:left w:w="57" w:type="dxa"/>
              <w:right w:w="57" w:type="dxa"/>
            </w:tcMar>
            <w:vAlign w:val="center"/>
          </w:tcPr>
          <w:p w14:paraId="05C7E654" w14:textId="77777777" w:rsidR="00250936" w:rsidRPr="003416BF" w:rsidRDefault="00250936" w:rsidP="00250936">
            <w:pPr>
              <w:rPr>
                <w:rFonts w:cs="Arial"/>
                <w:color w:val="000000"/>
              </w:rPr>
            </w:pPr>
            <w:r w:rsidRPr="003416BF">
              <w:rPr>
                <w:rFonts w:cs="Arial"/>
                <w:color w:val="000000"/>
              </w:rPr>
              <w:t xml:space="preserve">AF derivation of </w:t>
            </w:r>
            <w:r w:rsidRPr="003416BF">
              <w:rPr>
                <w:rFonts w:cs="Arial"/>
                <w:color w:val="000000"/>
                <w:u w:val="single"/>
              </w:rPr>
              <w:t>UE expected behaviour</w:t>
            </w:r>
            <w:r w:rsidRPr="003416BF">
              <w:rPr>
                <w:rFonts w:cs="Arial"/>
                <w:color w:val="000000"/>
              </w:rPr>
              <w:t xml:space="preserve"> as stated in TS 23.502 clause 4.15.6.2 “NEF service operations information flow”, [Conditional, on using NWDAF-assisted values] for a UE or group of UEs.</w:t>
            </w:r>
          </w:p>
        </w:tc>
      </w:tr>
      <w:tr w:rsidR="00250936" w14:paraId="4EB962B2" w14:textId="77777777" w:rsidTr="00250936">
        <w:trPr>
          <w:cantSplit/>
        </w:trPr>
        <w:tc>
          <w:tcPr>
            <w:tcW w:w="1552" w:type="dxa"/>
            <w:tcMar>
              <w:left w:w="57" w:type="dxa"/>
              <w:right w:w="57" w:type="dxa"/>
            </w:tcMar>
            <w:vAlign w:val="center"/>
          </w:tcPr>
          <w:p w14:paraId="6A453C1C" w14:textId="77777777" w:rsidR="00250936" w:rsidRPr="003416BF" w:rsidRDefault="00250936" w:rsidP="00250936">
            <w:pPr>
              <w:rPr>
                <w:rFonts w:cs="Arial"/>
                <w:color w:val="000000"/>
              </w:rPr>
            </w:pPr>
            <w:r w:rsidRPr="003416BF">
              <w:rPr>
                <w:rFonts w:cs="Arial"/>
                <w:color w:val="000000"/>
              </w:rPr>
              <w:t>AF/ NEF 2</w:t>
            </w:r>
          </w:p>
        </w:tc>
        <w:tc>
          <w:tcPr>
            <w:tcW w:w="7654" w:type="dxa"/>
            <w:tcMar>
              <w:left w:w="57" w:type="dxa"/>
              <w:right w:w="57" w:type="dxa"/>
            </w:tcMar>
            <w:vAlign w:val="center"/>
          </w:tcPr>
          <w:p w14:paraId="7D1FF9A6" w14:textId="77777777" w:rsidR="00250936" w:rsidRPr="003416BF" w:rsidRDefault="00250936" w:rsidP="00250936">
            <w:pPr>
              <w:rPr>
                <w:rFonts w:cs="Arial"/>
                <w:color w:val="000000"/>
              </w:rPr>
            </w:pPr>
            <w:r w:rsidRPr="003416BF">
              <w:rPr>
                <w:rFonts w:cs="Arial"/>
                <w:color w:val="000000"/>
              </w:rPr>
              <w:t xml:space="preserve">“NEF derivation of network status information” based on </w:t>
            </w:r>
            <w:r w:rsidRPr="003416BF">
              <w:rPr>
                <w:rFonts w:cs="Arial"/>
                <w:color w:val="000000"/>
                <w:u w:val="single"/>
              </w:rPr>
              <w:t>user data congestion</w:t>
            </w:r>
            <w:r w:rsidRPr="003416BF">
              <w:rPr>
                <w:rFonts w:cs="Arial"/>
                <w:color w:val="000000"/>
              </w:rPr>
              <w:t xml:space="preserve"> analytics, as stated in TS 23.502 clause 4.15.7 “network Status Reporting”</w:t>
            </w:r>
          </w:p>
        </w:tc>
      </w:tr>
      <w:tr w:rsidR="00250936" w14:paraId="6F7D04B7" w14:textId="77777777" w:rsidTr="00250936">
        <w:trPr>
          <w:cantSplit/>
        </w:trPr>
        <w:tc>
          <w:tcPr>
            <w:tcW w:w="1552" w:type="dxa"/>
            <w:tcMar>
              <w:left w:w="57" w:type="dxa"/>
              <w:right w:w="57" w:type="dxa"/>
            </w:tcMar>
            <w:vAlign w:val="center"/>
          </w:tcPr>
          <w:p w14:paraId="390C1736" w14:textId="77777777" w:rsidR="00250936" w:rsidRPr="003416BF" w:rsidRDefault="00250936" w:rsidP="00250936">
            <w:pPr>
              <w:rPr>
                <w:rFonts w:cs="Arial"/>
                <w:color w:val="000000"/>
                <w:sz w:val="18"/>
                <w:szCs w:val="18"/>
              </w:rPr>
            </w:pPr>
            <w:r w:rsidRPr="003416BF">
              <w:rPr>
                <w:rFonts w:cs="Arial"/>
                <w:color w:val="000000"/>
                <w:sz w:val="18"/>
                <w:szCs w:val="18"/>
              </w:rPr>
              <w:t>AMF / SCP 1</w:t>
            </w:r>
          </w:p>
        </w:tc>
        <w:tc>
          <w:tcPr>
            <w:tcW w:w="7654" w:type="dxa"/>
            <w:tcMar>
              <w:left w:w="57" w:type="dxa"/>
              <w:right w:w="57" w:type="dxa"/>
            </w:tcMar>
            <w:vAlign w:val="center"/>
          </w:tcPr>
          <w:p w14:paraId="1FE35693" w14:textId="77777777" w:rsidR="00250936" w:rsidRPr="003416BF" w:rsidRDefault="00250936" w:rsidP="00250936">
            <w:pPr>
              <w:rPr>
                <w:rFonts w:cs="Arial"/>
                <w:color w:val="000000"/>
              </w:rPr>
            </w:pPr>
            <w:r w:rsidRPr="003416BF">
              <w:rPr>
                <w:rFonts w:cs="Arial"/>
                <w:color w:val="000000"/>
              </w:rPr>
              <w:t xml:space="preserve">“AMF and SCP selection of SMF” based on </w:t>
            </w:r>
            <w:r w:rsidRPr="003416BF">
              <w:rPr>
                <w:rFonts w:cs="Arial"/>
                <w:color w:val="000000"/>
                <w:u w:val="single"/>
              </w:rPr>
              <w:t>SMF load analytics</w:t>
            </w:r>
            <w:r w:rsidRPr="003416BF">
              <w:rPr>
                <w:rFonts w:cs="Arial"/>
                <w:color w:val="000000"/>
              </w:rPr>
              <w:t xml:space="preserve"> as stated in TS 23.501 clause 6.3.2 “SMF discovery and selection”</w:t>
            </w:r>
          </w:p>
        </w:tc>
      </w:tr>
      <w:tr w:rsidR="00250936" w14:paraId="5C9A6008" w14:textId="77777777" w:rsidTr="00250936">
        <w:trPr>
          <w:cantSplit/>
        </w:trPr>
        <w:tc>
          <w:tcPr>
            <w:tcW w:w="1552" w:type="dxa"/>
            <w:tcMar>
              <w:left w:w="57" w:type="dxa"/>
              <w:right w:w="57" w:type="dxa"/>
            </w:tcMar>
            <w:vAlign w:val="center"/>
          </w:tcPr>
          <w:p w14:paraId="2A2ACCFA" w14:textId="77777777" w:rsidR="00250936" w:rsidRPr="003416BF" w:rsidRDefault="00250936" w:rsidP="00250936">
            <w:pPr>
              <w:rPr>
                <w:rFonts w:cs="Arial"/>
                <w:color w:val="000000"/>
              </w:rPr>
            </w:pPr>
            <w:r w:rsidRPr="003416BF">
              <w:rPr>
                <w:rFonts w:cs="Arial"/>
                <w:color w:val="000000"/>
              </w:rPr>
              <w:t>AMF 1</w:t>
            </w:r>
          </w:p>
        </w:tc>
        <w:tc>
          <w:tcPr>
            <w:tcW w:w="7654" w:type="dxa"/>
            <w:tcMar>
              <w:left w:w="57" w:type="dxa"/>
              <w:right w:w="57" w:type="dxa"/>
            </w:tcMar>
            <w:vAlign w:val="center"/>
          </w:tcPr>
          <w:p w14:paraId="47066D42" w14:textId="77777777" w:rsidR="00250936" w:rsidRPr="003416BF" w:rsidRDefault="00250936" w:rsidP="00250936">
            <w:pPr>
              <w:rPr>
                <w:rFonts w:cs="Arial"/>
                <w:color w:val="000000"/>
              </w:rPr>
            </w:pPr>
            <w:r w:rsidRPr="003416BF">
              <w:rPr>
                <w:rFonts w:cs="Arial"/>
                <w:color w:val="000000"/>
              </w:rPr>
              <w:t xml:space="preserve">“AMF decision on MICO mode” based on </w:t>
            </w:r>
            <w:r w:rsidRPr="003416BF">
              <w:rPr>
                <w:rFonts w:cs="Arial"/>
                <w:color w:val="000000"/>
                <w:u w:val="single"/>
              </w:rPr>
              <w:t xml:space="preserve">UE mobility </w:t>
            </w:r>
            <w:r w:rsidRPr="003416BF">
              <w:rPr>
                <w:rFonts w:cs="Arial"/>
                <w:color w:val="000000"/>
              </w:rPr>
              <w:t xml:space="preserve">or </w:t>
            </w:r>
            <w:r w:rsidRPr="003416BF">
              <w:rPr>
                <w:rFonts w:cs="Arial"/>
                <w:color w:val="000000"/>
                <w:u w:val="single"/>
              </w:rPr>
              <w:t>UE communication</w:t>
            </w:r>
            <w:r w:rsidRPr="003416BF">
              <w:rPr>
                <w:rFonts w:cs="Arial"/>
                <w:color w:val="000000"/>
              </w:rPr>
              <w:t xml:space="preserve"> analytics as stated in 23.501 clause 5.4.1.3</w:t>
            </w:r>
          </w:p>
        </w:tc>
      </w:tr>
      <w:tr w:rsidR="00250936" w14:paraId="28F1BEA0" w14:textId="77777777" w:rsidTr="00250936">
        <w:trPr>
          <w:cantSplit/>
        </w:trPr>
        <w:tc>
          <w:tcPr>
            <w:tcW w:w="1552" w:type="dxa"/>
            <w:tcMar>
              <w:left w:w="57" w:type="dxa"/>
              <w:right w:w="57" w:type="dxa"/>
            </w:tcMar>
            <w:vAlign w:val="center"/>
          </w:tcPr>
          <w:p w14:paraId="2962F1B1" w14:textId="77777777" w:rsidR="00250936" w:rsidRPr="003416BF" w:rsidRDefault="00250936" w:rsidP="00250936">
            <w:pPr>
              <w:rPr>
                <w:rFonts w:cs="Arial"/>
                <w:color w:val="000000"/>
              </w:rPr>
            </w:pPr>
            <w:r w:rsidRPr="003416BF">
              <w:rPr>
                <w:rFonts w:cs="Arial"/>
                <w:color w:val="000000"/>
              </w:rPr>
              <w:t>AMF 2</w:t>
            </w:r>
          </w:p>
        </w:tc>
        <w:tc>
          <w:tcPr>
            <w:tcW w:w="7654" w:type="dxa"/>
            <w:tcMar>
              <w:left w:w="57" w:type="dxa"/>
              <w:right w:w="57" w:type="dxa"/>
            </w:tcMar>
            <w:vAlign w:val="center"/>
          </w:tcPr>
          <w:p w14:paraId="53DEE486" w14:textId="77777777" w:rsidR="00250936" w:rsidRPr="003416BF" w:rsidRDefault="00250936" w:rsidP="00250936">
            <w:pPr>
              <w:rPr>
                <w:rFonts w:cs="Arial"/>
                <w:color w:val="000000"/>
              </w:rPr>
            </w:pPr>
            <w:r w:rsidRPr="003416BF">
              <w:rPr>
                <w:rFonts w:cs="Arial"/>
                <w:color w:val="000000"/>
              </w:rPr>
              <w:t xml:space="preserve">“AMF update of Mobility Pattern” based on </w:t>
            </w:r>
            <w:r w:rsidRPr="003416BF">
              <w:rPr>
                <w:rFonts w:cs="Arial"/>
                <w:color w:val="000000"/>
                <w:u w:val="single"/>
              </w:rPr>
              <w:t>UE mobility</w:t>
            </w:r>
            <w:r w:rsidRPr="003416BF">
              <w:rPr>
                <w:rFonts w:cs="Arial"/>
                <w:color w:val="000000"/>
              </w:rPr>
              <w:t xml:space="preserve"> analytics as stated in TS 23.501 clause 5.3.4.2 “Mobility Pattern”</w:t>
            </w:r>
          </w:p>
        </w:tc>
      </w:tr>
      <w:tr w:rsidR="00250936" w14:paraId="66FCA5A7" w14:textId="77777777" w:rsidTr="00250936">
        <w:trPr>
          <w:cantSplit/>
        </w:trPr>
        <w:tc>
          <w:tcPr>
            <w:tcW w:w="1552" w:type="dxa"/>
            <w:tcMar>
              <w:left w:w="57" w:type="dxa"/>
              <w:right w:w="57" w:type="dxa"/>
            </w:tcMar>
            <w:vAlign w:val="center"/>
          </w:tcPr>
          <w:p w14:paraId="5D2AC0B6" w14:textId="77777777" w:rsidR="00250936" w:rsidRPr="003416BF" w:rsidRDefault="00250936" w:rsidP="00250936">
            <w:pPr>
              <w:rPr>
                <w:rFonts w:cs="Arial"/>
                <w:color w:val="000000"/>
              </w:rPr>
            </w:pPr>
            <w:r w:rsidRPr="003416BF">
              <w:rPr>
                <w:rFonts w:cs="Arial"/>
                <w:color w:val="000000"/>
              </w:rPr>
              <w:t>AMF 3</w:t>
            </w:r>
          </w:p>
        </w:tc>
        <w:tc>
          <w:tcPr>
            <w:tcW w:w="7654" w:type="dxa"/>
            <w:tcMar>
              <w:left w:w="57" w:type="dxa"/>
              <w:right w:w="57" w:type="dxa"/>
            </w:tcMar>
            <w:vAlign w:val="center"/>
          </w:tcPr>
          <w:p w14:paraId="4C2FF5FC" w14:textId="77777777" w:rsidR="00250936" w:rsidRPr="003416BF" w:rsidRDefault="00250936" w:rsidP="00250936">
            <w:pPr>
              <w:rPr>
                <w:rFonts w:cs="Arial"/>
                <w:color w:val="000000"/>
              </w:rPr>
            </w:pPr>
            <w:r w:rsidRPr="003416BF">
              <w:rPr>
                <w:rFonts w:cs="Arial"/>
                <w:color w:val="000000"/>
              </w:rPr>
              <w:t xml:space="preserve">“AMF decision on paging” based on </w:t>
            </w:r>
            <w:r w:rsidRPr="003416BF">
              <w:rPr>
                <w:rFonts w:cs="Arial"/>
                <w:color w:val="000000"/>
                <w:u w:val="single"/>
              </w:rPr>
              <w:t>UE mobility</w:t>
            </w:r>
            <w:r w:rsidRPr="003416BF">
              <w:rPr>
                <w:rFonts w:cs="Arial"/>
                <w:color w:val="000000"/>
              </w:rPr>
              <w:t xml:space="preserve"> analytics as stated in 23.501 clause 5.4.3 “Paging strategy handling”</w:t>
            </w:r>
          </w:p>
        </w:tc>
      </w:tr>
      <w:tr w:rsidR="00250936" w14:paraId="245D0F34" w14:textId="77777777" w:rsidTr="00250936">
        <w:trPr>
          <w:cantSplit/>
        </w:trPr>
        <w:tc>
          <w:tcPr>
            <w:tcW w:w="1552" w:type="dxa"/>
            <w:tcMar>
              <w:left w:w="57" w:type="dxa"/>
              <w:right w:w="57" w:type="dxa"/>
            </w:tcMar>
            <w:vAlign w:val="center"/>
          </w:tcPr>
          <w:p w14:paraId="056BE119" w14:textId="77777777" w:rsidR="00250936" w:rsidRPr="003416BF" w:rsidRDefault="00250936" w:rsidP="00250936">
            <w:pPr>
              <w:rPr>
                <w:rFonts w:cs="Arial"/>
                <w:color w:val="000000"/>
              </w:rPr>
            </w:pPr>
            <w:r w:rsidRPr="003416BF">
              <w:rPr>
                <w:rFonts w:cs="Arial"/>
                <w:color w:val="000000"/>
              </w:rPr>
              <w:t>NSSF 1</w:t>
            </w:r>
          </w:p>
        </w:tc>
        <w:tc>
          <w:tcPr>
            <w:tcW w:w="7654" w:type="dxa"/>
            <w:tcMar>
              <w:left w:w="57" w:type="dxa"/>
              <w:right w:w="57" w:type="dxa"/>
            </w:tcMar>
            <w:vAlign w:val="center"/>
          </w:tcPr>
          <w:p w14:paraId="16A71F00" w14:textId="77777777" w:rsidR="00250936" w:rsidRPr="003416BF" w:rsidRDefault="00250936" w:rsidP="00250936">
            <w:pPr>
              <w:rPr>
                <w:rFonts w:cs="Arial"/>
                <w:color w:val="000000"/>
              </w:rPr>
            </w:pPr>
            <w:r w:rsidRPr="003416BF">
              <w:rPr>
                <w:rFonts w:cs="Arial"/>
                <w:color w:val="000000"/>
              </w:rPr>
              <w:t xml:space="preserve">“NSSF selection of network slice ”based on </w:t>
            </w:r>
            <w:r w:rsidRPr="003416BF">
              <w:rPr>
                <w:rFonts w:cs="Arial"/>
                <w:color w:val="000000"/>
                <w:u w:val="single"/>
              </w:rPr>
              <w:t>Slice load</w:t>
            </w:r>
            <w:r w:rsidRPr="003416BF">
              <w:rPr>
                <w:rFonts w:cs="Arial"/>
                <w:color w:val="000000"/>
              </w:rPr>
              <w:t xml:space="preserve"> analytics as stated in TS23501 clause 5.15.5.2.1 “Registration to a set of Network Slices” or “Network update of network slice” based on Slice load analytics as stated in TS 23.501 clause 5.15.5.2.2 “Modification of the Set of Network Slice(s) for a UE”</w:t>
            </w:r>
          </w:p>
        </w:tc>
      </w:tr>
      <w:tr w:rsidR="00250936" w14:paraId="4B7ABEE5" w14:textId="77777777" w:rsidTr="00250936">
        <w:trPr>
          <w:cantSplit/>
        </w:trPr>
        <w:tc>
          <w:tcPr>
            <w:tcW w:w="1552" w:type="dxa"/>
            <w:tcMar>
              <w:left w:w="57" w:type="dxa"/>
              <w:right w:w="57" w:type="dxa"/>
            </w:tcMar>
            <w:vAlign w:val="center"/>
          </w:tcPr>
          <w:p w14:paraId="211D0D51" w14:textId="77777777" w:rsidR="00250936" w:rsidRPr="003416BF" w:rsidRDefault="00250936" w:rsidP="00250936">
            <w:pPr>
              <w:rPr>
                <w:rFonts w:cs="Arial"/>
                <w:color w:val="000000"/>
              </w:rPr>
            </w:pPr>
            <w:r w:rsidRPr="003416BF">
              <w:rPr>
                <w:rFonts w:cs="Arial"/>
                <w:color w:val="000000"/>
              </w:rPr>
              <w:t>PCF 1</w:t>
            </w:r>
          </w:p>
        </w:tc>
        <w:tc>
          <w:tcPr>
            <w:tcW w:w="7654" w:type="dxa"/>
            <w:tcMar>
              <w:left w:w="57" w:type="dxa"/>
              <w:right w:w="57" w:type="dxa"/>
            </w:tcMar>
            <w:vAlign w:val="center"/>
          </w:tcPr>
          <w:p w14:paraId="7294A494" w14:textId="77777777" w:rsidR="00250936" w:rsidRPr="003416BF" w:rsidRDefault="00250936" w:rsidP="00250936">
            <w:pPr>
              <w:rPr>
                <w:rFonts w:cs="Arial"/>
                <w:color w:val="000000"/>
              </w:rPr>
            </w:pPr>
            <w:r w:rsidRPr="003416BF">
              <w:rPr>
                <w:rFonts w:cs="Arial"/>
                <w:color w:val="000000"/>
              </w:rPr>
              <w:t xml:space="preserve">“PCF collection of </w:t>
            </w:r>
            <w:r w:rsidRPr="003416BF">
              <w:rPr>
                <w:rFonts w:cs="Arial"/>
                <w:color w:val="000000"/>
                <w:u w:val="single"/>
              </w:rPr>
              <w:t>abnormal behaviour</w:t>
            </w:r>
            <w:r w:rsidRPr="003416BF">
              <w:rPr>
                <w:rFonts w:cs="Arial"/>
                <w:color w:val="000000"/>
              </w:rPr>
              <w:t xml:space="preserve">” as stated in TS 23.503 per clause 5.3.11 “Interactions between NWDAF and PCF” and 6.1.1.3 “Policy decisions based on network analytics” using Exception IDs specified in TS 23.288] </w:t>
            </w:r>
          </w:p>
        </w:tc>
      </w:tr>
      <w:tr w:rsidR="00250936" w14:paraId="0BD8C0EA" w14:textId="77777777" w:rsidTr="00250936">
        <w:trPr>
          <w:cantSplit/>
        </w:trPr>
        <w:tc>
          <w:tcPr>
            <w:tcW w:w="1552" w:type="dxa"/>
            <w:tcMar>
              <w:left w:w="57" w:type="dxa"/>
              <w:right w:w="57" w:type="dxa"/>
            </w:tcMar>
            <w:vAlign w:val="center"/>
          </w:tcPr>
          <w:p w14:paraId="3EFA3E38" w14:textId="77777777" w:rsidR="00250936" w:rsidRPr="003416BF" w:rsidRDefault="00250936" w:rsidP="00250936">
            <w:pPr>
              <w:rPr>
                <w:rFonts w:cs="Arial"/>
                <w:color w:val="000000"/>
              </w:rPr>
            </w:pPr>
            <w:r w:rsidRPr="003416BF">
              <w:rPr>
                <w:rFonts w:cs="Arial"/>
                <w:color w:val="000000"/>
              </w:rPr>
              <w:t>PCF 2</w:t>
            </w:r>
          </w:p>
        </w:tc>
        <w:tc>
          <w:tcPr>
            <w:tcW w:w="7654" w:type="dxa"/>
            <w:tcMar>
              <w:left w:w="57" w:type="dxa"/>
              <w:right w:w="57" w:type="dxa"/>
            </w:tcMar>
            <w:vAlign w:val="center"/>
          </w:tcPr>
          <w:p w14:paraId="2131BAD2" w14:textId="77777777" w:rsidR="00250936" w:rsidRPr="003416BF" w:rsidRDefault="00250936" w:rsidP="00250936">
            <w:pPr>
              <w:rPr>
                <w:rFonts w:cs="Arial"/>
                <w:color w:val="000000"/>
              </w:rPr>
            </w:pPr>
            <w:r w:rsidRPr="003416BF">
              <w:rPr>
                <w:rFonts w:cs="Arial"/>
                <w:color w:val="000000"/>
              </w:rPr>
              <w:t xml:space="preserve">“PCF collection of slice specify information” e.g., </w:t>
            </w:r>
            <w:r w:rsidRPr="003416BF">
              <w:rPr>
                <w:rFonts w:cs="Arial"/>
                <w:color w:val="000000"/>
                <w:u w:val="single"/>
              </w:rPr>
              <w:t>slice load</w:t>
            </w:r>
            <w:r w:rsidRPr="003416BF">
              <w:rPr>
                <w:rFonts w:cs="Arial"/>
                <w:color w:val="000000"/>
              </w:rPr>
              <w:t xml:space="preserve"> as stated in TS 23.503 clause 4.2.3 “Network status analytics information requirements” and clause 6.1.1.3 where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 </w:t>
            </w:r>
          </w:p>
        </w:tc>
      </w:tr>
      <w:tr w:rsidR="00250936" w14:paraId="08BB38F3" w14:textId="77777777" w:rsidTr="00250936">
        <w:trPr>
          <w:cantSplit/>
        </w:trPr>
        <w:tc>
          <w:tcPr>
            <w:tcW w:w="1552" w:type="dxa"/>
            <w:tcMar>
              <w:left w:w="57" w:type="dxa"/>
              <w:right w:w="57" w:type="dxa"/>
            </w:tcMar>
            <w:vAlign w:val="center"/>
          </w:tcPr>
          <w:p w14:paraId="156D9472" w14:textId="77777777" w:rsidR="00250936" w:rsidRPr="003416BF" w:rsidRDefault="00250936" w:rsidP="00250936">
            <w:pPr>
              <w:rPr>
                <w:rFonts w:cs="Arial"/>
                <w:color w:val="000000"/>
              </w:rPr>
            </w:pPr>
            <w:r w:rsidRPr="003416BF">
              <w:rPr>
                <w:rFonts w:cs="Arial"/>
                <w:color w:val="000000"/>
              </w:rPr>
              <w:t>PCF 3</w:t>
            </w:r>
          </w:p>
        </w:tc>
        <w:tc>
          <w:tcPr>
            <w:tcW w:w="7654" w:type="dxa"/>
            <w:tcMar>
              <w:left w:w="57" w:type="dxa"/>
              <w:right w:w="57" w:type="dxa"/>
            </w:tcMar>
            <w:vAlign w:val="center"/>
          </w:tcPr>
          <w:p w14:paraId="27E49F2D" w14:textId="77777777" w:rsidR="00250936" w:rsidRPr="003416BF" w:rsidRDefault="00250936" w:rsidP="00250936">
            <w:pPr>
              <w:rPr>
                <w:rFonts w:cs="Arial"/>
                <w:color w:val="000000"/>
              </w:rPr>
            </w:pPr>
            <w:r w:rsidRPr="003416BF">
              <w:rPr>
                <w:rFonts w:cs="Arial"/>
                <w:color w:val="000000"/>
              </w:rPr>
              <w:t xml:space="preserve">“PCF collection of </w:t>
            </w:r>
            <w:r w:rsidRPr="003416BF">
              <w:rPr>
                <w:rFonts w:cs="Arial"/>
                <w:color w:val="000000"/>
                <w:u w:val="single"/>
              </w:rPr>
              <w:t>observed service experience</w:t>
            </w:r>
            <w:r w:rsidRPr="003416BF">
              <w:rPr>
                <w:rFonts w:cs="Arial"/>
                <w:color w:val="000000"/>
              </w:rPr>
              <w:t xml:space="preserve">” as stated in TS 23.503 per clause 5.3.11 “Interactions between NWDAF and PCF” and 6.1.1.3. “Policy decisions based on network analytics”, The PCF may check the 5QI values assigned to the </w:t>
            </w:r>
            <w:r w:rsidRPr="003416BF">
              <w:rPr>
                <w:rFonts w:cs="Arial"/>
                <w:color w:val="000000"/>
              </w:rPr>
              <w:lastRenderedPageBreak/>
              <w:t>Application, the number of UEs affected and may use this as input to calculate and update the authorized QoS for a service data flow template.</w:t>
            </w:r>
          </w:p>
        </w:tc>
      </w:tr>
      <w:tr w:rsidR="00250936" w14:paraId="666856DF" w14:textId="77777777" w:rsidTr="00250936">
        <w:trPr>
          <w:cantSplit/>
        </w:trPr>
        <w:tc>
          <w:tcPr>
            <w:tcW w:w="1552" w:type="dxa"/>
            <w:tcMar>
              <w:left w:w="57" w:type="dxa"/>
              <w:right w:w="57" w:type="dxa"/>
            </w:tcMar>
            <w:vAlign w:val="center"/>
          </w:tcPr>
          <w:p w14:paraId="11846D37" w14:textId="77777777" w:rsidR="00250936" w:rsidRPr="003416BF" w:rsidRDefault="00250936" w:rsidP="00250936">
            <w:pPr>
              <w:rPr>
                <w:rFonts w:cs="Arial"/>
                <w:color w:val="000000"/>
              </w:rPr>
            </w:pPr>
            <w:r w:rsidRPr="003416BF">
              <w:rPr>
                <w:rFonts w:cs="Arial"/>
                <w:color w:val="000000"/>
              </w:rPr>
              <w:lastRenderedPageBreak/>
              <w:t>PCF 4</w:t>
            </w:r>
          </w:p>
        </w:tc>
        <w:tc>
          <w:tcPr>
            <w:tcW w:w="7654" w:type="dxa"/>
            <w:tcMar>
              <w:left w:w="57" w:type="dxa"/>
              <w:right w:w="57" w:type="dxa"/>
            </w:tcMar>
            <w:vAlign w:val="center"/>
          </w:tcPr>
          <w:p w14:paraId="205E8D88" w14:textId="77777777" w:rsidR="00250936" w:rsidRPr="003416BF" w:rsidRDefault="00250936" w:rsidP="00250936">
            <w:pPr>
              <w:rPr>
                <w:rFonts w:cs="Arial"/>
                <w:color w:val="000000"/>
              </w:rPr>
            </w:pPr>
            <w:r w:rsidRPr="003416BF">
              <w:rPr>
                <w:rFonts w:cs="Arial"/>
                <w:color w:val="000000"/>
              </w:rPr>
              <w:t>Session management by PCF using information from AF, SMF and NWDAF (</w:t>
            </w:r>
            <w:r w:rsidRPr="003416BF">
              <w:rPr>
                <w:rFonts w:cs="Arial"/>
                <w:color w:val="000000"/>
                <w:u w:val="single"/>
              </w:rPr>
              <w:t>Service Experience</w:t>
            </w:r>
            <w:r w:rsidRPr="003416BF">
              <w:rPr>
                <w:rFonts w:cs="Arial"/>
                <w:color w:val="000000"/>
              </w:rPr>
              <w:t>) as stated in clause 6.2.1.1.1 of TS 23.503</w:t>
            </w:r>
          </w:p>
        </w:tc>
      </w:tr>
      <w:tr w:rsidR="00250936" w14:paraId="281AE959" w14:textId="77777777" w:rsidTr="00250936">
        <w:trPr>
          <w:cantSplit/>
        </w:trPr>
        <w:tc>
          <w:tcPr>
            <w:tcW w:w="1552" w:type="dxa"/>
            <w:tcMar>
              <w:left w:w="57" w:type="dxa"/>
              <w:right w:w="57" w:type="dxa"/>
            </w:tcMar>
            <w:vAlign w:val="center"/>
          </w:tcPr>
          <w:p w14:paraId="4BD99941" w14:textId="77777777" w:rsidR="00250936" w:rsidRPr="003416BF" w:rsidRDefault="00250936" w:rsidP="00250936">
            <w:pPr>
              <w:rPr>
                <w:rFonts w:cs="Arial"/>
                <w:color w:val="000000"/>
              </w:rPr>
            </w:pPr>
            <w:r w:rsidRPr="003416BF">
              <w:rPr>
                <w:rFonts w:cs="Arial"/>
                <w:color w:val="000000"/>
              </w:rPr>
              <w:t>PCF 5</w:t>
            </w:r>
          </w:p>
        </w:tc>
        <w:tc>
          <w:tcPr>
            <w:tcW w:w="7654" w:type="dxa"/>
            <w:tcMar>
              <w:left w:w="57" w:type="dxa"/>
              <w:right w:w="57" w:type="dxa"/>
            </w:tcMar>
            <w:vAlign w:val="center"/>
          </w:tcPr>
          <w:p w14:paraId="75D93032" w14:textId="77777777" w:rsidR="00250936" w:rsidRPr="003416BF" w:rsidRDefault="00250936" w:rsidP="00250936">
            <w:pPr>
              <w:rPr>
                <w:rFonts w:cs="Arial"/>
                <w:color w:val="000000"/>
              </w:rPr>
            </w:pPr>
            <w:r w:rsidRPr="003416BF">
              <w:rPr>
                <w:rFonts w:cs="Arial"/>
                <w:color w:val="000000"/>
              </w:rPr>
              <w:t xml:space="preserve">“PCF derivation of transfer policies for BDT” based on </w:t>
            </w:r>
            <w:r w:rsidRPr="003416BF">
              <w:rPr>
                <w:rFonts w:cs="Arial"/>
                <w:color w:val="000000"/>
                <w:u w:val="single"/>
              </w:rPr>
              <w:t>Network Performance</w:t>
            </w:r>
            <w:r w:rsidRPr="003416BF">
              <w:rPr>
                <w:rFonts w:cs="Arial"/>
                <w:color w:val="000000"/>
              </w:rPr>
              <w:t xml:space="preserve"> analytics (number of UEs and load in the area of interest), as stated in TS 23.502 clause 4.16.7.2 “Procedures for future background data transfer” and clause 4.16.7.3 “Procedure for BDT warning notification”. Also specified in 23.503 6.1.1.3. Also renegotiation of BDT policies (23.503 6.1.2.4).</w:t>
            </w:r>
          </w:p>
        </w:tc>
      </w:tr>
      <w:tr w:rsidR="00250936" w14:paraId="2B6E55DA" w14:textId="77777777" w:rsidTr="00250936">
        <w:trPr>
          <w:cantSplit/>
        </w:trPr>
        <w:tc>
          <w:tcPr>
            <w:tcW w:w="1552" w:type="dxa"/>
            <w:tcMar>
              <w:left w:w="57" w:type="dxa"/>
              <w:right w:w="57" w:type="dxa"/>
            </w:tcMar>
            <w:vAlign w:val="center"/>
          </w:tcPr>
          <w:p w14:paraId="2B76C67D" w14:textId="77777777" w:rsidR="00250936" w:rsidRPr="003416BF" w:rsidRDefault="00250936" w:rsidP="00250936">
            <w:pPr>
              <w:rPr>
                <w:rFonts w:cs="Arial"/>
                <w:color w:val="000000"/>
              </w:rPr>
            </w:pPr>
            <w:r w:rsidRPr="003416BF">
              <w:rPr>
                <w:rFonts w:cs="Arial"/>
                <w:color w:val="000000"/>
              </w:rPr>
              <w:t>SMF 1</w:t>
            </w:r>
          </w:p>
        </w:tc>
        <w:tc>
          <w:tcPr>
            <w:tcW w:w="7654" w:type="dxa"/>
            <w:tcMar>
              <w:left w:w="57" w:type="dxa"/>
              <w:right w:w="57" w:type="dxa"/>
            </w:tcMar>
            <w:vAlign w:val="center"/>
          </w:tcPr>
          <w:p w14:paraId="06A96402" w14:textId="77777777" w:rsidR="00250936" w:rsidRPr="003416BF" w:rsidRDefault="00250936" w:rsidP="00250936">
            <w:pPr>
              <w:rPr>
                <w:rFonts w:cs="Arial"/>
                <w:color w:val="000000"/>
              </w:rPr>
            </w:pPr>
            <w:r w:rsidRPr="003416BF">
              <w:rPr>
                <w:rFonts w:cs="Arial"/>
                <w:color w:val="000000"/>
              </w:rPr>
              <w:t xml:space="preserve"> “SMF selection and reselection of UPF” based on </w:t>
            </w:r>
            <w:r w:rsidRPr="003416BF">
              <w:rPr>
                <w:rFonts w:cs="Arial"/>
                <w:color w:val="000000"/>
                <w:u w:val="single"/>
              </w:rPr>
              <w:t>UPF load analytics</w:t>
            </w:r>
            <w:r w:rsidRPr="003416BF">
              <w:rPr>
                <w:rFonts w:cs="Arial"/>
                <w:color w:val="000000"/>
              </w:rPr>
              <w:t xml:space="preserve"> as stated in TS 23.501 clause 6.3.3.3 “Selection of an UPF for a particular PDU Session”</w:t>
            </w:r>
          </w:p>
        </w:tc>
      </w:tr>
    </w:tbl>
    <w:p w14:paraId="42E05DB8" w14:textId="77777777" w:rsidR="00250936" w:rsidRPr="00F065AA" w:rsidRDefault="00250936" w:rsidP="00FF17A5">
      <w:pPr>
        <w:rPr>
          <w:lang w:eastAsia="zh-CN"/>
        </w:rPr>
      </w:pPr>
    </w:p>
    <w:sectPr w:rsidR="00250936" w:rsidRPr="00F065AA" w:rsidSect="006B1110">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D83A1" w14:textId="77777777" w:rsidR="00D570B2" w:rsidRDefault="00D570B2" w:rsidP="001E7AD3">
      <w:pPr>
        <w:spacing w:after="0"/>
      </w:pPr>
      <w:r>
        <w:separator/>
      </w:r>
    </w:p>
  </w:endnote>
  <w:endnote w:type="continuationSeparator" w:id="0">
    <w:p w14:paraId="531993A2" w14:textId="77777777" w:rsidR="00D570B2" w:rsidRDefault="00D570B2" w:rsidP="001E7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364C" w14:textId="77777777" w:rsidR="00D570B2" w:rsidRDefault="00D570B2" w:rsidP="001E7AD3">
      <w:pPr>
        <w:spacing w:after="0"/>
      </w:pPr>
      <w:r>
        <w:separator/>
      </w:r>
    </w:p>
  </w:footnote>
  <w:footnote w:type="continuationSeparator" w:id="0">
    <w:p w14:paraId="04F1D55B" w14:textId="77777777" w:rsidR="00D570B2" w:rsidRDefault="00D570B2" w:rsidP="001E7A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605A"/>
    <w:multiLevelType w:val="hybridMultilevel"/>
    <w:tmpl w:val="356CBB1C"/>
    <w:lvl w:ilvl="0" w:tplc="1F8CAB7C">
      <w:start w:val="7"/>
      <w:numFmt w:val="bullet"/>
      <w:lvlText w:val="-"/>
      <w:lvlJc w:val="left"/>
      <w:pPr>
        <w:ind w:left="644" w:hanging="360"/>
      </w:pPr>
      <w:rPr>
        <w:rFonts w:ascii="Arial" w:eastAsia="Malgun Gothic"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BC94810"/>
    <w:multiLevelType w:val="hybridMultilevel"/>
    <w:tmpl w:val="E8FA5C62"/>
    <w:lvl w:ilvl="0" w:tplc="29FC0A02">
      <w:start w:val="2"/>
      <w:numFmt w:val="bullet"/>
      <w:lvlText w:val="-"/>
      <w:lvlJc w:val="left"/>
      <w:pPr>
        <w:ind w:left="644" w:hanging="360"/>
      </w:pPr>
      <w:rPr>
        <w:rFonts w:ascii="Times New Roman" w:eastAsia="Malgun Gothic" w:hAnsi="Times New Roman" w:cs="Times New Roman" w:hint="default"/>
        <w:lang w:val="fr-FR"/>
      </w:rPr>
    </w:lvl>
    <w:lvl w:ilvl="1" w:tplc="992E1196">
      <w:start w:val="1"/>
      <w:numFmt w:val="bullet"/>
      <w:pStyle w:val="RecommandationTrait"/>
      <w:lvlText w:val="-"/>
      <w:lvlJc w:val="left"/>
      <w:pPr>
        <w:ind w:left="1364" w:hanging="360"/>
      </w:pPr>
      <w:rPr>
        <w:rFonts w:ascii="Arial" w:hAnsi="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24A663B"/>
    <w:multiLevelType w:val="hybridMultilevel"/>
    <w:tmpl w:val="6846DF42"/>
    <w:lvl w:ilvl="0" w:tplc="4ECA1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B64B47"/>
    <w:multiLevelType w:val="hybridMultilevel"/>
    <w:tmpl w:val="B06A63C8"/>
    <w:lvl w:ilvl="0" w:tplc="6CCAE4A2">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4FB4A44"/>
    <w:multiLevelType w:val="hybridMultilevel"/>
    <w:tmpl w:val="B00E889C"/>
    <w:lvl w:ilvl="0" w:tplc="A0EA9AB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B86C3F"/>
    <w:multiLevelType w:val="hybridMultilevel"/>
    <w:tmpl w:val="1CB49E28"/>
    <w:lvl w:ilvl="0" w:tplc="A0EA9AB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2C52F5B"/>
    <w:multiLevelType w:val="hybridMultilevel"/>
    <w:tmpl w:val="02A25478"/>
    <w:lvl w:ilvl="0" w:tplc="5A3E7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8A13B8"/>
    <w:multiLevelType w:val="hybridMultilevel"/>
    <w:tmpl w:val="52F01F08"/>
    <w:lvl w:ilvl="0" w:tplc="30DE1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714207"/>
    <w:multiLevelType w:val="hybridMultilevel"/>
    <w:tmpl w:val="7074851E"/>
    <w:lvl w:ilvl="0" w:tplc="333E3B9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02E0D"/>
    <w:multiLevelType w:val="hybridMultilevel"/>
    <w:tmpl w:val="238053BA"/>
    <w:lvl w:ilvl="0" w:tplc="AB78C75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BA640B"/>
    <w:multiLevelType w:val="hybridMultilevel"/>
    <w:tmpl w:val="475606D8"/>
    <w:lvl w:ilvl="0" w:tplc="A0EA9AB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E1F1A1E"/>
    <w:multiLevelType w:val="hybridMultilevel"/>
    <w:tmpl w:val="600AFC88"/>
    <w:lvl w:ilvl="0" w:tplc="A0EA9AB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C640A8"/>
    <w:multiLevelType w:val="hybridMultilevel"/>
    <w:tmpl w:val="9F7E2468"/>
    <w:lvl w:ilvl="0" w:tplc="2826C3E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BA6D76"/>
    <w:multiLevelType w:val="hybridMultilevel"/>
    <w:tmpl w:val="2260068C"/>
    <w:lvl w:ilvl="0" w:tplc="A0EA9AB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31464E"/>
    <w:multiLevelType w:val="hybridMultilevel"/>
    <w:tmpl w:val="BC187520"/>
    <w:lvl w:ilvl="0" w:tplc="0409000F">
      <w:start w:val="1"/>
      <w:numFmt w:val="decimal"/>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69B75167"/>
    <w:multiLevelType w:val="hybridMultilevel"/>
    <w:tmpl w:val="2CC841EA"/>
    <w:lvl w:ilvl="0" w:tplc="0CC2C1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FEA3FCE"/>
    <w:multiLevelType w:val="hybridMultilevel"/>
    <w:tmpl w:val="D0C0F6D6"/>
    <w:lvl w:ilvl="0" w:tplc="1D8AA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60B597B"/>
    <w:multiLevelType w:val="hybridMultilevel"/>
    <w:tmpl w:val="FD986D14"/>
    <w:lvl w:ilvl="0" w:tplc="333E3B9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A28B7"/>
    <w:multiLevelType w:val="hybridMultilevel"/>
    <w:tmpl w:val="45A41D26"/>
    <w:lvl w:ilvl="0" w:tplc="5A3E7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DE46F90"/>
    <w:multiLevelType w:val="hybridMultilevel"/>
    <w:tmpl w:val="29D40E00"/>
    <w:lvl w:ilvl="0" w:tplc="040C0017">
      <w:start w:val="1"/>
      <w:numFmt w:val="lowerLetter"/>
      <w:lvlText w:val="%1)"/>
      <w:lvlJc w:val="left"/>
      <w:pPr>
        <w:ind w:left="644" w:hanging="360"/>
      </w:pPr>
      <w:rPr>
        <w:rFonts w:hint="default"/>
        <w:lang w:val="fr-FR"/>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8"/>
  </w:num>
  <w:num w:numId="2">
    <w:abstractNumId w:val="6"/>
  </w:num>
  <w:num w:numId="3">
    <w:abstractNumId w:val="13"/>
  </w:num>
  <w:num w:numId="4">
    <w:abstractNumId w:val="11"/>
  </w:num>
  <w:num w:numId="5">
    <w:abstractNumId w:val="5"/>
  </w:num>
  <w:num w:numId="6">
    <w:abstractNumId w:val="12"/>
  </w:num>
  <w:num w:numId="7">
    <w:abstractNumId w:val="2"/>
  </w:num>
  <w:num w:numId="8">
    <w:abstractNumId w:val="14"/>
  </w:num>
  <w:num w:numId="9">
    <w:abstractNumId w:val="7"/>
  </w:num>
  <w:num w:numId="10">
    <w:abstractNumId w:val="9"/>
  </w:num>
  <w:num w:numId="11">
    <w:abstractNumId w:val="16"/>
  </w:num>
  <w:num w:numId="12">
    <w:abstractNumId w:val="10"/>
  </w:num>
  <w:num w:numId="13">
    <w:abstractNumId w:val="4"/>
  </w:num>
  <w:num w:numId="14">
    <w:abstractNumId w:val="15"/>
  </w:num>
  <w:num w:numId="15">
    <w:abstractNumId w:val="3"/>
  </w:num>
  <w:num w:numId="16">
    <w:abstractNumId w:val="19"/>
  </w:num>
  <w:num w:numId="17">
    <w:abstractNumId w:val="1"/>
  </w:num>
  <w:num w:numId="18">
    <w:abstractNumId w:val="1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10"/>
    <w:rsid w:val="000025B7"/>
    <w:rsid w:val="000120D1"/>
    <w:rsid w:val="0002752B"/>
    <w:rsid w:val="000415E6"/>
    <w:rsid w:val="0008079A"/>
    <w:rsid w:val="000864BB"/>
    <w:rsid w:val="000A072C"/>
    <w:rsid w:val="000A2491"/>
    <w:rsid w:val="000C0F8B"/>
    <w:rsid w:val="000C1D64"/>
    <w:rsid w:val="000E13A3"/>
    <w:rsid w:val="000E4B86"/>
    <w:rsid w:val="000E7E85"/>
    <w:rsid w:val="000F1D7A"/>
    <w:rsid w:val="000F2F2B"/>
    <w:rsid w:val="0010594B"/>
    <w:rsid w:val="00121748"/>
    <w:rsid w:val="00121CAB"/>
    <w:rsid w:val="00131D8C"/>
    <w:rsid w:val="00140BAA"/>
    <w:rsid w:val="00143C46"/>
    <w:rsid w:val="00160EF8"/>
    <w:rsid w:val="00165C92"/>
    <w:rsid w:val="00165EB2"/>
    <w:rsid w:val="00175AD2"/>
    <w:rsid w:val="00194F88"/>
    <w:rsid w:val="001B6BDC"/>
    <w:rsid w:val="001C3665"/>
    <w:rsid w:val="001C79A8"/>
    <w:rsid w:val="001E2971"/>
    <w:rsid w:val="001E7AD3"/>
    <w:rsid w:val="001F5CFD"/>
    <w:rsid w:val="002241B5"/>
    <w:rsid w:val="00227FE0"/>
    <w:rsid w:val="00231CB0"/>
    <w:rsid w:val="0025039F"/>
    <w:rsid w:val="00250936"/>
    <w:rsid w:val="0025093C"/>
    <w:rsid w:val="002510FE"/>
    <w:rsid w:val="002642A9"/>
    <w:rsid w:val="00266A91"/>
    <w:rsid w:val="00267710"/>
    <w:rsid w:val="00285979"/>
    <w:rsid w:val="00285C5C"/>
    <w:rsid w:val="00291A97"/>
    <w:rsid w:val="002C7ABC"/>
    <w:rsid w:val="002D00E9"/>
    <w:rsid w:val="002F399E"/>
    <w:rsid w:val="0030221C"/>
    <w:rsid w:val="00304333"/>
    <w:rsid w:val="00310C9A"/>
    <w:rsid w:val="00312F47"/>
    <w:rsid w:val="00320F08"/>
    <w:rsid w:val="0032206A"/>
    <w:rsid w:val="00332C89"/>
    <w:rsid w:val="00334B53"/>
    <w:rsid w:val="003416BF"/>
    <w:rsid w:val="00354710"/>
    <w:rsid w:val="003A2939"/>
    <w:rsid w:val="003B646A"/>
    <w:rsid w:val="003C57B5"/>
    <w:rsid w:val="003C6AF5"/>
    <w:rsid w:val="003D016F"/>
    <w:rsid w:val="003D290D"/>
    <w:rsid w:val="003F5408"/>
    <w:rsid w:val="00400867"/>
    <w:rsid w:val="004044F6"/>
    <w:rsid w:val="00407719"/>
    <w:rsid w:val="0041401A"/>
    <w:rsid w:val="00416229"/>
    <w:rsid w:val="00437502"/>
    <w:rsid w:val="004417AB"/>
    <w:rsid w:val="0047274A"/>
    <w:rsid w:val="00474EB4"/>
    <w:rsid w:val="00477E08"/>
    <w:rsid w:val="00495A60"/>
    <w:rsid w:val="004963A7"/>
    <w:rsid w:val="004965FF"/>
    <w:rsid w:val="004A29AC"/>
    <w:rsid w:val="004A3995"/>
    <w:rsid w:val="004A7108"/>
    <w:rsid w:val="004E5DAB"/>
    <w:rsid w:val="004F0913"/>
    <w:rsid w:val="00505ED1"/>
    <w:rsid w:val="00511AB4"/>
    <w:rsid w:val="00512ADF"/>
    <w:rsid w:val="00513F51"/>
    <w:rsid w:val="00532DC1"/>
    <w:rsid w:val="005410FF"/>
    <w:rsid w:val="005566AA"/>
    <w:rsid w:val="0056198E"/>
    <w:rsid w:val="00563F9A"/>
    <w:rsid w:val="0057353E"/>
    <w:rsid w:val="00580718"/>
    <w:rsid w:val="0059323B"/>
    <w:rsid w:val="0059407D"/>
    <w:rsid w:val="005A63D3"/>
    <w:rsid w:val="005C4D5D"/>
    <w:rsid w:val="005E1D0A"/>
    <w:rsid w:val="00606D44"/>
    <w:rsid w:val="0062085E"/>
    <w:rsid w:val="006264B3"/>
    <w:rsid w:val="006563F0"/>
    <w:rsid w:val="006607B9"/>
    <w:rsid w:val="00682D03"/>
    <w:rsid w:val="00686718"/>
    <w:rsid w:val="00696072"/>
    <w:rsid w:val="00697EBB"/>
    <w:rsid w:val="006A062F"/>
    <w:rsid w:val="006A0BD7"/>
    <w:rsid w:val="006B1110"/>
    <w:rsid w:val="006C1C37"/>
    <w:rsid w:val="006D35FB"/>
    <w:rsid w:val="007013CD"/>
    <w:rsid w:val="00704765"/>
    <w:rsid w:val="007152A0"/>
    <w:rsid w:val="007204B4"/>
    <w:rsid w:val="00722DBD"/>
    <w:rsid w:val="0072405D"/>
    <w:rsid w:val="00741E8B"/>
    <w:rsid w:val="00764364"/>
    <w:rsid w:val="007746EF"/>
    <w:rsid w:val="00780846"/>
    <w:rsid w:val="007901E0"/>
    <w:rsid w:val="007A1F27"/>
    <w:rsid w:val="007B00FA"/>
    <w:rsid w:val="007B2AA4"/>
    <w:rsid w:val="007C6F61"/>
    <w:rsid w:val="007D6CFE"/>
    <w:rsid w:val="007E6927"/>
    <w:rsid w:val="007F0D04"/>
    <w:rsid w:val="008007D1"/>
    <w:rsid w:val="00807DB0"/>
    <w:rsid w:val="00841BAE"/>
    <w:rsid w:val="00845D3F"/>
    <w:rsid w:val="00862749"/>
    <w:rsid w:val="00864E59"/>
    <w:rsid w:val="00865A96"/>
    <w:rsid w:val="00874E42"/>
    <w:rsid w:val="008778E3"/>
    <w:rsid w:val="008A4635"/>
    <w:rsid w:val="008A484D"/>
    <w:rsid w:val="008B1259"/>
    <w:rsid w:val="008B5542"/>
    <w:rsid w:val="008C0DFB"/>
    <w:rsid w:val="008C20E7"/>
    <w:rsid w:val="008D16F4"/>
    <w:rsid w:val="008E5901"/>
    <w:rsid w:val="008E5CEC"/>
    <w:rsid w:val="008F1DED"/>
    <w:rsid w:val="008F53F4"/>
    <w:rsid w:val="008F78DC"/>
    <w:rsid w:val="00902795"/>
    <w:rsid w:val="009255BF"/>
    <w:rsid w:val="00933B4E"/>
    <w:rsid w:val="00941452"/>
    <w:rsid w:val="009474BF"/>
    <w:rsid w:val="00981AD1"/>
    <w:rsid w:val="00990239"/>
    <w:rsid w:val="009B148D"/>
    <w:rsid w:val="009D08F7"/>
    <w:rsid w:val="009F1B42"/>
    <w:rsid w:val="009F20B9"/>
    <w:rsid w:val="009F6589"/>
    <w:rsid w:val="00A061E6"/>
    <w:rsid w:val="00A21DBB"/>
    <w:rsid w:val="00A30955"/>
    <w:rsid w:val="00A32B54"/>
    <w:rsid w:val="00A3708C"/>
    <w:rsid w:val="00A41BE4"/>
    <w:rsid w:val="00A43D5C"/>
    <w:rsid w:val="00A46417"/>
    <w:rsid w:val="00A52D78"/>
    <w:rsid w:val="00A572D5"/>
    <w:rsid w:val="00A572FE"/>
    <w:rsid w:val="00A82807"/>
    <w:rsid w:val="00A9052A"/>
    <w:rsid w:val="00A93923"/>
    <w:rsid w:val="00AA2430"/>
    <w:rsid w:val="00AA2B3C"/>
    <w:rsid w:val="00AB4C0E"/>
    <w:rsid w:val="00AC25DF"/>
    <w:rsid w:val="00AD38E0"/>
    <w:rsid w:val="00AD73DC"/>
    <w:rsid w:val="00AE17B3"/>
    <w:rsid w:val="00AE1E50"/>
    <w:rsid w:val="00AE4FEF"/>
    <w:rsid w:val="00AF0A45"/>
    <w:rsid w:val="00B015D9"/>
    <w:rsid w:val="00B12765"/>
    <w:rsid w:val="00B17098"/>
    <w:rsid w:val="00B27194"/>
    <w:rsid w:val="00B42924"/>
    <w:rsid w:val="00B53626"/>
    <w:rsid w:val="00B56692"/>
    <w:rsid w:val="00B6462A"/>
    <w:rsid w:val="00B82C7E"/>
    <w:rsid w:val="00B82F1E"/>
    <w:rsid w:val="00BA36D1"/>
    <w:rsid w:val="00BB5AA2"/>
    <w:rsid w:val="00BD4270"/>
    <w:rsid w:val="00BD7A24"/>
    <w:rsid w:val="00BF667B"/>
    <w:rsid w:val="00C002FA"/>
    <w:rsid w:val="00C052D7"/>
    <w:rsid w:val="00C0751B"/>
    <w:rsid w:val="00C10A78"/>
    <w:rsid w:val="00C2383C"/>
    <w:rsid w:val="00C24095"/>
    <w:rsid w:val="00C34D3F"/>
    <w:rsid w:val="00C56DAD"/>
    <w:rsid w:val="00C62772"/>
    <w:rsid w:val="00C642BD"/>
    <w:rsid w:val="00C737CB"/>
    <w:rsid w:val="00C8721D"/>
    <w:rsid w:val="00C87BDA"/>
    <w:rsid w:val="00C91A39"/>
    <w:rsid w:val="00CA2192"/>
    <w:rsid w:val="00CA6BA1"/>
    <w:rsid w:val="00CD1C36"/>
    <w:rsid w:val="00CD2D5B"/>
    <w:rsid w:val="00CE39B2"/>
    <w:rsid w:val="00CF518E"/>
    <w:rsid w:val="00D1065D"/>
    <w:rsid w:val="00D1077B"/>
    <w:rsid w:val="00D34100"/>
    <w:rsid w:val="00D40D78"/>
    <w:rsid w:val="00D570B2"/>
    <w:rsid w:val="00D66F76"/>
    <w:rsid w:val="00D67ABE"/>
    <w:rsid w:val="00DA1A66"/>
    <w:rsid w:val="00DA5180"/>
    <w:rsid w:val="00DA58ED"/>
    <w:rsid w:val="00DC2609"/>
    <w:rsid w:val="00DD2076"/>
    <w:rsid w:val="00DD2455"/>
    <w:rsid w:val="00DD51DA"/>
    <w:rsid w:val="00DE4AC6"/>
    <w:rsid w:val="00DE4EDB"/>
    <w:rsid w:val="00DF3E6F"/>
    <w:rsid w:val="00DF44D0"/>
    <w:rsid w:val="00E17F30"/>
    <w:rsid w:val="00E30758"/>
    <w:rsid w:val="00E35AC2"/>
    <w:rsid w:val="00E7047E"/>
    <w:rsid w:val="00E742D3"/>
    <w:rsid w:val="00E74408"/>
    <w:rsid w:val="00E915B3"/>
    <w:rsid w:val="00EA5D77"/>
    <w:rsid w:val="00ED073B"/>
    <w:rsid w:val="00ED5C4C"/>
    <w:rsid w:val="00EF4CE8"/>
    <w:rsid w:val="00EF6A33"/>
    <w:rsid w:val="00F065AA"/>
    <w:rsid w:val="00F24EBF"/>
    <w:rsid w:val="00F253A3"/>
    <w:rsid w:val="00F307C0"/>
    <w:rsid w:val="00F36D73"/>
    <w:rsid w:val="00F4024C"/>
    <w:rsid w:val="00F47F59"/>
    <w:rsid w:val="00F649AA"/>
    <w:rsid w:val="00F66B61"/>
    <w:rsid w:val="00F7757F"/>
    <w:rsid w:val="00F801A1"/>
    <w:rsid w:val="00F84078"/>
    <w:rsid w:val="00F876C6"/>
    <w:rsid w:val="00F9162F"/>
    <w:rsid w:val="00FA024F"/>
    <w:rsid w:val="00FA7427"/>
    <w:rsid w:val="00FA7E95"/>
    <w:rsid w:val="00FB48D1"/>
    <w:rsid w:val="00FB5E8E"/>
    <w:rsid w:val="00FC65B9"/>
    <w:rsid w:val="00FE1EA1"/>
    <w:rsid w:val="00FE47F8"/>
    <w:rsid w:val="00FF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AD0E8"/>
  <w15:chartTrackingRefBased/>
  <w15:docId w15:val="{64EC4622-66DE-4EAA-BACC-14D893E6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C7E"/>
    <w:pPr>
      <w:spacing w:after="180"/>
    </w:pPr>
    <w:rPr>
      <w:rFonts w:ascii="Arial" w:hAnsi="Arial" w:cs="Times New Roman"/>
      <w:kern w:val="0"/>
      <w:sz w:val="20"/>
      <w:szCs w:val="20"/>
      <w:lang w:val="en-GB" w:eastAsia="en-US"/>
    </w:rPr>
  </w:style>
  <w:style w:type="paragraph" w:styleId="Titre1">
    <w:name w:val="heading 1"/>
    <w:next w:val="Normal"/>
    <w:link w:val="Titre1Car"/>
    <w:qFormat/>
    <w:rsid w:val="00FA74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cs="Times New Roman"/>
      <w:kern w:val="0"/>
      <w:sz w:val="36"/>
      <w:szCs w:val="20"/>
      <w:lang w:val="en-GB" w:eastAsia="ja-JP"/>
    </w:rPr>
  </w:style>
  <w:style w:type="paragraph" w:styleId="Titre2">
    <w:name w:val="heading 2"/>
    <w:basedOn w:val="Normal"/>
    <w:next w:val="Normal"/>
    <w:link w:val="Titre2Car"/>
    <w:uiPriority w:val="9"/>
    <w:unhideWhenUsed/>
    <w:qFormat/>
    <w:rsid w:val="00E17F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0275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RCoverPageZchn">
    <w:name w:val="CR Cover Page Zchn"/>
    <w:link w:val="CRCoverPage"/>
    <w:locked/>
    <w:rsid w:val="006B1110"/>
    <w:rPr>
      <w:rFonts w:ascii="Arial" w:eastAsia="SimSun" w:hAnsi="Arial" w:cs="Arial"/>
      <w:lang w:eastAsia="en-US"/>
    </w:rPr>
  </w:style>
  <w:style w:type="paragraph" w:customStyle="1" w:styleId="CRCoverPage">
    <w:name w:val="CR Cover Page"/>
    <w:link w:val="CRCoverPageZchn"/>
    <w:rsid w:val="006B1110"/>
    <w:pPr>
      <w:spacing w:after="120"/>
    </w:pPr>
    <w:rPr>
      <w:rFonts w:ascii="Arial" w:eastAsia="SimSun" w:hAnsi="Arial" w:cs="Arial"/>
      <w:lang w:eastAsia="en-US"/>
    </w:rPr>
  </w:style>
  <w:style w:type="character" w:customStyle="1" w:styleId="Titre1Car">
    <w:name w:val="Titre 1 Car"/>
    <w:basedOn w:val="Policepardfaut"/>
    <w:link w:val="Titre1"/>
    <w:rsid w:val="00FA7427"/>
    <w:rPr>
      <w:rFonts w:ascii="Arial" w:eastAsia="Malgun Gothic" w:hAnsi="Arial" w:cs="Times New Roman"/>
      <w:kern w:val="0"/>
      <w:sz w:val="36"/>
      <w:szCs w:val="20"/>
      <w:lang w:val="en-GB" w:eastAsia="ja-JP"/>
    </w:rPr>
  </w:style>
  <w:style w:type="paragraph" w:customStyle="1" w:styleId="B1">
    <w:name w:val="B1"/>
    <w:basedOn w:val="Normal"/>
    <w:link w:val="B1Char"/>
    <w:qFormat/>
    <w:rsid w:val="003C57B5"/>
    <w:pPr>
      <w:overflowPunct w:val="0"/>
      <w:autoSpaceDE w:val="0"/>
      <w:autoSpaceDN w:val="0"/>
      <w:adjustRightInd w:val="0"/>
      <w:ind w:left="568" w:hanging="284"/>
      <w:textAlignment w:val="baseline"/>
    </w:pPr>
    <w:rPr>
      <w:rFonts w:eastAsia="Malgun Gothic"/>
      <w:color w:val="000000"/>
      <w:lang w:eastAsia="ja-JP"/>
    </w:rPr>
  </w:style>
  <w:style w:type="character" w:customStyle="1" w:styleId="B1Char">
    <w:name w:val="B1 Char"/>
    <w:link w:val="B1"/>
    <w:rsid w:val="003C57B5"/>
    <w:rPr>
      <w:rFonts w:ascii="Arial" w:eastAsia="Malgun Gothic" w:hAnsi="Arial" w:cs="Times New Roman"/>
      <w:color w:val="000000"/>
      <w:kern w:val="0"/>
      <w:sz w:val="20"/>
      <w:szCs w:val="20"/>
      <w:lang w:val="en-GB" w:eastAsia="ja-JP"/>
    </w:rPr>
  </w:style>
  <w:style w:type="paragraph" w:styleId="Lgende">
    <w:name w:val="caption"/>
    <w:basedOn w:val="Normal"/>
    <w:next w:val="Normal"/>
    <w:uiPriority w:val="35"/>
    <w:unhideWhenUsed/>
    <w:qFormat/>
    <w:rsid w:val="00320F08"/>
    <w:rPr>
      <w:rFonts w:asciiTheme="majorHAnsi" w:eastAsia="SimHei" w:hAnsiTheme="majorHAnsi" w:cstheme="majorBidi"/>
    </w:rPr>
  </w:style>
  <w:style w:type="paragraph" w:styleId="Paragraphedeliste">
    <w:name w:val="List Paragraph"/>
    <w:basedOn w:val="Normal"/>
    <w:uiPriority w:val="34"/>
    <w:qFormat/>
    <w:rsid w:val="00B42924"/>
    <w:pPr>
      <w:ind w:firstLineChars="200" w:firstLine="420"/>
    </w:pPr>
  </w:style>
  <w:style w:type="paragraph" w:styleId="En-tte">
    <w:name w:val="header"/>
    <w:basedOn w:val="Normal"/>
    <w:link w:val="En-tteCar"/>
    <w:uiPriority w:val="99"/>
    <w:unhideWhenUsed/>
    <w:rsid w:val="001E7AD3"/>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1E7AD3"/>
    <w:rPr>
      <w:rFonts w:ascii="Times New Roman" w:hAnsi="Times New Roman" w:cs="Times New Roman"/>
      <w:kern w:val="0"/>
      <w:sz w:val="18"/>
      <w:szCs w:val="18"/>
      <w:lang w:val="en-GB" w:eastAsia="en-US"/>
    </w:rPr>
  </w:style>
  <w:style w:type="paragraph" w:styleId="Pieddepage">
    <w:name w:val="footer"/>
    <w:basedOn w:val="Normal"/>
    <w:link w:val="PieddepageCar"/>
    <w:uiPriority w:val="99"/>
    <w:unhideWhenUsed/>
    <w:rsid w:val="001E7AD3"/>
    <w:pPr>
      <w:tabs>
        <w:tab w:val="center" w:pos="4153"/>
        <w:tab w:val="right" w:pos="8306"/>
      </w:tabs>
      <w:snapToGrid w:val="0"/>
    </w:pPr>
    <w:rPr>
      <w:sz w:val="18"/>
      <w:szCs w:val="18"/>
    </w:rPr>
  </w:style>
  <w:style w:type="character" w:customStyle="1" w:styleId="PieddepageCar">
    <w:name w:val="Pied de page Car"/>
    <w:basedOn w:val="Policepardfaut"/>
    <w:link w:val="Pieddepage"/>
    <w:uiPriority w:val="99"/>
    <w:rsid w:val="001E7AD3"/>
    <w:rPr>
      <w:rFonts w:ascii="Times New Roman" w:hAnsi="Times New Roman" w:cs="Times New Roman"/>
      <w:kern w:val="0"/>
      <w:sz w:val="18"/>
      <w:szCs w:val="18"/>
      <w:lang w:val="en-GB" w:eastAsia="en-US"/>
    </w:rPr>
  </w:style>
  <w:style w:type="table" w:styleId="Grilledutableau">
    <w:name w:val="Table Grid"/>
    <w:basedOn w:val="TableauNormal"/>
    <w:uiPriority w:val="39"/>
    <w:rsid w:val="00414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rsid w:val="00580718"/>
    <w:pPr>
      <w:framePr w:wrap="notBeside" w:hAnchor="margin" w:yAlign="center"/>
      <w:widowControl w:val="0"/>
      <w:spacing w:line="240" w:lineRule="atLeast"/>
      <w:jc w:val="right"/>
    </w:pPr>
    <w:rPr>
      <w:rFonts w:ascii="Arial" w:eastAsia="SimSun" w:hAnsi="Arial" w:cs="Times New Roman"/>
      <w:b/>
      <w:kern w:val="0"/>
      <w:sz w:val="34"/>
      <w:szCs w:val="20"/>
      <w:lang w:val="en-GB" w:eastAsia="en-US"/>
    </w:rPr>
  </w:style>
  <w:style w:type="paragraph" w:styleId="Textedebulles">
    <w:name w:val="Balloon Text"/>
    <w:basedOn w:val="Normal"/>
    <w:link w:val="TextedebullesCar"/>
    <w:uiPriority w:val="99"/>
    <w:semiHidden/>
    <w:unhideWhenUsed/>
    <w:rsid w:val="005A63D3"/>
    <w:pPr>
      <w:spacing w:after="0"/>
    </w:pPr>
    <w:rPr>
      <w:sz w:val="18"/>
      <w:szCs w:val="18"/>
    </w:rPr>
  </w:style>
  <w:style w:type="character" w:customStyle="1" w:styleId="TextedebullesCar">
    <w:name w:val="Texte de bulles Car"/>
    <w:basedOn w:val="Policepardfaut"/>
    <w:link w:val="Textedebulles"/>
    <w:uiPriority w:val="99"/>
    <w:semiHidden/>
    <w:rsid w:val="005A63D3"/>
    <w:rPr>
      <w:rFonts w:ascii="Times New Roman" w:hAnsi="Times New Roman" w:cs="Times New Roman"/>
      <w:kern w:val="0"/>
      <w:sz w:val="18"/>
      <w:szCs w:val="18"/>
      <w:lang w:val="en-GB" w:eastAsia="en-US"/>
    </w:rPr>
  </w:style>
  <w:style w:type="paragraph" w:customStyle="1" w:styleId="TAH">
    <w:name w:val="TAH"/>
    <w:basedOn w:val="Normal"/>
    <w:link w:val="TAHCar"/>
    <w:rsid w:val="00F876C6"/>
    <w:pPr>
      <w:keepNext/>
      <w:keepLines/>
      <w:spacing w:after="0"/>
      <w:jc w:val="center"/>
    </w:pPr>
    <w:rPr>
      <w:b/>
      <w:sz w:val="18"/>
    </w:rPr>
  </w:style>
  <w:style w:type="character" w:customStyle="1" w:styleId="TAHCar">
    <w:name w:val="TAH Car"/>
    <w:link w:val="TAH"/>
    <w:rsid w:val="00F876C6"/>
    <w:rPr>
      <w:rFonts w:ascii="Arial" w:hAnsi="Arial" w:cs="Times New Roman"/>
      <w:b/>
      <w:kern w:val="0"/>
      <w:sz w:val="18"/>
      <w:szCs w:val="20"/>
      <w:lang w:val="en-GB" w:eastAsia="en-US"/>
    </w:rPr>
  </w:style>
  <w:style w:type="paragraph" w:customStyle="1" w:styleId="TAL">
    <w:name w:val="TAL"/>
    <w:basedOn w:val="Normal"/>
    <w:link w:val="TALChar"/>
    <w:rsid w:val="00F876C6"/>
    <w:pPr>
      <w:keepNext/>
      <w:keepLines/>
      <w:spacing w:after="0"/>
    </w:pPr>
    <w:rPr>
      <w:sz w:val="18"/>
    </w:rPr>
  </w:style>
  <w:style w:type="character" w:customStyle="1" w:styleId="TALChar">
    <w:name w:val="TAL Char"/>
    <w:link w:val="TAL"/>
    <w:rsid w:val="00F876C6"/>
    <w:rPr>
      <w:rFonts w:ascii="Arial" w:hAnsi="Arial" w:cs="Times New Roman"/>
      <w:kern w:val="0"/>
      <w:sz w:val="18"/>
      <w:szCs w:val="20"/>
      <w:lang w:val="en-GB" w:eastAsia="en-US"/>
    </w:rPr>
  </w:style>
  <w:style w:type="character" w:customStyle="1" w:styleId="Titre2Car">
    <w:name w:val="Titre 2 Car"/>
    <w:basedOn w:val="Policepardfaut"/>
    <w:link w:val="Titre2"/>
    <w:uiPriority w:val="9"/>
    <w:rsid w:val="00E17F30"/>
    <w:rPr>
      <w:rFonts w:asciiTheme="majorHAnsi" w:eastAsiaTheme="majorEastAsia" w:hAnsiTheme="majorHAnsi" w:cstheme="majorBidi"/>
      <w:color w:val="2E74B5" w:themeColor="accent1" w:themeShade="BF"/>
      <w:kern w:val="0"/>
      <w:sz w:val="26"/>
      <w:szCs w:val="26"/>
      <w:lang w:val="en-GB" w:eastAsia="en-US"/>
    </w:rPr>
  </w:style>
  <w:style w:type="table" w:customStyle="1" w:styleId="Grilledutableau1">
    <w:name w:val="Grille du tableau1"/>
    <w:basedOn w:val="TableauNormal"/>
    <w:next w:val="Grilledutableau"/>
    <w:uiPriority w:val="39"/>
    <w:rsid w:val="00B56692"/>
    <w:rPr>
      <w:rFonts w:eastAsia="Calibri"/>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02752B"/>
    <w:rPr>
      <w:rFonts w:asciiTheme="majorHAnsi" w:eastAsiaTheme="majorEastAsia" w:hAnsiTheme="majorHAnsi" w:cstheme="majorBidi"/>
      <w:i/>
      <w:iCs/>
      <w:color w:val="2E74B5" w:themeColor="accent1" w:themeShade="BF"/>
      <w:kern w:val="0"/>
      <w:sz w:val="20"/>
      <w:szCs w:val="20"/>
      <w:lang w:val="en-GB" w:eastAsia="en-US"/>
    </w:rPr>
  </w:style>
  <w:style w:type="paragraph" w:customStyle="1" w:styleId="RecommandationTrait">
    <w:name w:val="RecommandationTrait"/>
    <w:basedOn w:val="Normal"/>
    <w:rsid w:val="003C57B5"/>
    <w:pPr>
      <w:numPr>
        <w:ilvl w:val="1"/>
        <w:numId w:val="17"/>
      </w:numPr>
    </w:pPr>
  </w:style>
  <w:style w:type="paragraph" w:customStyle="1" w:styleId="B2">
    <w:name w:val="B2"/>
    <w:basedOn w:val="RecommandationTrait"/>
    <w:qFormat/>
    <w:rsid w:val="003C57B5"/>
    <w:rPr>
      <w:rFonts w:cs="Arial"/>
    </w:rPr>
  </w:style>
  <w:style w:type="character" w:customStyle="1" w:styleId="highlight">
    <w:name w:val="highlight"/>
    <w:basedOn w:val="Policepardfaut"/>
    <w:rsid w:val="00B82C7E"/>
  </w:style>
  <w:style w:type="character" w:styleId="Marquedecommentaire">
    <w:name w:val="annotation reference"/>
    <w:basedOn w:val="Policepardfaut"/>
    <w:uiPriority w:val="99"/>
    <w:semiHidden/>
    <w:unhideWhenUsed/>
    <w:rsid w:val="00864E59"/>
    <w:rPr>
      <w:sz w:val="16"/>
      <w:szCs w:val="16"/>
    </w:rPr>
  </w:style>
  <w:style w:type="paragraph" w:styleId="Commentaire">
    <w:name w:val="annotation text"/>
    <w:basedOn w:val="Normal"/>
    <w:link w:val="CommentaireCar"/>
    <w:uiPriority w:val="99"/>
    <w:semiHidden/>
    <w:unhideWhenUsed/>
    <w:rsid w:val="00864E59"/>
  </w:style>
  <w:style w:type="character" w:customStyle="1" w:styleId="CommentaireCar">
    <w:name w:val="Commentaire Car"/>
    <w:basedOn w:val="Policepardfaut"/>
    <w:link w:val="Commentaire"/>
    <w:uiPriority w:val="99"/>
    <w:semiHidden/>
    <w:rsid w:val="00864E59"/>
    <w:rPr>
      <w:rFonts w:ascii="Arial" w:hAnsi="Arial" w:cs="Times New Roman"/>
      <w:kern w:val="0"/>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864E59"/>
    <w:rPr>
      <w:b/>
      <w:bCs/>
    </w:rPr>
  </w:style>
  <w:style w:type="character" w:customStyle="1" w:styleId="ObjetducommentaireCar">
    <w:name w:val="Objet du commentaire Car"/>
    <w:basedOn w:val="CommentaireCar"/>
    <w:link w:val="Objetducommentaire"/>
    <w:uiPriority w:val="99"/>
    <w:semiHidden/>
    <w:rsid w:val="00864E59"/>
    <w:rPr>
      <w:rFonts w:ascii="Arial" w:hAnsi="Arial"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76417">
      <w:bodyDiv w:val="1"/>
      <w:marLeft w:val="0"/>
      <w:marRight w:val="0"/>
      <w:marTop w:val="0"/>
      <w:marBottom w:val="0"/>
      <w:divBdr>
        <w:top w:val="none" w:sz="0" w:space="0" w:color="auto"/>
        <w:left w:val="none" w:sz="0" w:space="0" w:color="auto"/>
        <w:bottom w:val="none" w:sz="0" w:space="0" w:color="auto"/>
        <w:right w:val="none" w:sz="0" w:space="0" w:color="auto"/>
      </w:divBdr>
    </w:div>
    <w:div w:id="1156652645">
      <w:bodyDiv w:val="1"/>
      <w:marLeft w:val="0"/>
      <w:marRight w:val="0"/>
      <w:marTop w:val="0"/>
      <w:marBottom w:val="0"/>
      <w:divBdr>
        <w:top w:val="none" w:sz="0" w:space="0" w:color="auto"/>
        <w:left w:val="none" w:sz="0" w:space="0" w:color="auto"/>
        <w:bottom w:val="none" w:sz="0" w:space="0" w:color="auto"/>
        <w:right w:val="none" w:sz="0" w:space="0" w:color="auto"/>
      </w:divBdr>
    </w:div>
    <w:div w:id="1207328443">
      <w:bodyDiv w:val="1"/>
      <w:marLeft w:val="0"/>
      <w:marRight w:val="0"/>
      <w:marTop w:val="0"/>
      <w:marBottom w:val="0"/>
      <w:divBdr>
        <w:top w:val="none" w:sz="0" w:space="0" w:color="auto"/>
        <w:left w:val="none" w:sz="0" w:space="0" w:color="auto"/>
        <w:bottom w:val="none" w:sz="0" w:space="0" w:color="auto"/>
        <w:right w:val="none" w:sz="0" w:space="0" w:color="auto"/>
      </w:divBdr>
    </w:div>
    <w:div w:id="1401950055">
      <w:bodyDiv w:val="1"/>
      <w:marLeft w:val="0"/>
      <w:marRight w:val="0"/>
      <w:marTop w:val="0"/>
      <w:marBottom w:val="0"/>
      <w:divBdr>
        <w:top w:val="none" w:sz="0" w:space="0" w:color="auto"/>
        <w:left w:val="none" w:sz="0" w:space="0" w:color="auto"/>
        <w:bottom w:val="none" w:sz="0" w:space="0" w:color="auto"/>
        <w:right w:val="none" w:sz="0" w:space="0" w:color="auto"/>
      </w:divBdr>
    </w:div>
    <w:div w:id="1489201951">
      <w:bodyDiv w:val="1"/>
      <w:marLeft w:val="0"/>
      <w:marRight w:val="0"/>
      <w:marTop w:val="0"/>
      <w:marBottom w:val="0"/>
      <w:divBdr>
        <w:top w:val="none" w:sz="0" w:space="0" w:color="auto"/>
        <w:left w:val="none" w:sz="0" w:space="0" w:color="auto"/>
        <w:bottom w:val="none" w:sz="0" w:space="0" w:color="auto"/>
        <w:right w:val="none" w:sz="0" w:space="0" w:color="auto"/>
      </w:divBdr>
    </w:div>
    <w:div w:id="1493763573">
      <w:bodyDiv w:val="1"/>
      <w:marLeft w:val="0"/>
      <w:marRight w:val="0"/>
      <w:marTop w:val="0"/>
      <w:marBottom w:val="0"/>
      <w:divBdr>
        <w:top w:val="none" w:sz="0" w:space="0" w:color="auto"/>
        <w:left w:val="none" w:sz="0" w:space="0" w:color="auto"/>
        <w:bottom w:val="none" w:sz="0" w:space="0" w:color="auto"/>
        <w:right w:val="none" w:sz="0" w:space="0" w:color="auto"/>
      </w:divBdr>
    </w:div>
    <w:div w:id="1610890139">
      <w:bodyDiv w:val="1"/>
      <w:marLeft w:val="0"/>
      <w:marRight w:val="0"/>
      <w:marTop w:val="0"/>
      <w:marBottom w:val="0"/>
      <w:divBdr>
        <w:top w:val="none" w:sz="0" w:space="0" w:color="auto"/>
        <w:left w:val="none" w:sz="0" w:space="0" w:color="auto"/>
        <w:bottom w:val="none" w:sz="0" w:space="0" w:color="auto"/>
        <w:right w:val="none" w:sz="0" w:space="0" w:color="auto"/>
      </w:divBdr>
    </w:div>
    <w:div w:id="1724404485">
      <w:bodyDiv w:val="1"/>
      <w:marLeft w:val="0"/>
      <w:marRight w:val="0"/>
      <w:marTop w:val="0"/>
      <w:marBottom w:val="0"/>
      <w:divBdr>
        <w:top w:val="none" w:sz="0" w:space="0" w:color="auto"/>
        <w:left w:val="none" w:sz="0" w:space="0" w:color="auto"/>
        <w:bottom w:val="none" w:sz="0" w:space="0" w:color="auto"/>
        <w:right w:val="none" w:sz="0" w:space="0" w:color="auto"/>
      </w:divBdr>
    </w:div>
    <w:div w:id="1744065364">
      <w:bodyDiv w:val="1"/>
      <w:marLeft w:val="0"/>
      <w:marRight w:val="0"/>
      <w:marTop w:val="0"/>
      <w:marBottom w:val="0"/>
      <w:divBdr>
        <w:top w:val="none" w:sz="0" w:space="0" w:color="auto"/>
        <w:left w:val="none" w:sz="0" w:space="0" w:color="auto"/>
        <w:bottom w:val="none" w:sz="0" w:space="0" w:color="auto"/>
        <w:right w:val="none" w:sz="0" w:space="0" w:color="auto"/>
      </w:divBdr>
    </w:div>
    <w:div w:id="2090539068">
      <w:bodyDiv w:val="1"/>
      <w:marLeft w:val="0"/>
      <w:marRight w:val="0"/>
      <w:marTop w:val="0"/>
      <w:marBottom w:val="0"/>
      <w:divBdr>
        <w:top w:val="none" w:sz="0" w:space="0" w:color="auto"/>
        <w:left w:val="none" w:sz="0" w:space="0" w:color="auto"/>
        <w:bottom w:val="none" w:sz="0" w:space="0" w:color="auto"/>
        <w:right w:val="none" w:sz="0" w:space="0" w:color="auto"/>
      </w:divBdr>
    </w:div>
    <w:div w:id="21082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6941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Zhuoyi-r1</dc:creator>
  <cp:keywords/>
  <dc:description/>
  <cp:lastModifiedBy>Antoine G Mouquet (Orange)</cp:lastModifiedBy>
  <cp:revision>2</cp:revision>
  <dcterms:created xsi:type="dcterms:W3CDTF">2021-08-06T23:45:00Z</dcterms:created>
  <dcterms:modified xsi:type="dcterms:W3CDTF">2021-08-06T23:45:00Z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(2)I1h39zKTGVtyS6L0aM1EyJ3n9i5y8kfGCX6LB87LlcGPOPYal9BfrtBybvCb7V5+eJnhVzgN
mIeQGwBR8F+pwsu1TZJHc1eQeUkIryvt8fA5pcTMDKYOZ7ElASMyOIAGkKE1PowypwGlc+mu
TT4mu3P5hcBQgmplrLgyw1rODIz94nBXR3dHqcaJioCCrWwhpFsVPWpot9+RwHs+ztIdWafD
pPVXio6fMvI4pGLQJg</vt:lpwstr>
  </property>
  <property fmtid="{D5CDD505-2E9C-101B-9397-08002B2CF9AE}" pid="3" name="_2015_ms_pID_7253431">
    <vt:lpwstr>Xrrw6/SGwKWM6pBEmXzbCwHTtJ8b/Vezwu4D5whtFXmnrjKXoApaOu
8mwYF6+qYXC1o58bChOPTVV9nm0EmzPhK2hmEMluL3SApXcY6DVawPb376xPgVxXISoKo5Go
1DKSUPesqsCtk1AH003PJALd9DaNZY0JI2E8jl/l2j8lHsCiUYj74N6+Ni0s7mBOUipwTQso
a8aJ4PmGlCQqi8ac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1612400544</vt:lpwstr>
  </property>
</Properties>
</file>