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8B07" w14:textId="647F35F9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4D1867">
        <w:rPr>
          <w:b/>
          <w:noProof/>
          <w:sz w:val="24"/>
        </w:rPr>
        <w:t>536</w:t>
      </w:r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5G.</w:t>
      </w:r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>Further LS relating to “Response LS on reporting all Cell IDs in 5G”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7E353716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r w:rsidR="001C7DF5" w:rsidRPr="001C7DF5">
        <w:rPr>
          <w:bCs/>
        </w:rPr>
        <w:t>adrian (dot) neal (at) vodafone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463CC4F9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a large number of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were expressed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 where near real-time location is required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r w:rsidR="00252F47">
        <w:rPr>
          <w:rFonts w:ascii="Arial" w:hAnsi="Arial" w:cs="Arial"/>
          <w:iCs/>
        </w:rPr>
        <w:t xml:space="preserve">can be used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>While this solution may be activated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>, this feature may not enable reporting all secondary cell changes and in the worst case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S2-1904832 and S2-1904834 from SA2#132 in Xi’An.</w:t>
      </w:r>
    </w:p>
    <w:p w14:paraId="7E841633" w14:textId="6BFD7259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as a way to ensure non-detectability of the LI target is likely to result in an unacceptable additional signalling load on the network. </w:t>
      </w:r>
      <w:r w:rsidR="00252F47">
        <w:rPr>
          <w:rFonts w:ascii="Arial" w:hAnsi="Arial" w:cs="Arial"/>
          <w:iCs/>
        </w:rPr>
        <w:t xml:space="preserve">So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bookmarkStart w:id="0" w:name="_GoBack"/>
      <w:bookmarkEnd w:id="0"/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2F47">
        <w:rPr>
          <w:rFonts w:ascii="Arial" w:hAnsi="Arial" w:cs="Arial"/>
          <w:iCs/>
        </w:rPr>
        <w:t xml:space="preserve"> (e.g. 2% of all UEs)</w:t>
      </w:r>
      <w:r w:rsidR="00695CBE">
        <w:rPr>
          <w:rFonts w:ascii="Arial" w:hAnsi="Arial" w:cs="Arial"/>
          <w:iCs/>
        </w:rPr>
        <w:t>.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1806492D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SA3-LI is</w:t>
      </w:r>
      <w:r w:rsidR="00934D27">
        <w:rPr>
          <w:rFonts w:ascii="Arial" w:hAnsi="Arial" w:cs="Arial"/>
          <w:iCs/>
        </w:rPr>
        <w:t xml:space="preserve"> asked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location reporting requirements do not unduly impact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F800C7">
        <w:rPr>
          <w:rFonts w:ascii="Arial" w:hAnsi="Arial" w:cs="Arial"/>
          <w:iCs/>
        </w:rPr>
        <w:t>SA plenary consider that both of the solutions (1) and (2) as described above do not unduly impact network signalling load.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can be met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  <w:t>Sitges,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2E050" w14:textId="77777777" w:rsidR="00715919" w:rsidRDefault="00715919">
      <w:r>
        <w:separator/>
      </w:r>
    </w:p>
  </w:endnote>
  <w:endnote w:type="continuationSeparator" w:id="0">
    <w:p w14:paraId="722BA4EC" w14:textId="77777777" w:rsidR="00715919" w:rsidRDefault="0071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7FAA" w14:textId="77777777" w:rsidR="00715919" w:rsidRDefault="00715919">
      <w:r>
        <w:separator/>
      </w:r>
    </w:p>
  </w:footnote>
  <w:footnote w:type="continuationSeparator" w:id="0">
    <w:p w14:paraId="752B6B89" w14:textId="77777777" w:rsidR="00715919" w:rsidRDefault="00715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D02"/>
    <w:rsid w:val="00061538"/>
    <w:rsid w:val="000A0A42"/>
    <w:rsid w:val="000F1720"/>
    <w:rsid w:val="000F30CA"/>
    <w:rsid w:val="000F4E43"/>
    <w:rsid w:val="001259B1"/>
    <w:rsid w:val="001C7DF5"/>
    <w:rsid w:val="0020654C"/>
    <w:rsid w:val="00252F47"/>
    <w:rsid w:val="00287CE6"/>
    <w:rsid w:val="003234E6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652783"/>
    <w:rsid w:val="00695CBE"/>
    <w:rsid w:val="0070102E"/>
    <w:rsid w:val="00702689"/>
    <w:rsid w:val="007116E4"/>
    <w:rsid w:val="00715919"/>
    <w:rsid w:val="00726FC3"/>
    <w:rsid w:val="0077485D"/>
    <w:rsid w:val="007A4FFC"/>
    <w:rsid w:val="008C7468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C70D3C"/>
    <w:rsid w:val="00CA2FB0"/>
    <w:rsid w:val="00CC271F"/>
    <w:rsid w:val="00D70FB9"/>
    <w:rsid w:val="00D83659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2019-06-06T17:30:00Z</dcterms:created>
  <dcterms:modified xsi:type="dcterms:W3CDTF">2019-06-06T17:30:00Z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