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715F3" w14:textId="77777777" w:rsidR="00E448F9" w:rsidRDefault="00E448F9" w:rsidP="00E448F9">
      <w:pPr>
        <w:tabs>
          <w:tab w:val="right" w:pos="9638"/>
        </w:tabs>
        <w:rPr>
          <w:rFonts w:ascii="Arial" w:hAnsi="Arial" w:cs="Arial"/>
          <w:b/>
        </w:rPr>
      </w:pPr>
      <w:r>
        <w:rPr>
          <w:rFonts w:ascii="Arial" w:hAnsi="Arial" w:cs="Arial"/>
          <w:b/>
        </w:rPr>
        <w:t>TSG SA Meeting #SP-110</w:t>
      </w:r>
      <w:r>
        <w:rPr>
          <w:rFonts w:ascii="Arial" w:hAnsi="Arial" w:cs="Arial"/>
          <w:b/>
        </w:rPr>
        <w:tab/>
        <w:t>SP-251588</w:t>
      </w:r>
    </w:p>
    <w:p w14:paraId="599D34C8" w14:textId="77777777" w:rsidR="00E448F9" w:rsidRDefault="00E448F9" w:rsidP="00E448F9">
      <w:pPr>
        <w:pBdr>
          <w:bottom w:val="single" w:sz="6" w:space="0" w:color="auto"/>
        </w:pBdr>
        <w:tabs>
          <w:tab w:val="right" w:pos="9638"/>
        </w:tabs>
        <w:rPr>
          <w:rFonts w:ascii="Arial" w:hAnsi="Arial" w:cs="Arial"/>
          <w:b/>
        </w:rPr>
      </w:pPr>
      <w:r>
        <w:rPr>
          <w:rFonts w:ascii="Arial" w:hAnsi="Arial" w:cs="Arial"/>
          <w:b/>
        </w:rPr>
        <w:t>09 - 12 December, 2025, Baltimore, USA</w:t>
      </w:r>
    </w:p>
    <w:tbl>
      <w:tblPr>
        <w:tblW w:w="9639" w:type="dxa"/>
        <w:tblLayout w:type="fixed"/>
        <w:tblCellMar>
          <w:left w:w="57" w:type="dxa"/>
          <w:right w:w="57" w:type="dxa"/>
        </w:tblCellMar>
        <w:tblLook w:val="0000" w:firstRow="0" w:lastRow="0" w:firstColumn="0" w:lastColumn="0" w:noHBand="0" w:noVBand="0"/>
      </w:tblPr>
      <w:tblGrid>
        <w:gridCol w:w="1105"/>
        <w:gridCol w:w="388"/>
        <w:gridCol w:w="54"/>
        <w:gridCol w:w="508"/>
        <w:gridCol w:w="2841"/>
        <w:gridCol w:w="561"/>
        <w:gridCol w:w="3898"/>
        <w:gridCol w:w="284"/>
      </w:tblGrid>
      <w:tr w:rsidR="00BB7AA8" w:rsidRPr="00BB7AA8" w14:paraId="3205A7F0" w14:textId="77777777" w:rsidTr="00E448F9">
        <w:trPr>
          <w:cantSplit/>
        </w:trPr>
        <w:tc>
          <w:tcPr>
            <w:tcW w:w="1105" w:type="dxa"/>
            <w:vMerge w:val="restart"/>
            <w:vAlign w:val="center"/>
          </w:tcPr>
          <w:p w14:paraId="19FF354B" w14:textId="77777777" w:rsidR="00BB7AA8" w:rsidRPr="00BB7AA8" w:rsidRDefault="00BB7AA8" w:rsidP="00BB7AA8">
            <w:pPr>
              <w:spacing w:before="0"/>
              <w:jc w:val="center"/>
              <w:rPr>
                <w:sz w:val="20"/>
                <w:szCs w:val="20"/>
              </w:rPr>
            </w:pPr>
            <w:bookmarkStart w:id="0" w:name="dnum" w:colFirst="2" w:colLast="2"/>
            <w:bookmarkStart w:id="1" w:name="dtableau"/>
            <w:r w:rsidRPr="00BB7AA8">
              <w:rPr>
                <w:noProof/>
              </w:rPr>
              <w:drawing>
                <wp:inline distT="0" distB="0" distL="0" distR="0" wp14:anchorId="141077C4" wp14:editId="56CF68A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5"/>
            <w:vMerge w:val="restart"/>
          </w:tcPr>
          <w:p w14:paraId="6EAC3EFB" w14:textId="77777777" w:rsidR="00BB7AA8" w:rsidRPr="00BB7AA8" w:rsidRDefault="00BB7AA8" w:rsidP="00BB7AA8">
            <w:pPr>
              <w:rPr>
                <w:sz w:val="16"/>
                <w:szCs w:val="16"/>
              </w:rPr>
            </w:pPr>
            <w:r w:rsidRPr="00BB7AA8">
              <w:rPr>
                <w:sz w:val="16"/>
                <w:szCs w:val="16"/>
              </w:rPr>
              <w:t>INTERNATIONAL TELECOMMUNICATION UNION</w:t>
            </w:r>
          </w:p>
          <w:p w14:paraId="60F920FD" w14:textId="77777777" w:rsidR="00BB7AA8" w:rsidRPr="00BB7AA8" w:rsidRDefault="00BB7AA8" w:rsidP="00BB7AA8">
            <w:pPr>
              <w:rPr>
                <w:b/>
                <w:bCs/>
                <w:sz w:val="26"/>
                <w:szCs w:val="26"/>
              </w:rPr>
            </w:pPr>
            <w:r w:rsidRPr="00BB7AA8">
              <w:rPr>
                <w:b/>
                <w:bCs/>
                <w:sz w:val="26"/>
                <w:szCs w:val="26"/>
              </w:rPr>
              <w:t>TELECOMMUNICATION</w:t>
            </w:r>
            <w:r w:rsidRPr="00BB7AA8">
              <w:rPr>
                <w:b/>
                <w:bCs/>
                <w:sz w:val="26"/>
                <w:szCs w:val="26"/>
              </w:rPr>
              <w:br/>
              <w:t>STANDARDIZATION SECTOR</w:t>
            </w:r>
          </w:p>
          <w:p w14:paraId="507362D9" w14:textId="173A653C" w:rsidR="00BB7AA8" w:rsidRPr="00BB7AA8" w:rsidRDefault="00BB7AA8" w:rsidP="00BB7AA8">
            <w:pPr>
              <w:rPr>
                <w:sz w:val="20"/>
                <w:szCs w:val="20"/>
              </w:rPr>
            </w:pPr>
            <w:r w:rsidRPr="00BB7AA8">
              <w:rPr>
                <w:sz w:val="20"/>
                <w:szCs w:val="20"/>
              </w:rPr>
              <w:t xml:space="preserve">STUDY PERIOD </w:t>
            </w:r>
            <w:r>
              <w:rPr>
                <w:sz w:val="20"/>
              </w:rPr>
              <w:t>2025-2028</w:t>
            </w:r>
          </w:p>
        </w:tc>
        <w:tc>
          <w:tcPr>
            <w:tcW w:w="4182" w:type="dxa"/>
            <w:gridSpan w:val="2"/>
            <w:vAlign w:val="center"/>
          </w:tcPr>
          <w:p w14:paraId="75A40FF9" w14:textId="5DA6E8F3" w:rsidR="00BB7AA8" w:rsidRPr="00BB7AA8" w:rsidRDefault="00BB7AA8" w:rsidP="00BB7AA8">
            <w:pPr>
              <w:pStyle w:val="Docnumber"/>
            </w:pPr>
            <w:r>
              <w:t>SG15-LS53</w:t>
            </w:r>
          </w:p>
        </w:tc>
      </w:tr>
      <w:tr w:rsidR="00BB7AA8" w:rsidRPr="00BB7AA8" w14:paraId="59371458" w14:textId="77777777" w:rsidTr="00E448F9">
        <w:trPr>
          <w:cantSplit/>
        </w:trPr>
        <w:tc>
          <w:tcPr>
            <w:tcW w:w="1105" w:type="dxa"/>
            <w:vMerge/>
          </w:tcPr>
          <w:p w14:paraId="1E086BFF" w14:textId="77777777" w:rsidR="00BB7AA8" w:rsidRPr="00BB7AA8" w:rsidRDefault="00BB7AA8" w:rsidP="00BB7AA8">
            <w:pPr>
              <w:rPr>
                <w:smallCaps/>
                <w:sz w:val="20"/>
              </w:rPr>
            </w:pPr>
            <w:bookmarkStart w:id="2" w:name="dsg" w:colFirst="2" w:colLast="2"/>
            <w:bookmarkEnd w:id="0"/>
          </w:p>
        </w:tc>
        <w:tc>
          <w:tcPr>
            <w:tcW w:w="4352" w:type="dxa"/>
            <w:gridSpan w:val="5"/>
            <w:vMerge/>
          </w:tcPr>
          <w:p w14:paraId="4423C5E4" w14:textId="77777777" w:rsidR="00BB7AA8" w:rsidRPr="00BB7AA8" w:rsidRDefault="00BB7AA8" w:rsidP="00BB7AA8">
            <w:pPr>
              <w:rPr>
                <w:smallCaps/>
                <w:sz w:val="20"/>
              </w:rPr>
            </w:pPr>
          </w:p>
        </w:tc>
        <w:tc>
          <w:tcPr>
            <w:tcW w:w="4182" w:type="dxa"/>
            <w:gridSpan w:val="2"/>
          </w:tcPr>
          <w:p w14:paraId="2B6B94C5" w14:textId="10DBDC81" w:rsidR="00BB7AA8" w:rsidRPr="00BB7AA8" w:rsidRDefault="00BB7AA8" w:rsidP="00BB7AA8">
            <w:pPr>
              <w:jc w:val="right"/>
              <w:rPr>
                <w:b/>
                <w:bCs/>
                <w:smallCaps/>
                <w:sz w:val="28"/>
                <w:szCs w:val="28"/>
              </w:rPr>
            </w:pPr>
            <w:r>
              <w:rPr>
                <w:b/>
                <w:bCs/>
                <w:smallCaps/>
                <w:sz w:val="28"/>
                <w:szCs w:val="28"/>
              </w:rPr>
              <w:t>STUDY GROUP 15</w:t>
            </w:r>
          </w:p>
        </w:tc>
      </w:tr>
      <w:bookmarkEnd w:id="2"/>
      <w:tr w:rsidR="00BB7AA8" w:rsidRPr="00BB7AA8" w14:paraId="524DF583" w14:textId="77777777" w:rsidTr="00E448F9">
        <w:trPr>
          <w:cantSplit/>
        </w:trPr>
        <w:tc>
          <w:tcPr>
            <w:tcW w:w="1105" w:type="dxa"/>
            <w:vMerge/>
            <w:tcBorders>
              <w:bottom w:val="single" w:sz="12" w:space="0" w:color="auto"/>
            </w:tcBorders>
          </w:tcPr>
          <w:p w14:paraId="31145873" w14:textId="77777777" w:rsidR="00BB7AA8" w:rsidRPr="00BB7AA8" w:rsidRDefault="00BB7AA8" w:rsidP="00BB7AA8">
            <w:pPr>
              <w:rPr>
                <w:b/>
                <w:bCs/>
                <w:sz w:val="26"/>
              </w:rPr>
            </w:pPr>
          </w:p>
        </w:tc>
        <w:tc>
          <w:tcPr>
            <w:tcW w:w="4352" w:type="dxa"/>
            <w:gridSpan w:val="5"/>
            <w:vMerge/>
            <w:tcBorders>
              <w:bottom w:val="single" w:sz="12" w:space="0" w:color="auto"/>
            </w:tcBorders>
          </w:tcPr>
          <w:p w14:paraId="7491FD81" w14:textId="77777777" w:rsidR="00BB7AA8" w:rsidRPr="00BB7AA8" w:rsidRDefault="00BB7AA8" w:rsidP="00BB7AA8">
            <w:pPr>
              <w:rPr>
                <w:b/>
                <w:bCs/>
                <w:sz w:val="26"/>
              </w:rPr>
            </w:pPr>
          </w:p>
        </w:tc>
        <w:tc>
          <w:tcPr>
            <w:tcW w:w="4182" w:type="dxa"/>
            <w:gridSpan w:val="2"/>
            <w:tcBorders>
              <w:bottom w:val="single" w:sz="12" w:space="0" w:color="auto"/>
            </w:tcBorders>
            <w:vAlign w:val="center"/>
          </w:tcPr>
          <w:p w14:paraId="1FB733E1" w14:textId="77777777" w:rsidR="00BB7AA8" w:rsidRPr="00BB7AA8" w:rsidRDefault="00BB7AA8" w:rsidP="00BB7AA8">
            <w:pPr>
              <w:jc w:val="right"/>
              <w:rPr>
                <w:b/>
                <w:bCs/>
                <w:sz w:val="28"/>
                <w:szCs w:val="28"/>
              </w:rPr>
            </w:pPr>
            <w:r w:rsidRPr="00BB7AA8">
              <w:rPr>
                <w:b/>
                <w:bCs/>
                <w:sz w:val="28"/>
                <w:szCs w:val="28"/>
              </w:rPr>
              <w:t>Original: English</w:t>
            </w:r>
          </w:p>
        </w:tc>
      </w:tr>
      <w:tr w:rsidR="00BB7AA8" w:rsidRPr="00BB7AA8" w14:paraId="5C7032D6" w14:textId="77777777" w:rsidTr="00E448F9">
        <w:trPr>
          <w:cantSplit/>
        </w:trPr>
        <w:tc>
          <w:tcPr>
            <w:tcW w:w="1547" w:type="dxa"/>
            <w:gridSpan w:val="3"/>
          </w:tcPr>
          <w:p w14:paraId="13D073F7" w14:textId="77777777" w:rsidR="00BB7AA8" w:rsidRPr="00BB7AA8" w:rsidRDefault="00BB7AA8" w:rsidP="00BB7AA8">
            <w:pPr>
              <w:rPr>
                <w:b/>
                <w:bCs/>
              </w:rPr>
            </w:pPr>
            <w:bookmarkStart w:id="3" w:name="dbluepink" w:colFirst="1" w:colLast="1"/>
            <w:bookmarkStart w:id="4" w:name="dmeeting" w:colFirst="2" w:colLast="2"/>
            <w:r w:rsidRPr="00BB7AA8">
              <w:rPr>
                <w:b/>
                <w:bCs/>
              </w:rPr>
              <w:t>Question(s):</w:t>
            </w:r>
          </w:p>
        </w:tc>
        <w:tc>
          <w:tcPr>
            <w:tcW w:w="3910" w:type="dxa"/>
            <w:gridSpan w:val="3"/>
          </w:tcPr>
          <w:p w14:paraId="3EFD883F" w14:textId="72C31871" w:rsidR="00BB7AA8" w:rsidRPr="00BB7AA8" w:rsidRDefault="00BB7AA8" w:rsidP="00BB7AA8">
            <w:r w:rsidRPr="00BB7AA8">
              <w:t>12</w:t>
            </w:r>
            <w:r>
              <w:t>/15</w:t>
            </w:r>
          </w:p>
        </w:tc>
        <w:tc>
          <w:tcPr>
            <w:tcW w:w="4182" w:type="dxa"/>
            <w:gridSpan w:val="2"/>
          </w:tcPr>
          <w:p w14:paraId="1F60B799" w14:textId="2668C0CE" w:rsidR="00BB7AA8" w:rsidRPr="00BB7AA8" w:rsidRDefault="00BB7AA8" w:rsidP="00BB7AA8">
            <w:pPr>
              <w:jc w:val="right"/>
            </w:pPr>
            <w:r w:rsidRPr="00BB7AA8">
              <w:t>Geneva, 13-24 October 2025</w:t>
            </w:r>
          </w:p>
        </w:tc>
      </w:tr>
      <w:tr w:rsidR="00BB7AA8" w:rsidRPr="00BB7AA8" w14:paraId="5C606669" w14:textId="77777777" w:rsidTr="00E448F9">
        <w:trPr>
          <w:cantSplit/>
        </w:trPr>
        <w:tc>
          <w:tcPr>
            <w:tcW w:w="9639" w:type="dxa"/>
            <w:gridSpan w:val="8"/>
          </w:tcPr>
          <w:p w14:paraId="575B15CE" w14:textId="3835D8AD" w:rsidR="00BB7AA8" w:rsidRPr="00BB7AA8" w:rsidRDefault="00BB7AA8" w:rsidP="00BB7AA8">
            <w:pPr>
              <w:jc w:val="center"/>
              <w:rPr>
                <w:b/>
                <w:bCs/>
              </w:rPr>
            </w:pPr>
            <w:bookmarkStart w:id="5" w:name="ddoctype"/>
            <w:bookmarkEnd w:id="3"/>
            <w:bookmarkEnd w:id="4"/>
            <w:r w:rsidRPr="00BB7AA8">
              <w:rPr>
                <w:b/>
                <w:bCs/>
              </w:rPr>
              <w:t>LS</w:t>
            </w:r>
            <w:r w:rsidR="00A050B3">
              <w:rPr>
                <w:b/>
                <w:bCs/>
              </w:rPr>
              <w:br/>
              <w:t>(Ref.: TD154/Plen-Annex G)</w:t>
            </w:r>
          </w:p>
        </w:tc>
      </w:tr>
      <w:tr w:rsidR="00BB7AA8" w:rsidRPr="00BB7AA8" w14:paraId="20626687" w14:textId="77777777" w:rsidTr="00E448F9">
        <w:trPr>
          <w:cantSplit/>
        </w:trPr>
        <w:tc>
          <w:tcPr>
            <w:tcW w:w="1547" w:type="dxa"/>
            <w:gridSpan w:val="3"/>
          </w:tcPr>
          <w:p w14:paraId="7945BD88" w14:textId="77777777" w:rsidR="00BB7AA8" w:rsidRPr="00BB7AA8" w:rsidRDefault="00BB7AA8" w:rsidP="00BB7AA8">
            <w:pPr>
              <w:rPr>
                <w:b/>
                <w:bCs/>
              </w:rPr>
            </w:pPr>
            <w:bookmarkStart w:id="6" w:name="dsource" w:colFirst="1" w:colLast="1"/>
            <w:bookmarkEnd w:id="5"/>
            <w:r w:rsidRPr="00BB7AA8">
              <w:rPr>
                <w:b/>
                <w:bCs/>
              </w:rPr>
              <w:t>Source:</w:t>
            </w:r>
          </w:p>
        </w:tc>
        <w:tc>
          <w:tcPr>
            <w:tcW w:w="8092" w:type="dxa"/>
            <w:gridSpan w:val="5"/>
          </w:tcPr>
          <w:p w14:paraId="0385001F" w14:textId="7ED07368" w:rsidR="00BB7AA8" w:rsidRPr="00BB7AA8" w:rsidRDefault="00BB7AA8" w:rsidP="00BB7AA8">
            <w:r w:rsidRPr="00BB7AA8">
              <w:t>ITU-T S</w:t>
            </w:r>
            <w:r>
              <w:t xml:space="preserve">tudy </w:t>
            </w:r>
            <w:r w:rsidRPr="00BB7AA8">
              <w:t>G</w:t>
            </w:r>
            <w:r>
              <w:t xml:space="preserve">roup </w:t>
            </w:r>
            <w:r w:rsidRPr="00BB7AA8">
              <w:t>15</w:t>
            </w:r>
          </w:p>
        </w:tc>
      </w:tr>
      <w:tr w:rsidR="00BB7AA8" w:rsidRPr="00BB7AA8" w14:paraId="2C0D44AD" w14:textId="77777777" w:rsidTr="00E448F9">
        <w:trPr>
          <w:cantSplit/>
        </w:trPr>
        <w:tc>
          <w:tcPr>
            <w:tcW w:w="1547" w:type="dxa"/>
            <w:gridSpan w:val="3"/>
            <w:tcBorders>
              <w:bottom w:val="single" w:sz="8" w:space="0" w:color="auto"/>
            </w:tcBorders>
          </w:tcPr>
          <w:p w14:paraId="7A040488" w14:textId="77777777" w:rsidR="00BB7AA8" w:rsidRPr="00BB7AA8" w:rsidRDefault="00BB7AA8" w:rsidP="00BB7AA8">
            <w:pPr>
              <w:rPr>
                <w:b/>
                <w:bCs/>
              </w:rPr>
            </w:pPr>
            <w:bookmarkStart w:id="7" w:name="dtitle1" w:colFirst="1" w:colLast="1"/>
            <w:bookmarkEnd w:id="6"/>
            <w:r w:rsidRPr="00BB7AA8">
              <w:rPr>
                <w:b/>
                <w:bCs/>
              </w:rPr>
              <w:t>Title:</w:t>
            </w:r>
          </w:p>
        </w:tc>
        <w:tc>
          <w:tcPr>
            <w:tcW w:w="8092" w:type="dxa"/>
            <w:gridSpan w:val="5"/>
            <w:tcBorders>
              <w:bottom w:val="single" w:sz="8" w:space="0" w:color="auto"/>
            </w:tcBorders>
          </w:tcPr>
          <w:p w14:paraId="072EDE27" w14:textId="11A459E8" w:rsidR="00BB7AA8" w:rsidRPr="00BB7AA8" w:rsidRDefault="00BB7AA8" w:rsidP="00BB7AA8">
            <w:r w:rsidRPr="00BB7AA8">
              <w:t>LS</w:t>
            </w:r>
            <w:r>
              <w:t xml:space="preserve"> on a</w:t>
            </w:r>
            <w:r w:rsidRPr="00BB7AA8">
              <w:t>pproval of Technical Report on International Optical Networks towards 2030 and Beyond (ION-2030)</w:t>
            </w:r>
          </w:p>
        </w:tc>
      </w:tr>
      <w:bookmarkEnd w:id="1"/>
      <w:bookmarkEnd w:id="7"/>
      <w:tr w:rsidR="006F7FB5" w:rsidRPr="00A8178E" w14:paraId="182CC670" w14:textId="77777777" w:rsidTr="00E448F9">
        <w:tblPrEx>
          <w:tblCellSpacing w:w="0" w:type="dxa"/>
          <w:tblLook w:val="04A0" w:firstRow="1" w:lastRow="0" w:firstColumn="1" w:lastColumn="0" w:noHBand="0" w:noVBand="1"/>
        </w:tblPrEx>
        <w:trPr>
          <w:gridAfter w:val="1"/>
          <w:wAfter w:w="284" w:type="dxa"/>
          <w:trHeight w:val="357"/>
          <w:tblCellSpacing w:w="0" w:type="dxa"/>
        </w:trPr>
        <w:tc>
          <w:tcPr>
            <w:tcW w:w="9355" w:type="dxa"/>
            <w:gridSpan w:val="7"/>
            <w:tcMar>
              <w:top w:w="0" w:type="dxa"/>
              <w:left w:w="108" w:type="dxa"/>
              <w:bottom w:w="0" w:type="dxa"/>
              <w:right w:w="108" w:type="dxa"/>
            </w:tcMar>
            <w:vAlign w:val="center"/>
            <w:hideMark/>
          </w:tcPr>
          <w:p w14:paraId="4029A1B0" w14:textId="77777777" w:rsidR="006F7FB5" w:rsidRPr="00A8178E" w:rsidRDefault="006F7FB5" w:rsidP="00037215">
            <w:pPr>
              <w:jc w:val="center"/>
              <w:rPr>
                <w:rFonts w:eastAsia="Times New Roman"/>
                <w:lang w:val="en-US" w:eastAsia="en-US"/>
              </w:rPr>
            </w:pPr>
            <w:r w:rsidRPr="00A8178E">
              <w:rPr>
                <w:rFonts w:eastAsia="Times New Roman"/>
                <w:b/>
                <w:bCs/>
                <w:color w:val="000000"/>
                <w:lang w:val="en-US" w:eastAsia="en-US"/>
              </w:rPr>
              <w:t>LIAISON STATEMENT</w:t>
            </w:r>
          </w:p>
        </w:tc>
      </w:tr>
      <w:tr w:rsidR="006F7FB5" w:rsidRPr="00A8178E" w14:paraId="692ABFDD" w14:textId="77777777" w:rsidTr="00E448F9">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08C586F0"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For action to:</w:t>
            </w:r>
          </w:p>
        </w:tc>
        <w:tc>
          <w:tcPr>
            <w:tcW w:w="7300" w:type="dxa"/>
            <w:gridSpan w:val="3"/>
            <w:tcMar>
              <w:top w:w="0" w:type="dxa"/>
              <w:left w:w="108" w:type="dxa"/>
              <w:bottom w:w="0" w:type="dxa"/>
              <w:right w:w="108" w:type="dxa"/>
            </w:tcMar>
            <w:vAlign w:val="center"/>
            <w:hideMark/>
          </w:tcPr>
          <w:p w14:paraId="1CD66D45" w14:textId="77777777" w:rsidR="006F7FB5" w:rsidRPr="00A8178E" w:rsidRDefault="006F7FB5" w:rsidP="00037215">
            <w:pPr>
              <w:tabs>
                <w:tab w:val="left" w:pos="794"/>
                <w:tab w:val="left" w:pos="1191"/>
                <w:tab w:val="left" w:pos="1588"/>
                <w:tab w:val="left" w:pos="1985"/>
              </w:tabs>
              <w:rPr>
                <w:rFonts w:eastAsia="Times New Roman"/>
                <w:lang w:val="en-US" w:eastAsia="en-US"/>
              </w:rPr>
            </w:pPr>
            <w:r w:rsidRPr="00A8178E">
              <w:rPr>
                <w:rFonts w:eastAsia="Times New Roman"/>
                <w:color w:val="000000"/>
                <w:lang w:val="en-US" w:eastAsia="en-US"/>
              </w:rPr>
              <w:t>ITU-R</w:t>
            </w:r>
            <w:r>
              <w:rPr>
                <w:rFonts w:eastAsia="Times New Roman"/>
                <w:color w:val="000000"/>
                <w:lang w:val="en-US" w:eastAsia="en-US"/>
              </w:rPr>
              <w:t xml:space="preserve"> SG5, ITU-R WP5D</w:t>
            </w:r>
            <w:r w:rsidRPr="00A8178E">
              <w:rPr>
                <w:rFonts w:eastAsia="Times New Roman"/>
                <w:color w:val="000000"/>
                <w:lang w:val="en-US" w:eastAsia="en-US"/>
              </w:rPr>
              <w:t xml:space="preserve">, </w:t>
            </w:r>
            <w:r>
              <w:rPr>
                <w:rFonts w:eastAsia="Times New Roman"/>
                <w:color w:val="000000"/>
                <w:lang w:val="en-US" w:eastAsia="en-US"/>
              </w:rPr>
              <w:t xml:space="preserve">ITU-T SG13, ITU-T </w:t>
            </w:r>
            <w:r w:rsidRPr="00A8178E">
              <w:rPr>
                <w:rFonts w:eastAsia="Times New Roman"/>
                <w:color w:val="000000"/>
                <w:lang w:val="en-US" w:eastAsia="en-US"/>
              </w:rPr>
              <w:t xml:space="preserve">SG20, </w:t>
            </w:r>
            <w:r>
              <w:rPr>
                <w:rFonts w:eastAsia="Times New Roman"/>
                <w:color w:val="000000"/>
                <w:lang w:val="en-US" w:eastAsia="en-US"/>
              </w:rPr>
              <w:t xml:space="preserve">ITU-T </w:t>
            </w:r>
            <w:r w:rsidRPr="00A8178E">
              <w:rPr>
                <w:rFonts w:eastAsia="Times New Roman"/>
                <w:color w:val="000000"/>
                <w:lang w:val="en-US" w:eastAsia="en-US"/>
              </w:rPr>
              <w:t>SG21, 3GPP, OIF, IOWN</w:t>
            </w:r>
            <w:r>
              <w:rPr>
                <w:rFonts w:eastAsia="Times New Roman"/>
                <w:color w:val="000000"/>
                <w:lang w:val="en-US" w:eastAsia="en-US"/>
              </w:rPr>
              <w:t xml:space="preserve"> GF</w:t>
            </w:r>
          </w:p>
        </w:tc>
      </w:tr>
      <w:tr w:rsidR="006F7FB5" w:rsidRPr="00A8178E" w14:paraId="620671F5" w14:textId="77777777" w:rsidTr="00E448F9">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280F6C49"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For information to:</w:t>
            </w:r>
          </w:p>
        </w:tc>
        <w:tc>
          <w:tcPr>
            <w:tcW w:w="7300" w:type="dxa"/>
            <w:gridSpan w:val="3"/>
            <w:tcMar>
              <w:top w:w="0" w:type="dxa"/>
              <w:left w:w="108" w:type="dxa"/>
              <w:bottom w:w="0" w:type="dxa"/>
              <w:right w:w="108" w:type="dxa"/>
            </w:tcMar>
            <w:vAlign w:val="center"/>
          </w:tcPr>
          <w:p w14:paraId="72B9EEAE" w14:textId="77777777" w:rsidR="006F7FB5" w:rsidRPr="00A8178E" w:rsidRDefault="006F7FB5" w:rsidP="00037215">
            <w:pPr>
              <w:rPr>
                <w:rFonts w:eastAsia="Times New Roman"/>
                <w:lang w:val="en-US" w:eastAsia="en-US"/>
              </w:rPr>
            </w:pPr>
            <w:r>
              <w:rPr>
                <w:rFonts w:eastAsia="Times New Roman"/>
                <w:lang w:val="en-US" w:eastAsia="en-US"/>
              </w:rPr>
              <w:t xml:space="preserve">IEEE 802, </w:t>
            </w:r>
            <w:r>
              <w:rPr>
                <w:rFonts w:eastAsia="Times New Roman"/>
                <w:color w:val="000000"/>
                <w:lang w:val="en-US" w:eastAsia="en-US"/>
              </w:rPr>
              <w:t>Broadband Forum, ETSI ISG F5G, IETF Routing Area</w:t>
            </w:r>
          </w:p>
        </w:tc>
      </w:tr>
      <w:tr w:rsidR="006F7FB5" w:rsidRPr="00A8178E" w14:paraId="6A457EFC" w14:textId="77777777" w:rsidTr="00E448F9">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2C4EC1CF"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Approval:</w:t>
            </w:r>
          </w:p>
        </w:tc>
        <w:tc>
          <w:tcPr>
            <w:tcW w:w="7300" w:type="dxa"/>
            <w:gridSpan w:val="3"/>
            <w:tcMar>
              <w:top w:w="0" w:type="dxa"/>
              <w:left w:w="108" w:type="dxa"/>
              <w:bottom w:w="0" w:type="dxa"/>
              <w:right w:w="108" w:type="dxa"/>
            </w:tcMar>
            <w:vAlign w:val="center"/>
            <w:hideMark/>
          </w:tcPr>
          <w:p w14:paraId="646DFB10" w14:textId="77777777" w:rsidR="006F7FB5" w:rsidRPr="00A8178E" w:rsidRDefault="006F7FB5" w:rsidP="00037215">
            <w:pPr>
              <w:rPr>
                <w:rFonts w:eastAsia="Times New Roman"/>
                <w:lang w:val="en-US" w:eastAsia="en-US"/>
              </w:rPr>
            </w:pPr>
            <w:r w:rsidRPr="00A8178E">
              <w:rPr>
                <w:rFonts w:eastAsia="Times New Roman"/>
                <w:color w:val="000000"/>
                <w:lang w:val="en-US" w:eastAsia="en-US"/>
              </w:rPr>
              <w:t>ITU-T SG15 meeting (Geneva, 24 October 2025)</w:t>
            </w:r>
          </w:p>
        </w:tc>
      </w:tr>
      <w:tr w:rsidR="006F7FB5" w:rsidRPr="00A8178E" w14:paraId="7E9C2910" w14:textId="77777777" w:rsidTr="00E448F9">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Borders>
              <w:bottom w:val="single" w:sz="8" w:space="0" w:color="auto"/>
            </w:tcBorders>
            <w:tcMar>
              <w:top w:w="0" w:type="dxa"/>
              <w:left w:w="108" w:type="dxa"/>
              <w:bottom w:w="0" w:type="dxa"/>
              <w:right w:w="108" w:type="dxa"/>
            </w:tcMar>
            <w:vAlign w:val="center"/>
            <w:hideMark/>
          </w:tcPr>
          <w:p w14:paraId="07257227"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Deadline:</w:t>
            </w:r>
          </w:p>
        </w:tc>
        <w:tc>
          <w:tcPr>
            <w:tcW w:w="7300" w:type="dxa"/>
            <w:gridSpan w:val="3"/>
            <w:tcBorders>
              <w:bottom w:val="single" w:sz="8" w:space="0" w:color="auto"/>
            </w:tcBorders>
            <w:tcMar>
              <w:top w:w="0" w:type="dxa"/>
              <w:left w:w="108" w:type="dxa"/>
              <w:bottom w:w="0" w:type="dxa"/>
              <w:right w:w="108" w:type="dxa"/>
            </w:tcMar>
            <w:vAlign w:val="center"/>
            <w:hideMark/>
          </w:tcPr>
          <w:p w14:paraId="4298E529" w14:textId="77777777" w:rsidR="006F7FB5" w:rsidRPr="00A8178E" w:rsidRDefault="006F7FB5" w:rsidP="00037215">
            <w:pPr>
              <w:rPr>
                <w:rFonts w:eastAsia="Times New Roman"/>
                <w:lang w:val="en-US" w:eastAsia="en-US"/>
              </w:rPr>
            </w:pPr>
            <w:r>
              <w:rPr>
                <w:rFonts w:eastAsia="Times New Roman"/>
                <w:lang w:val="en-US" w:eastAsia="en-US"/>
              </w:rPr>
              <w:t>1 June 2026</w:t>
            </w:r>
          </w:p>
        </w:tc>
      </w:tr>
      <w:tr w:rsidR="006F7FB5" w:rsidRPr="00A050B3" w14:paraId="6AE7753B" w14:textId="77777777" w:rsidTr="00E448F9">
        <w:tblPrEx>
          <w:tblCellSpacing w:w="0" w:type="dxa"/>
          <w:tblLook w:val="04A0" w:firstRow="1" w:lastRow="0" w:firstColumn="1" w:lastColumn="0" w:noHBand="0" w:noVBand="1"/>
        </w:tblPrEx>
        <w:trPr>
          <w:gridAfter w:val="1"/>
          <w:wAfter w:w="284" w:type="dxa"/>
          <w:tblCellSpacing w:w="0" w:type="dxa"/>
        </w:trPr>
        <w:tc>
          <w:tcPr>
            <w:tcW w:w="1493" w:type="dxa"/>
            <w:gridSpan w:val="2"/>
            <w:tcMar>
              <w:top w:w="0" w:type="dxa"/>
              <w:left w:w="108" w:type="dxa"/>
              <w:bottom w:w="0" w:type="dxa"/>
              <w:right w:w="108" w:type="dxa"/>
            </w:tcMar>
            <w:vAlign w:val="center"/>
            <w:hideMark/>
          </w:tcPr>
          <w:p w14:paraId="47E03C7B" w14:textId="77777777" w:rsidR="006F7FB5" w:rsidRPr="00A8178E" w:rsidRDefault="006F7FB5" w:rsidP="00037215">
            <w:pPr>
              <w:spacing w:line="254" w:lineRule="auto"/>
              <w:rPr>
                <w:rFonts w:eastAsia="Times New Roman"/>
                <w:lang w:val="en-US" w:eastAsia="en-US"/>
              </w:rPr>
            </w:pPr>
            <w:r w:rsidRPr="00A8178E">
              <w:rPr>
                <w:rFonts w:eastAsia="Times New Roman"/>
                <w:b/>
                <w:bCs/>
                <w:color w:val="000000"/>
                <w:lang w:val="en-US" w:eastAsia="en-US"/>
              </w:rPr>
              <w:t>Contact:</w:t>
            </w:r>
          </w:p>
        </w:tc>
        <w:tc>
          <w:tcPr>
            <w:tcW w:w="3403" w:type="dxa"/>
            <w:gridSpan w:val="3"/>
            <w:tcMar>
              <w:top w:w="0" w:type="dxa"/>
              <w:left w:w="108" w:type="dxa"/>
              <w:bottom w:w="0" w:type="dxa"/>
              <w:right w:w="108" w:type="dxa"/>
            </w:tcMar>
            <w:vAlign w:val="center"/>
            <w:hideMark/>
          </w:tcPr>
          <w:p w14:paraId="007D034B" w14:textId="7636B9AA" w:rsidR="006F7FB5" w:rsidRPr="00A8178E" w:rsidRDefault="006F7FB5" w:rsidP="00037215">
            <w:pPr>
              <w:spacing w:line="254" w:lineRule="auto"/>
              <w:rPr>
                <w:rFonts w:eastAsia="Times New Roman"/>
                <w:lang w:val="en-US" w:eastAsia="en-US"/>
              </w:rPr>
            </w:pPr>
            <w:r w:rsidRPr="00A8178E">
              <w:rPr>
                <w:rFonts w:eastAsia="Times New Roman"/>
                <w:color w:val="000000"/>
                <w:lang w:val="en-US" w:eastAsia="en-US"/>
              </w:rPr>
              <w:t>Stephen Shew</w:t>
            </w:r>
            <w:r w:rsidRPr="00A8178E">
              <w:rPr>
                <w:rFonts w:eastAsia="Times New Roman"/>
                <w:color w:val="000000"/>
                <w:lang w:val="en-US" w:eastAsia="en-US"/>
              </w:rPr>
              <w:br/>
              <w:t>Rapporteur Q12/15</w:t>
            </w:r>
          </w:p>
        </w:tc>
        <w:tc>
          <w:tcPr>
            <w:tcW w:w="4459" w:type="dxa"/>
            <w:gridSpan w:val="2"/>
            <w:tcMar>
              <w:top w:w="0" w:type="dxa"/>
              <w:left w:w="108" w:type="dxa"/>
              <w:bottom w:w="0" w:type="dxa"/>
              <w:right w:w="108" w:type="dxa"/>
            </w:tcMar>
            <w:vAlign w:val="center"/>
            <w:hideMark/>
          </w:tcPr>
          <w:p w14:paraId="56F40818" w14:textId="7B079724" w:rsidR="006F7FB5" w:rsidRPr="00257A56" w:rsidRDefault="006F7FB5" w:rsidP="00037215">
            <w:pPr>
              <w:tabs>
                <w:tab w:val="left" w:pos="794"/>
              </w:tabs>
              <w:spacing w:line="254" w:lineRule="auto"/>
              <w:rPr>
                <w:rFonts w:eastAsia="Times New Roman"/>
                <w:lang w:val="de-CH" w:eastAsia="en-US"/>
              </w:rPr>
            </w:pPr>
            <w:r w:rsidRPr="00257A56">
              <w:rPr>
                <w:rFonts w:eastAsia="Times New Roman"/>
                <w:color w:val="000000"/>
                <w:lang w:val="de-CH" w:eastAsia="en-US"/>
              </w:rPr>
              <w:t>Tel: +1 613-791-3726</w:t>
            </w:r>
            <w:r w:rsidRPr="00257A56">
              <w:rPr>
                <w:rFonts w:eastAsia="Times New Roman"/>
                <w:color w:val="000000"/>
                <w:lang w:val="de-CH" w:eastAsia="en-US"/>
              </w:rPr>
              <w:br/>
              <w:t xml:space="preserve"> E-mail: </w:t>
            </w:r>
            <w:hyperlink r:id="rId8" w:history="1">
              <w:r w:rsidR="00BB7AA8" w:rsidRPr="00F51D0C">
                <w:rPr>
                  <w:rStyle w:val="Hyperlink"/>
                  <w:rFonts w:eastAsia="Times New Roman"/>
                  <w:lang w:val="de-CH" w:eastAsia="en-US"/>
                </w:rPr>
                <w:t>sshew@ciena.com</w:t>
              </w:r>
            </w:hyperlink>
            <w:r w:rsidR="00BB7AA8">
              <w:rPr>
                <w:rFonts w:eastAsia="Times New Roman"/>
                <w:color w:val="000000"/>
                <w:lang w:val="de-CH" w:eastAsia="en-US"/>
              </w:rPr>
              <w:t xml:space="preserve"> </w:t>
            </w:r>
          </w:p>
        </w:tc>
      </w:tr>
      <w:tr w:rsidR="006F7FB5" w:rsidRPr="00A050B3" w14:paraId="1C929EB9" w14:textId="77777777" w:rsidTr="00E448F9">
        <w:tblPrEx>
          <w:tblCellSpacing w:w="0" w:type="dxa"/>
          <w:tblLook w:val="04A0" w:firstRow="1" w:lastRow="0" w:firstColumn="1" w:lastColumn="0" w:noHBand="0" w:noVBand="1"/>
        </w:tblPrEx>
        <w:trPr>
          <w:gridAfter w:val="1"/>
          <w:wAfter w:w="284" w:type="dxa"/>
          <w:tblCellSpacing w:w="0" w:type="dxa"/>
        </w:trPr>
        <w:tc>
          <w:tcPr>
            <w:tcW w:w="1493" w:type="dxa"/>
            <w:gridSpan w:val="2"/>
            <w:tcMar>
              <w:top w:w="0" w:type="dxa"/>
              <w:left w:w="108" w:type="dxa"/>
              <w:bottom w:w="0" w:type="dxa"/>
              <w:right w:w="108" w:type="dxa"/>
            </w:tcMar>
            <w:vAlign w:val="center"/>
            <w:hideMark/>
          </w:tcPr>
          <w:p w14:paraId="4C894F0B" w14:textId="77777777" w:rsidR="006F7FB5" w:rsidRPr="00A8178E" w:rsidRDefault="006F7FB5" w:rsidP="00037215">
            <w:pPr>
              <w:spacing w:line="254" w:lineRule="auto"/>
              <w:rPr>
                <w:rFonts w:eastAsia="Times New Roman"/>
                <w:lang w:val="en-US" w:eastAsia="en-US"/>
              </w:rPr>
            </w:pPr>
            <w:r w:rsidRPr="00A8178E">
              <w:rPr>
                <w:rFonts w:eastAsia="Times New Roman"/>
                <w:b/>
                <w:bCs/>
                <w:color w:val="000000"/>
                <w:lang w:val="en-US" w:eastAsia="en-US"/>
              </w:rPr>
              <w:t>Contact:</w:t>
            </w:r>
          </w:p>
        </w:tc>
        <w:tc>
          <w:tcPr>
            <w:tcW w:w="3403" w:type="dxa"/>
            <w:gridSpan w:val="3"/>
            <w:tcMar>
              <w:top w:w="0" w:type="dxa"/>
              <w:left w:w="108" w:type="dxa"/>
              <w:bottom w:w="0" w:type="dxa"/>
              <w:right w:w="108" w:type="dxa"/>
            </w:tcMar>
            <w:vAlign w:val="center"/>
            <w:hideMark/>
          </w:tcPr>
          <w:p w14:paraId="4AAA4784" w14:textId="2C7DAD17" w:rsidR="006F7FB5" w:rsidRPr="00257A56" w:rsidRDefault="006F7FB5" w:rsidP="00037215">
            <w:pPr>
              <w:spacing w:line="254" w:lineRule="auto"/>
              <w:rPr>
                <w:rFonts w:eastAsia="Times New Roman"/>
                <w:lang w:val="fr-CH" w:eastAsia="en-US"/>
              </w:rPr>
            </w:pPr>
            <w:r w:rsidRPr="00257A56">
              <w:rPr>
                <w:rFonts w:eastAsia="Times New Roman"/>
                <w:color w:val="000000"/>
                <w:lang w:val="fr-CH" w:eastAsia="en-US"/>
              </w:rPr>
              <w:t>Haomian Zheng</w:t>
            </w:r>
            <w:r w:rsidRPr="00257A56">
              <w:rPr>
                <w:rFonts w:eastAsia="Times New Roman"/>
                <w:color w:val="000000"/>
                <w:lang w:val="fr-CH" w:eastAsia="en-US"/>
              </w:rPr>
              <w:br/>
              <w:t>Associate Rapporteur Q12/15</w:t>
            </w:r>
          </w:p>
        </w:tc>
        <w:tc>
          <w:tcPr>
            <w:tcW w:w="4459" w:type="dxa"/>
            <w:gridSpan w:val="2"/>
            <w:tcMar>
              <w:top w:w="0" w:type="dxa"/>
              <w:left w:w="108" w:type="dxa"/>
              <w:bottom w:w="0" w:type="dxa"/>
              <w:right w:w="108" w:type="dxa"/>
            </w:tcMar>
            <w:vAlign w:val="center"/>
            <w:hideMark/>
          </w:tcPr>
          <w:p w14:paraId="018669B9" w14:textId="053CE790" w:rsidR="006F7FB5" w:rsidRPr="00257A56" w:rsidRDefault="006F7FB5" w:rsidP="00037215">
            <w:pPr>
              <w:tabs>
                <w:tab w:val="left" w:pos="794"/>
              </w:tabs>
              <w:spacing w:line="254" w:lineRule="auto"/>
              <w:rPr>
                <w:rFonts w:eastAsia="Times New Roman"/>
                <w:lang w:val="de-CH" w:eastAsia="en-US"/>
              </w:rPr>
            </w:pPr>
            <w:r w:rsidRPr="00257A56">
              <w:rPr>
                <w:rFonts w:eastAsia="Times New Roman"/>
                <w:color w:val="000000"/>
                <w:lang w:val="de-CH" w:eastAsia="en-US"/>
              </w:rPr>
              <w:t>Tel: +86-13066975206</w:t>
            </w:r>
            <w:r w:rsidRPr="00257A56">
              <w:rPr>
                <w:rFonts w:eastAsia="Times New Roman"/>
                <w:color w:val="000000"/>
                <w:lang w:val="de-CH" w:eastAsia="en-US"/>
              </w:rPr>
              <w:br/>
              <w:t xml:space="preserve"> E-mail: </w:t>
            </w:r>
            <w:hyperlink r:id="rId9" w:history="1">
              <w:r w:rsidR="00BB7AA8" w:rsidRPr="00F51D0C">
                <w:rPr>
                  <w:rStyle w:val="Hyperlink"/>
                  <w:rFonts w:eastAsia="Times New Roman"/>
                  <w:lang w:val="de-CH" w:eastAsia="en-US"/>
                </w:rPr>
                <w:t>zhenghaomian@huawei.com</w:t>
              </w:r>
            </w:hyperlink>
            <w:r w:rsidR="00BB7AA8">
              <w:rPr>
                <w:rFonts w:eastAsia="Times New Roman"/>
                <w:color w:val="000000"/>
                <w:lang w:val="de-CH" w:eastAsia="en-US"/>
              </w:rPr>
              <w:t xml:space="preserve"> </w:t>
            </w:r>
          </w:p>
        </w:tc>
      </w:tr>
    </w:tbl>
    <w:p w14:paraId="3FDFE1BF" w14:textId="77777777" w:rsidR="006F7FB5" w:rsidRPr="00257A56" w:rsidRDefault="006F7FB5" w:rsidP="006F7FB5">
      <w:pPr>
        <w:rPr>
          <w:rFonts w:eastAsia="Times New Roman"/>
          <w:lang w:val="de-CH" w:eastAsia="en-US"/>
        </w:rPr>
      </w:pPr>
      <w:r w:rsidRPr="00257A56">
        <w:rPr>
          <w:rFonts w:eastAsia="Times New Roman"/>
          <w:lang w:val="de-CH" w:eastAsia="en-US"/>
        </w:rPr>
        <w:t> </w:t>
      </w:r>
    </w:p>
    <w:tbl>
      <w:tblPr>
        <w:tblW w:w="0" w:type="auto"/>
        <w:tblCellSpacing w:w="0" w:type="dxa"/>
        <w:tblCellMar>
          <w:left w:w="57" w:type="dxa"/>
          <w:right w:w="57" w:type="dxa"/>
        </w:tblCellMar>
        <w:tblLook w:val="04A0" w:firstRow="1" w:lastRow="0" w:firstColumn="1" w:lastColumn="0" w:noHBand="0" w:noVBand="1"/>
      </w:tblPr>
      <w:tblGrid>
        <w:gridCol w:w="1588"/>
        <w:gridCol w:w="8050"/>
      </w:tblGrid>
      <w:tr w:rsidR="006F7FB5" w:rsidRPr="00A8178E" w14:paraId="0286F7EE" w14:textId="77777777" w:rsidTr="00037215">
        <w:trPr>
          <w:tblCellSpacing w:w="0" w:type="dxa"/>
        </w:trPr>
        <w:tc>
          <w:tcPr>
            <w:tcW w:w="1588" w:type="dxa"/>
            <w:tcBorders>
              <w:top w:val="nil"/>
              <w:left w:val="nil"/>
              <w:bottom w:val="nil"/>
              <w:right w:val="nil"/>
            </w:tcBorders>
            <w:tcMar>
              <w:top w:w="0" w:type="dxa"/>
              <w:left w:w="108" w:type="dxa"/>
              <w:bottom w:w="0" w:type="dxa"/>
              <w:right w:w="108" w:type="dxa"/>
            </w:tcMar>
            <w:vAlign w:val="center"/>
            <w:hideMark/>
          </w:tcPr>
          <w:p w14:paraId="0AE426C2"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Abstract:</w:t>
            </w:r>
          </w:p>
        </w:tc>
        <w:tc>
          <w:tcPr>
            <w:tcW w:w="8051" w:type="dxa"/>
            <w:tcBorders>
              <w:top w:val="nil"/>
              <w:left w:val="nil"/>
              <w:bottom w:val="nil"/>
              <w:right w:val="nil"/>
            </w:tcBorders>
            <w:tcMar>
              <w:top w:w="0" w:type="dxa"/>
              <w:left w:w="108" w:type="dxa"/>
              <w:bottom w:w="0" w:type="dxa"/>
              <w:right w:w="108" w:type="dxa"/>
            </w:tcMar>
            <w:vAlign w:val="center"/>
            <w:hideMark/>
          </w:tcPr>
          <w:p w14:paraId="6DAF8B7C" w14:textId="77777777" w:rsidR="006F7FB5" w:rsidRPr="00A8178E" w:rsidRDefault="006F7FB5" w:rsidP="00037215">
            <w:pPr>
              <w:rPr>
                <w:rFonts w:eastAsia="Times New Roman"/>
                <w:lang w:val="en-US" w:eastAsia="en-US"/>
              </w:rPr>
            </w:pPr>
            <w:r w:rsidRPr="00A8178E">
              <w:rPr>
                <w:rFonts w:eastAsia="Times New Roman"/>
                <w:color w:val="000000"/>
                <w:lang w:val="en-US" w:eastAsia="en-US"/>
              </w:rPr>
              <w:t>This liaison statement announces the</w:t>
            </w:r>
            <w:r>
              <w:rPr>
                <w:rFonts w:eastAsia="Times New Roman"/>
                <w:color w:val="000000"/>
                <w:lang w:val="en-US" w:eastAsia="en-US"/>
              </w:rPr>
              <w:t xml:space="preserve"> agreement</w:t>
            </w:r>
            <w:r w:rsidRPr="00A8178E">
              <w:rPr>
                <w:rFonts w:eastAsia="Times New Roman"/>
                <w:color w:val="000000"/>
                <w:lang w:val="en-US" w:eastAsia="en-US"/>
              </w:rPr>
              <w:t xml:space="preserve"> of ITU-T Technical Report GSTR-ION-2030, introduces the key contents, and invites feedback that can influence future standards development activities.</w:t>
            </w:r>
          </w:p>
        </w:tc>
      </w:tr>
    </w:tbl>
    <w:p w14:paraId="0EE21DE3" w14:textId="77777777" w:rsidR="006F7FB5" w:rsidRPr="00A8178E" w:rsidRDefault="006F7FB5" w:rsidP="006F7FB5">
      <w:pPr>
        <w:rPr>
          <w:rFonts w:eastAsia="Times New Roman"/>
          <w:lang w:val="en-US" w:eastAsia="en-US"/>
        </w:rPr>
      </w:pPr>
      <w:r w:rsidRPr="00A8178E">
        <w:rPr>
          <w:rFonts w:eastAsia="Times New Roman"/>
          <w:lang w:val="en-US" w:eastAsia="en-US"/>
        </w:rPr>
        <w:t> </w:t>
      </w:r>
    </w:p>
    <w:p w14:paraId="13A13854" w14:textId="64321490"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 xml:space="preserve">We are pleased to inform you that at our 13-24 October 2025 plenary meeting, ITU-T SG15 has published a technical report intended to guide the evolution of optical networks. The technical report is </w:t>
      </w:r>
      <w:r w:rsidR="00CD32DB" w:rsidRPr="00A8178E">
        <w:rPr>
          <w:rFonts w:eastAsia="Times New Roman"/>
          <w:color w:val="000000"/>
          <w:lang w:val="en-US" w:eastAsia="en-US"/>
        </w:rPr>
        <w:t>attached,</w:t>
      </w:r>
      <w:r w:rsidRPr="00A8178E">
        <w:rPr>
          <w:rFonts w:eastAsia="Times New Roman"/>
          <w:color w:val="000000"/>
          <w:lang w:val="en-US" w:eastAsia="en-US"/>
        </w:rPr>
        <w:t xml:space="preserve"> and its key contents are summarized below.</w:t>
      </w:r>
    </w:p>
    <w:p w14:paraId="2AFAB51A"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International Optical Networks towards 2030 and Beyond (ION-2030) is a strategic framework developed by ITU-T Study Group 15 to guide the evolution of International Optical Networks. It supports emerging technologies and societal goals including IMT-2030, Artificial Intelligence (AI), Data Centre</w:t>
      </w:r>
      <w:r>
        <w:rPr>
          <w:rFonts w:eastAsia="Times New Roman"/>
          <w:color w:val="000000"/>
          <w:lang w:val="en-US" w:eastAsia="en-US"/>
        </w:rPr>
        <w:t>s</w:t>
      </w:r>
      <w:r w:rsidRPr="00A8178E">
        <w:rPr>
          <w:rFonts w:eastAsia="Times New Roman"/>
          <w:color w:val="000000"/>
          <w:lang w:val="en-US" w:eastAsia="en-US"/>
        </w:rPr>
        <w:t>, and Broadband Access. The report targets analysts, CTOs, and product managers, aiming to define capabilities, usage scenarios, and a standardization roadmap for next-generation optical networks.</w:t>
      </w:r>
    </w:p>
    <w:p w14:paraId="6F025DF7"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Key Trends identified are:</w:t>
      </w:r>
    </w:p>
    <w:p w14:paraId="48DBBD6C"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IMT-2030: Emphasizes ubiquitous intelligence, immersive multimedia, digital twins, smart industries, and sustainability. Optical networks must support high bandwidth, low latency, and precision synchronization.</w:t>
      </w:r>
    </w:p>
    <w:p w14:paraId="30FEB945"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lastRenderedPageBreak/>
        <w:t>AI: AI enhances network operations via multimodal models, digital twins, autonomous agents, and energy-saving mechanisms. Optical networks also enable edge AI and AI-as-a-service.</w:t>
      </w:r>
    </w:p>
    <w:p w14:paraId="37164829"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Data Centres: Requires ultra-high bandwidth (400G/800G+), low-latency, and energy-efficient optical links with synchronization for distributed computing.</w:t>
      </w:r>
    </w:p>
    <w:p w14:paraId="6CDB1A4B"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Broadband Access: Transition from copper to fiber with advanced PON technologies supporting gigabit and 10G+ services, integrated with in-premises networks and IoT.</w:t>
      </w:r>
    </w:p>
    <w:p w14:paraId="2C8CA170"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2A1A18A3"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ION-2030 Capabilities are:</w:t>
      </w:r>
    </w:p>
    <w:p w14:paraId="462FDB9D"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Enhanced connectivity: Tbps line capacity, sub-ms latency, high reliability, and deterministic service assurance.</w:t>
      </w:r>
    </w:p>
    <w:p w14:paraId="3508EAEE"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New capabilities: Integrated sensing (DFOS, feed forward), computing, AI agents, energy efficiency (picoJoules/bit), and quantum-resistant security.</w:t>
      </w:r>
    </w:p>
    <w:p w14:paraId="32297E95"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7CE9F6F6"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Architectures and Technologies:</w:t>
      </w:r>
    </w:p>
    <w:p w14:paraId="36B43D98"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IMT-2030: backhaul/fronthaul, 100GE–1.6TE interfaces.</w:t>
      </w:r>
    </w:p>
    <w:p w14:paraId="3BABBE5F"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AI: AI-native optical networks, distributed computing, digital twins.</w:t>
      </w:r>
    </w:p>
    <w:p w14:paraId="46B3074C"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Data Centres: ROADM/OXC switching, CPO/LPO/OCS for energy efficiency.</w:t>
      </w:r>
    </w:p>
    <w:p w14:paraId="5D2BBEB5"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Broadband Access: VHSP PON (200G+), Wi-Fi fronthauling, AI-enhanced networks.</w:t>
      </w:r>
    </w:p>
    <w:p w14:paraId="72400642"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ISAC: DFOS and feedforward sensing for infrastructure protection.</w:t>
      </w:r>
    </w:p>
    <w:p w14:paraId="1D3D1062"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4AAA4390"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Standardization Roadmap:</w:t>
      </w:r>
    </w:p>
    <w:p w14:paraId="00EEBB7D" w14:textId="0876BFAC"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 xml:space="preserve">Collaboration with ITU-R, SG13, 3GPP, </w:t>
      </w:r>
      <w:r>
        <w:rPr>
          <w:rFonts w:eastAsia="Times New Roman"/>
          <w:color w:val="000000"/>
          <w:lang w:val="en-US" w:eastAsia="en-US"/>
        </w:rPr>
        <w:t>Broadband Forum</w:t>
      </w:r>
      <w:r w:rsidRPr="00A8178E">
        <w:rPr>
          <w:rFonts w:eastAsia="Times New Roman"/>
          <w:color w:val="000000"/>
          <w:lang w:val="en-US" w:eastAsia="en-US"/>
        </w:rPr>
        <w:t>, IEEE</w:t>
      </w:r>
      <w:r>
        <w:rPr>
          <w:rFonts w:eastAsia="Times New Roman"/>
          <w:color w:val="000000"/>
          <w:lang w:val="en-US" w:eastAsia="en-US"/>
        </w:rPr>
        <w:t xml:space="preserve"> 802</w:t>
      </w:r>
      <w:r w:rsidRPr="00A8178E">
        <w:rPr>
          <w:rFonts w:eastAsia="Times New Roman"/>
          <w:color w:val="000000"/>
          <w:lang w:val="en-US" w:eastAsia="en-US"/>
        </w:rPr>
        <w:t>, ETSI</w:t>
      </w:r>
      <w:r>
        <w:rPr>
          <w:rFonts w:eastAsia="Times New Roman"/>
          <w:color w:val="000000"/>
          <w:lang w:val="en-US" w:eastAsia="en-US"/>
        </w:rPr>
        <w:t xml:space="preserve"> ISG F5G</w:t>
      </w:r>
      <w:r w:rsidRPr="00A8178E">
        <w:rPr>
          <w:rFonts w:eastAsia="Times New Roman"/>
          <w:color w:val="000000"/>
          <w:lang w:val="en-US" w:eastAsia="en-US"/>
        </w:rPr>
        <w:t>, OIF, IETF</w:t>
      </w:r>
      <w:r>
        <w:rPr>
          <w:rFonts w:eastAsia="Times New Roman"/>
          <w:color w:val="000000"/>
          <w:lang w:val="en-US" w:eastAsia="en-US"/>
        </w:rPr>
        <w:t xml:space="preserve"> Routing Area</w:t>
      </w:r>
    </w:p>
    <w:p w14:paraId="619B6B85" w14:textId="77777777"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Continuous evolution post-2030 to support sustainability and innovation</w:t>
      </w:r>
    </w:p>
    <w:p w14:paraId="2278C79A"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0E8E2EAC"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ION-2030 presents a comprehensive vision for future optical networks, integrating AI, sensing, computing, and sustainability. It lays the foundation for global standardization and deployment, enabling inclusive digital transformation and supporting the United Nations Sustainable Development Goals.</w:t>
      </w:r>
    </w:p>
    <w:p w14:paraId="7FA13A26"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ITU-T SG15 invites feedback to ION-2030 to areas delineated in this technical report: ION-2030 for IMT-2030, ION-2030 for AI and AI for ION-2030, ION-2030 for Data Centre, ION-2030 for broadband access. This will assist in the development of work items for standards development within SG15.</w:t>
      </w:r>
    </w:p>
    <w:p w14:paraId="6740B073" w14:textId="77777777" w:rsidR="006F7FB5" w:rsidRDefault="006F7FB5" w:rsidP="006F7FB5">
      <w:pPr>
        <w:spacing w:before="0" w:after="160"/>
        <w:jc w:val="both"/>
        <w:rPr>
          <w:rFonts w:eastAsia="Times New Roman"/>
          <w:color w:val="000000"/>
          <w:lang w:val="en-US" w:eastAsia="en-US"/>
        </w:rPr>
      </w:pPr>
      <w:r w:rsidRPr="00A8178E">
        <w:rPr>
          <w:rFonts w:eastAsia="Times New Roman"/>
          <w:color w:val="000000"/>
          <w:lang w:val="en-US" w:eastAsia="en-US"/>
        </w:rPr>
        <w:t>The next ITU-T SG15 plenary meeting will be 2</w:t>
      </w:r>
      <w:r>
        <w:rPr>
          <w:rFonts w:eastAsia="Times New Roman"/>
          <w:color w:val="000000"/>
          <w:lang w:val="en-US" w:eastAsia="en-US"/>
        </w:rPr>
        <w:t>9</w:t>
      </w:r>
      <w:r w:rsidRPr="00A8178E">
        <w:rPr>
          <w:rFonts w:eastAsia="Times New Roman"/>
          <w:color w:val="000000"/>
          <w:lang w:val="en-US" w:eastAsia="en-US"/>
        </w:rPr>
        <w:t xml:space="preserve"> June – 10 July 2026</w:t>
      </w:r>
    </w:p>
    <w:p w14:paraId="4FC36434" w14:textId="3C45FE4E" w:rsidR="005352F6" w:rsidRPr="00A8178E" w:rsidRDefault="005352F6" w:rsidP="006F7FB5">
      <w:pPr>
        <w:spacing w:before="0" w:after="160"/>
        <w:jc w:val="both"/>
        <w:rPr>
          <w:rFonts w:eastAsia="Times New Roman"/>
          <w:lang w:val="en-US" w:eastAsia="en-US"/>
        </w:rPr>
      </w:pPr>
      <w:r>
        <w:rPr>
          <w:rFonts w:eastAsia="Times New Roman"/>
          <w:color w:val="000000"/>
          <w:lang w:val="en-US" w:eastAsia="en-US"/>
        </w:rPr>
        <w:t>Attachment: TD124R1/PLEN</w:t>
      </w:r>
    </w:p>
    <w:sectPr w:rsidR="005352F6" w:rsidRPr="00A8178E" w:rsidSect="00BB7AA8">
      <w:headerReference w:type="defaul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4F4B" w14:textId="77777777" w:rsidR="0044297C" w:rsidRDefault="0044297C" w:rsidP="00BB7AA8">
      <w:pPr>
        <w:spacing w:before="0"/>
      </w:pPr>
      <w:r>
        <w:separator/>
      </w:r>
    </w:p>
  </w:endnote>
  <w:endnote w:type="continuationSeparator" w:id="0">
    <w:p w14:paraId="2A2610A0" w14:textId="77777777" w:rsidR="0044297C" w:rsidRDefault="0044297C" w:rsidP="00BB7A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BEBD" w14:textId="77777777" w:rsidR="0044297C" w:rsidRDefault="0044297C" w:rsidP="00BB7AA8">
      <w:pPr>
        <w:spacing w:before="0"/>
      </w:pPr>
      <w:r>
        <w:separator/>
      </w:r>
    </w:p>
  </w:footnote>
  <w:footnote w:type="continuationSeparator" w:id="0">
    <w:p w14:paraId="3660440A" w14:textId="77777777" w:rsidR="0044297C" w:rsidRDefault="0044297C" w:rsidP="00BB7A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0E48" w14:textId="0C9408E7" w:rsidR="00BB7AA8" w:rsidRPr="00BB7AA8" w:rsidRDefault="00BB7AA8" w:rsidP="00BB7AA8">
    <w:pPr>
      <w:pStyle w:val="Header"/>
      <w:jc w:val="center"/>
      <w:rPr>
        <w:sz w:val="18"/>
      </w:rPr>
    </w:pPr>
    <w:r w:rsidRPr="00BB7AA8">
      <w:rPr>
        <w:sz w:val="18"/>
      </w:rPr>
      <w:t xml:space="preserve">- </w:t>
    </w:r>
    <w:r w:rsidRPr="00BB7AA8">
      <w:rPr>
        <w:sz w:val="18"/>
      </w:rPr>
      <w:fldChar w:fldCharType="begin"/>
    </w:r>
    <w:r w:rsidRPr="00BB7AA8">
      <w:rPr>
        <w:sz w:val="18"/>
      </w:rPr>
      <w:instrText xml:space="preserve"> PAGE  \* MERGEFORMAT </w:instrText>
    </w:r>
    <w:r w:rsidRPr="00BB7AA8">
      <w:rPr>
        <w:sz w:val="18"/>
      </w:rPr>
      <w:fldChar w:fldCharType="separate"/>
    </w:r>
    <w:r w:rsidRPr="00BB7AA8">
      <w:rPr>
        <w:noProof/>
        <w:sz w:val="18"/>
      </w:rPr>
      <w:t>1</w:t>
    </w:r>
    <w:r w:rsidRPr="00BB7AA8">
      <w:rPr>
        <w:sz w:val="18"/>
      </w:rPr>
      <w:fldChar w:fldCharType="end"/>
    </w:r>
    <w:r w:rsidRPr="00BB7AA8">
      <w:rPr>
        <w:sz w:val="18"/>
      </w:rPr>
      <w:t xml:space="preserve"> -</w:t>
    </w:r>
  </w:p>
  <w:p w14:paraId="2388DF74" w14:textId="368AA1ED" w:rsidR="00BB7AA8" w:rsidRPr="00BB7AA8" w:rsidRDefault="00BB7AA8" w:rsidP="00BB7AA8">
    <w:pPr>
      <w:pStyle w:val="Header"/>
      <w:spacing w:after="240"/>
      <w:jc w:val="center"/>
      <w:rPr>
        <w:sz w:val="18"/>
      </w:rPr>
    </w:pPr>
    <w:r w:rsidRPr="00BB7AA8">
      <w:rPr>
        <w:sz w:val="18"/>
      </w:rPr>
      <w:fldChar w:fldCharType="begin"/>
    </w:r>
    <w:r w:rsidRPr="00BB7AA8">
      <w:rPr>
        <w:sz w:val="18"/>
      </w:rPr>
      <w:instrText xml:space="preserve"> STYLEREF  Docnumber  </w:instrText>
    </w:r>
    <w:r w:rsidRPr="00BB7AA8">
      <w:rPr>
        <w:sz w:val="18"/>
      </w:rPr>
      <w:fldChar w:fldCharType="separate"/>
    </w:r>
    <w:r w:rsidR="00E33EB7">
      <w:rPr>
        <w:noProof/>
        <w:sz w:val="18"/>
      </w:rPr>
      <w:t>SG15-LS53</w:t>
    </w:r>
    <w:r w:rsidRPr="00BB7AA8">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B7812"/>
    <w:multiLevelType w:val="multilevel"/>
    <w:tmpl w:val="2DE89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1260B6"/>
    <w:multiLevelType w:val="multilevel"/>
    <w:tmpl w:val="F6CEE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005D23"/>
    <w:multiLevelType w:val="multilevel"/>
    <w:tmpl w:val="BCE42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6145D1"/>
    <w:multiLevelType w:val="multilevel"/>
    <w:tmpl w:val="3E6C3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1543781">
    <w:abstractNumId w:val="1"/>
  </w:num>
  <w:num w:numId="2" w16cid:durableId="485361576">
    <w:abstractNumId w:val="0"/>
  </w:num>
  <w:num w:numId="3" w16cid:durableId="447362320">
    <w:abstractNumId w:val="2"/>
  </w:num>
  <w:num w:numId="4" w16cid:durableId="1950551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B5"/>
    <w:rsid w:val="002116DB"/>
    <w:rsid w:val="00273DDB"/>
    <w:rsid w:val="0036079B"/>
    <w:rsid w:val="0044297C"/>
    <w:rsid w:val="00452673"/>
    <w:rsid w:val="005352F6"/>
    <w:rsid w:val="00665F96"/>
    <w:rsid w:val="00675C5E"/>
    <w:rsid w:val="006F7FB5"/>
    <w:rsid w:val="008E783B"/>
    <w:rsid w:val="009226DC"/>
    <w:rsid w:val="00A050B3"/>
    <w:rsid w:val="00B77D0B"/>
    <w:rsid w:val="00BB7AA8"/>
    <w:rsid w:val="00CD32DB"/>
    <w:rsid w:val="00E33EB7"/>
    <w:rsid w:val="00E448F9"/>
    <w:rsid w:val="00F53D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25B50"/>
  <w15:chartTrackingRefBased/>
  <w15:docId w15:val="{9D80169E-C4CB-4AE7-9C6E-58B2050B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FB5"/>
    <w:pPr>
      <w:spacing w:before="120" w:after="0" w:line="240" w:lineRule="auto"/>
    </w:pPr>
    <w:rPr>
      <w:rFonts w:ascii="Times New Roman" w:eastAsiaTheme="minorEastAsia" w:hAnsi="Times New Roman" w:cs="Times New Roman"/>
      <w:kern w:val="0"/>
      <w:sz w:val="24"/>
      <w:szCs w:val="24"/>
      <w:lang w:eastAsia="ja-JP"/>
      <w14:ligatures w14:val="none"/>
    </w:rPr>
  </w:style>
  <w:style w:type="paragraph" w:styleId="Heading1">
    <w:name w:val="heading 1"/>
    <w:basedOn w:val="Normal"/>
    <w:next w:val="Normal"/>
    <w:link w:val="Heading1Char"/>
    <w:uiPriority w:val="9"/>
    <w:qFormat/>
    <w:rsid w:val="00360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7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7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7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7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7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7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7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7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7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7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79B"/>
    <w:rPr>
      <w:rFonts w:eastAsiaTheme="majorEastAsia" w:cstheme="majorBidi"/>
      <w:color w:val="272727" w:themeColor="text1" w:themeTint="D8"/>
    </w:rPr>
  </w:style>
  <w:style w:type="paragraph" w:styleId="Title">
    <w:name w:val="Title"/>
    <w:basedOn w:val="Normal"/>
    <w:next w:val="Normal"/>
    <w:link w:val="TitleChar"/>
    <w:uiPriority w:val="10"/>
    <w:qFormat/>
    <w:rsid w:val="003607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7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79B"/>
    <w:pPr>
      <w:spacing w:before="160"/>
      <w:jc w:val="center"/>
    </w:pPr>
    <w:rPr>
      <w:i/>
      <w:iCs/>
      <w:color w:val="404040" w:themeColor="text1" w:themeTint="BF"/>
    </w:rPr>
  </w:style>
  <w:style w:type="character" w:customStyle="1" w:styleId="QuoteChar">
    <w:name w:val="Quote Char"/>
    <w:basedOn w:val="DefaultParagraphFont"/>
    <w:link w:val="Quote"/>
    <w:uiPriority w:val="29"/>
    <w:rsid w:val="0036079B"/>
    <w:rPr>
      <w:i/>
      <w:iCs/>
      <w:color w:val="404040" w:themeColor="text1" w:themeTint="BF"/>
    </w:rPr>
  </w:style>
  <w:style w:type="paragraph" w:styleId="ListParagraph">
    <w:name w:val="List Paragraph"/>
    <w:basedOn w:val="Normal"/>
    <w:uiPriority w:val="34"/>
    <w:qFormat/>
    <w:rsid w:val="0036079B"/>
    <w:pPr>
      <w:ind w:left="720"/>
      <w:contextualSpacing/>
    </w:pPr>
  </w:style>
  <w:style w:type="character" w:styleId="IntenseEmphasis">
    <w:name w:val="Intense Emphasis"/>
    <w:basedOn w:val="DefaultParagraphFont"/>
    <w:uiPriority w:val="21"/>
    <w:qFormat/>
    <w:rsid w:val="0036079B"/>
    <w:rPr>
      <w:i/>
      <w:iCs/>
      <w:color w:val="0F4761" w:themeColor="accent1" w:themeShade="BF"/>
    </w:rPr>
  </w:style>
  <w:style w:type="paragraph" w:styleId="IntenseQuote">
    <w:name w:val="Intense Quote"/>
    <w:basedOn w:val="Normal"/>
    <w:next w:val="Normal"/>
    <w:link w:val="IntenseQuoteChar"/>
    <w:uiPriority w:val="30"/>
    <w:qFormat/>
    <w:rsid w:val="00360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79B"/>
    <w:rPr>
      <w:i/>
      <w:iCs/>
      <w:color w:val="0F4761" w:themeColor="accent1" w:themeShade="BF"/>
    </w:rPr>
  </w:style>
  <w:style w:type="character" w:styleId="IntenseReference">
    <w:name w:val="Intense Reference"/>
    <w:basedOn w:val="DefaultParagraphFont"/>
    <w:uiPriority w:val="32"/>
    <w:qFormat/>
    <w:rsid w:val="0036079B"/>
    <w:rPr>
      <w:b/>
      <w:bCs/>
      <w:smallCaps/>
      <w:color w:val="0F4761" w:themeColor="accent1" w:themeShade="BF"/>
      <w:spacing w:val="5"/>
    </w:rPr>
  </w:style>
  <w:style w:type="paragraph" w:customStyle="1" w:styleId="AnnexNotitle">
    <w:name w:val="Annex_No &amp; title"/>
    <w:basedOn w:val="Normal"/>
    <w:next w:val="Normal"/>
    <w:qFormat/>
    <w:rsid w:val="006F7FB5"/>
    <w:pPr>
      <w:keepNext/>
      <w:keepLines/>
      <w:tabs>
        <w:tab w:val="left" w:pos="794"/>
        <w:tab w:val="left" w:pos="1191"/>
        <w:tab w:val="left" w:pos="1588"/>
        <w:tab w:val="left" w:pos="1985"/>
      </w:tabs>
      <w:spacing w:before="480"/>
      <w:jc w:val="center"/>
      <w:outlineLvl w:val="0"/>
    </w:pPr>
    <w:rPr>
      <w:rFonts w:eastAsia="Times New Roman"/>
      <w:b/>
      <w:sz w:val="28"/>
      <w:szCs w:val="20"/>
      <w:lang w:eastAsia="en-US"/>
    </w:rPr>
  </w:style>
  <w:style w:type="paragraph" w:styleId="Header">
    <w:name w:val="header"/>
    <w:basedOn w:val="Normal"/>
    <w:link w:val="HeaderChar"/>
    <w:uiPriority w:val="99"/>
    <w:unhideWhenUsed/>
    <w:rsid w:val="00BB7AA8"/>
    <w:pPr>
      <w:tabs>
        <w:tab w:val="center" w:pos="4513"/>
        <w:tab w:val="right" w:pos="9026"/>
      </w:tabs>
      <w:spacing w:before="0"/>
    </w:pPr>
  </w:style>
  <w:style w:type="character" w:customStyle="1" w:styleId="HeaderChar">
    <w:name w:val="Header Char"/>
    <w:basedOn w:val="DefaultParagraphFont"/>
    <w:link w:val="Header"/>
    <w:uiPriority w:val="99"/>
    <w:rsid w:val="00BB7AA8"/>
    <w:rPr>
      <w:rFonts w:ascii="Times New Roman" w:eastAsiaTheme="minorEastAsia" w:hAnsi="Times New Roman" w:cs="Times New Roman"/>
      <w:kern w:val="0"/>
      <w:sz w:val="24"/>
      <w:szCs w:val="24"/>
      <w:lang w:eastAsia="ja-JP"/>
      <w14:ligatures w14:val="none"/>
    </w:rPr>
  </w:style>
  <w:style w:type="paragraph" w:styleId="Footer">
    <w:name w:val="footer"/>
    <w:basedOn w:val="Normal"/>
    <w:link w:val="FooterChar"/>
    <w:uiPriority w:val="99"/>
    <w:unhideWhenUsed/>
    <w:rsid w:val="00BB7AA8"/>
    <w:pPr>
      <w:tabs>
        <w:tab w:val="center" w:pos="4513"/>
        <w:tab w:val="right" w:pos="9026"/>
      </w:tabs>
      <w:spacing w:before="0"/>
    </w:pPr>
  </w:style>
  <w:style w:type="character" w:customStyle="1" w:styleId="FooterChar">
    <w:name w:val="Footer Char"/>
    <w:basedOn w:val="DefaultParagraphFont"/>
    <w:link w:val="Footer"/>
    <w:uiPriority w:val="99"/>
    <w:rsid w:val="00BB7AA8"/>
    <w:rPr>
      <w:rFonts w:ascii="Times New Roman" w:eastAsiaTheme="minorEastAsia" w:hAnsi="Times New Roman" w:cs="Times New Roman"/>
      <w:kern w:val="0"/>
      <w:sz w:val="24"/>
      <w:szCs w:val="24"/>
      <w:lang w:eastAsia="ja-JP"/>
      <w14:ligatures w14:val="none"/>
    </w:rPr>
  </w:style>
  <w:style w:type="paragraph" w:customStyle="1" w:styleId="Docnumber">
    <w:name w:val="Docnumber"/>
    <w:basedOn w:val="Normal"/>
    <w:link w:val="DocnumberChar"/>
    <w:qFormat/>
    <w:rsid w:val="00BB7AA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BB7AA8"/>
    <w:rPr>
      <w:rFonts w:ascii="Times New Roman" w:eastAsia="SimSun" w:hAnsi="Times New Roman" w:cs="Times New Roman"/>
      <w:b/>
      <w:kern w:val="0"/>
      <w:sz w:val="32"/>
      <w:szCs w:val="20"/>
      <w14:ligatures w14:val="none"/>
    </w:rPr>
  </w:style>
  <w:style w:type="character" w:styleId="Hyperlink">
    <w:name w:val="Hyperlink"/>
    <w:basedOn w:val="DefaultParagraphFont"/>
    <w:uiPriority w:val="99"/>
    <w:unhideWhenUsed/>
    <w:rsid w:val="00BB7AA8"/>
    <w:rPr>
      <w:color w:val="467886" w:themeColor="hyperlink"/>
      <w:u w:val="single"/>
    </w:rPr>
  </w:style>
  <w:style w:type="character" w:styleId="UnresolvedMention">
    <w:name w:val="Unresolved Mention"/>
    <w:basedOn w:val="DefaultParagraphFont"/>
    <w:uiPriority w:val="99"/>
    <w:semiHidden/>
    <w:unhideWhenUsed/>
    <w:rsid w:val="00BB7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hew@cien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henghaomia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633</Words>
  <Characters>3610</Characters>
  <Application>Microsoft Office Word</Application>
  <DocSecurity>0</DocSecurity>
  <Lines>30</Lines>
  <Paragraphs>8</Paragraphs>
  <ScaleCrop>false</ScaleCrop>
  <Manager>ITU-T</Manager>
  <Company>International Telecommunication Union (ITU)</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Approval of Technical Report on International Optical Networks towards 2030 and Beyond (ION-2030)</dc:title>
  <dc:subject/>
  <dc:creator>ITU-T SG15</dc:creator>
  <cp:keywords/>
  <dc:description>SG15-LS53  For: Geneva, 13-24 October 2025_x000d_Document date: _x000d_Saved by ITU51017886 at 9:39:02 AM on 10/28/2025</dc:description>
  <cp:lastModifiedBy>MCC</cp:lastModifiedBy>
  <cp:revision>3</cp:revision>
  <dcterms:created xsi:type="dcterms:W3CDTF">2025-12-03T12:17:00Z</dcterms:created>
  <dcterms:modified xsi:type="dcterms:W3CDTF">2025-12-03T12:17:00Z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SG15-LS53</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13-24 October 2025</vt:lpwstr>
  </property>
  <property fmtid="{D5CDD505-2E9C-101B-9397-08002B2CF9AE}" pid="7" name="Docauthor">
    <vt:lpwstr>ITU-T SG15</vt:lpwstr>
  </property>
</Properties>
</file>