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1A8" w:rsidRDefault="003B61A8" w:rsidP="003B61A8">
      <w:pPr>
        <w:pStyle w:val="Header"/>
        <w:tabs>
          <w:tab w:val="right" w:pos="9356"/>
          <w:tab w:val="right" w:pos="10206"/>
        </w:tabs>
        <w:rPr>
          <w:rFonts w:cs="Arial"/>
          <w:i/>
          <w:sz w:val="24"/>
        </w:rPr>
      </w:pPr>
      <w:bookmarkStart w:id="0" w:name="_Toc491868096"/>
      <w:bookmarkStart w:id="1" w:name="_GoBack"/>
      <w:bookmarkEnd w:id="1"/>
      <w:r>
        <w:rPr>
          <w:rFonts w:cs="Arial"/>
          <w:sz w:val="24"/>
        </w:rPr>
        <w:t xml:space="preserve">TSG-RAN Working Group 4 (Radio) meeting </w:t>
      </w:r>
      <w:r w:rsidR="00106F91">
        <w:rPr>
          <w:rFonts w:cs="Arial"/>
          <w:sz w:val="24"/>
        </w:rPr>
        <w:t>AH-1807</w:t>
      </w:r>
      <w:r>
        <w:rPr>
          <w:rFonts w:cs="Arial"/>
          <w:i/>
          <w:sz w:val="24"/>
        </w:rPr>
        <w:tab/>
      </w:r>
      <w:r>
        <w:rPr>
          <w:rFonts w:cs="Arial"/>
          <w:iCs/>
          <w:sz w:val="24"/>
        </w:rPr>
        <w:t>R4-</w:t>
      </w:r>
      <w:r w:rsidR="007970AD">
        <w:rPr>
          <w:rFonts w:cs="Arial"/>
          <w:iCs/>
          <w:sz w:val="24"/>
        </w:rPr>
        <w:t>1808865</w:t>
      </w:r>
    </w:p>
    <w:p w:rsidR="003B61A8" w:rsidRDefault="00106F91" w:rsidP="003B61A8">
      <w:pPr>
        <w:pStyle w:val="Header"/>
        <w:tabs>
          <w:tab w:val="right" w:pos="10206"/>
        </w:tabs>
        <w:spacing w:after="120"/>
        <w:rPr>
          <w:rFonts w:cs="Arial"/>
          <w:sz w:val="24"/>
        </w:rPr>
      </w:pPr>
      <w:r>
        <w:rPr>
          <w:rFonts w:cs="Arial"/>
          <w:sz w:val="24"/>
        </w:rPr>
        <w:t>Montreal</w:t>
      </w:r>
      <w:r w:rsidR="0062745C">
        <w:rPr>
          <w:rFonts w:cs="Arial"/>
          <w:sz w:val="24"/>
        </w:rPr>
        <w:t xml:space="preserve">, </w:t>
      </w:r>
      <w:r>
        <w:rPr>
          <w:rFonts w:cs="Arial"/>
          <w:sz w:val="24"/>
        </w:rPr>
        <w:t>Canada</w:t>
      </w:r>
      <w:r w:rsidR="003B61A8">
        <w:rPr>
          <w:rFonts w:cs="Arial"/>
          <w:sz w:val="24"/>
        </w:rPr>
        <w:t xml:space="preserve">, </w:t>
      </w:r>
      <w:r w:rsidR="004B372C">
        <w:rPr>
          <w:rFonts w:cs="Arial"/>
          <w:sz w:val="24"/>
        </w:rPr>
        <w:t>2</w:t>
      </w:r>
      <w:r>
        <w:rPr>
          <w:rFonts w:cs="Arial"/>
          <w:sz w:val="24"/>
          <w:vertAlign w:val="superscript"/>
        </w:rPr>
        <w:t>nd</w:t>
      </w:r>
      <w:r w:rsidR="004B372C">
        <w:rPr>
          <w:rFonts w:cs="Arial"/>
          <w:sz w:val="24"/>
        </w:rPr>
        <w:t xml:space="preserve"> – </w:t>
      </w:r>
      <w:r>
        <w:rPr>
          <w:rFonts w:cs="Arial"/>
          <w:sz w:val="24"/>
        </w:rPr>
        <w:t>6</w:t>
      </w:r>
      <w:r w:rsidR="004B372C" w:rsidRPr="00D2544C">
        <w:rPr>
          <w:rFonts w:cs="Arial"/>
          <w:sz w:val="24"/>
          <w:vertAlign w:val="superscript"/>
        </w:rPr>
        <w:t>th</w:t>
      </w:r>
      <w:r w:rsidR="004B372C">
        <w:rPr>
          <w:rFonts w:cs="Arial"/>
          <w:sz w:val="24"/>
        </w:rPr>
        <w:t xml:space="preserve"> </w:t>
      </w:r>
      <w:r>
        <w:rPr>
          <w:rFonts w:cs="Arial"/>
          <w:sz w:val="24"/>
        </w:rPr>
        <w:t>July</w:t>
      </w:r>
      <w:r w:rsidR="003B61A8">
        <w:rPr>
          <w:rFonts w:cs="Arial"/>
          <w:sz w:val="24"/>
        </w:rPr>
        <w:t xml:space="preserve"> 201</w:t>
      </w:r>
      <w:r w:rsidR="00FE11B9">
        <w:rPr>
          <w:rFonts w:cs="Arial"/>
          <w:sz w:val="24"/>
        </w:rPr>
        <w:t>8</w:t>
      </w:r>
    </w:p>
    <w:p w:rsidR="003B61A8" w:rsidRDefault="003B61A8" w:rsidP="003B61A8">
      <w:pPr>
        <w:spacing w:after="120"/>
        <w:ind w:left="1985" w:hanging="1985"/>
        <w:rPr>
          <w:rFonts w:ascii="Arial" w:hAnsi="Arial" w:cs="Arial"/>
          <w:b/>
        </w:rPr>
      </w:pPr>
    </w:p>
    <w:p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7F4A0D">
        <w:rPr>
          <w:rFonts w:ascii="Arial" w:hAnsi="Arial" w:cs="Arial"/>
        </w:rPr>
        <w:t xml:space="preserve">On the challenge to define a </w:t>
      </w:r>
      <w:r w:rsidR="00FA7689">
        <w:rPr>
          <w:rFonts w:ascii="Arial" w:hAnsi="Arial" w:cs="Arial"/>
        </w:rPr>
        <w:t>generalized</w:t>
      </w:r>
      <w:r w:rsidR="007F4A0D">
        <w:rPr>
          <w:rFonts w:ascii="Arial" w:hAnsi="Arial" w:cs="Arial"/>
        </w:rPr>
        <w:t xml:space="preserve"> co-location reference antenna </w:t>
      </w:r>
    </w:p>
    <w:p w:rsidR="003B61A8" w:rsidRPr="003607E5" w:rsidRDefault="003B61A8" w:rsidP="003B61A8">
      <w:pPr>
        <w:spacing w:after="120"/>
        <w:ind w:left="1985" w:hanging="1985"/>
        <w:rPr>
          <w:rFonts w:ascii="Arial" w:hAnsi="Arial" w:cs="Arial"/>
          <w:bCs/>
          <w:color w:val="FF0000"/>
          <w:lang w:val="en-US"/>
        </w:rPr>
      </w:pPr>
      <w:r w:rsidRPr="003607E5">
        <w:rPr>
          <w:rFonts w:ascii="Arial" w:hAnsi="Arial" w:cs="Arial"/>
          <w:b/>
          <w:lang w:val="en-US"/>
        </w:rPr>
        <w:t>Agenda item:</w:t>
      </w:r>
      <w:r w:rsidRPr="003607E5">
        <w:rPr>
          <w:rFonts w:ascii="Arial" w:hAnsi="Arial" w:cs="Arial"/>
          <w:b/>
          <w:lang w:val="en-US"/>
        </w:rPr>
        <w:tab/>
      </w:r>
      <w:r w:rsidR="00CA7D0D">
        <w:rPr>
          <w:rFonts w:ascii="Arial" w:hAnsi="Arial" w:cs="Arial"/>
          <w:bCs/>
          <w:lang w:val="en-US"/>
        </w:rPr>
        <w:t>4.2.1.1.7</w:t>
      </w:r>
    </w:p>
    <w:p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Introduction</w:t>
      </w:r>
    </w:p>
    <w:p w:rsidR="00FA7689" w:rsidRDefault="0062745C" w:rsidP="00155B44">
      <w:pPr>
        <w:pStyle w:val="BodyText"/>
      </w:pPr>
      <w:r>
        <w:t>At the last RAN4 meeting (RAN4#</w:t>
      </w:r>
      <w:r w:rsidR="00FA7689">
        <w:t xml:space="preserve">87 </w:t>
      </w:r>
      <w:r>
        <w:t xml:space="preserve">in </w:t>
      </w:r>
      <w:r w:rsidR="00FA7689">
        <w:t>Busan</w:t>
      </w:r>
      <w:r>
        <w:t>)</w:t>
      </w:r>
      <w:r w:rsidR="00FA7689">
        <w:t xml:space="preserve"> specific details regarding the definition of the co-location reference antenna, an essential component part of conformance testing of co-location requirements. The co-location reference antenna is used to inject an interferer signal or to measure emission for a specific co-location scenario. </w:t>
      </w:r>
    </w:p>
    <w:p w:rsidR="00155B44" w:rsidRDefault="00FA7689" w:rsidP="00155B44">
      <w:pPr>
        <w:pStyle w:val="BodyText"/>
      </w:pPr>
      <w:r>
        <w:t>It has been suggested to replace the co-location reference antenna with a general antenna (e.g. dipole antenna or horn antenna</w:t>
      </w:r>
      <w:r w:rsidR="00DF1E58">
        <w:t>)</w:t>
      </w:r>
      <w:r>
        <w:t xml:space="preserve"> located </w:t>
      </w:r>
      <w:r w:rsidR="00DF1E58">
        <w:t>at a different location than described currently. The essential part for the new setup is that it must</w:t>
      </w:r>
      <w:r>
        <w:t xml:space="preserve"> correspond to</w:t>
      </w:r>
      <w:r w:rsidR="00DF1E58">
        <w:t xml:space="preserve"> a situation where</w:t>
      </w:r>
      <w:r>
        <w:t xml:space="preserve"> the same </w:t>
      </w:r>
      <w:r w:rsidR="00DF1E58">
        <w:t xml:space="preserve">interferer </w:t>
      </w:r>
      <w:r>
        <w:t xml:space="preserve">signal level </w:t>
      </w:r>
      <w:r w:rsidR="00DF1E58">
        <w:t xml:space="preserve">is </w:t>
      </w:r>
      <w:r w:rsidR="00A9666D">
        <w:t>injected,</w:t>
      </w:r>
      <w:r>
        <w:t xml:space="preserve"> and</w:t>
      </w:r>
      <w:r w:rsidR="00DF1E58">
        <w:t xml:space="preserve"> the same</w:t>
      </w:r>
      <w:r>
        <w:t xml:space="preserve"> emission level</w:t>
      </w:r>
      <w:r w:rsidR="00DF1E58">
        <w:t xml:space="preserve"> is measured</w:t>
      </w:r>
      <w:r w:rsidR="004935E9">
        <w:t xml:space="preserve">, </w:t>
      </w:r>
      <w:proofErr w:type="gramStart"/>
      <w:r w:rsidR="004935E9">
        <w:t>similar to</w:t>
      </w:r>
      <w:proofErr w:type="gramEnd"/>
      <w:r w:rsidR="004935E9">
        <w:t xml:space="preserve"> the co-location reference antenna specified in TS 37.105, sub-clause 4.10 for which RF core requirements are based on.</w:t>
      </w:r>
      <w:r>
        <w:t xml:space="preserve"> </w:t>
      </w:r>
      <w:r w:rsidR="0062745C">
        <w:t xml:space="preserve"> </w:t>
      </w:r>
    </w:p>
    <w:p w:rsidR="00843454" w:rsidRDefault="00FA7689" w:rsidP="0062745C">
      <w:pPr>
        <w:pStyle w:val="BodyText"/>
      </w:pPr>
      <w:r>
        <w:t>In t</w:t>
      </w:r>
      <w:r w:rsidR="00843454">
        <w:t>his contribution</w:t>
      </w:r>
      <w:r>
        <w:t xml:space="preserve"> some technical background related to the possibilities and challenges associated to a generalized co-location concept</w:t>
      </w:r>
      <w:r w:rsidR="00F57451">
        <w:t xml:space="preserve"> is presented for further considerations</w:t>
      </w:r>
      <w:r>
        <w:t>.</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Discussion</w:t>
      </w:r>
    </w:p>
    <w:p w:rsidR="00D2261D" w:rsidRDefault="002C1DA9" w:rsidP="0091503A">
      <w:pPr>
        <w:pStyle w:val="BodyText"/>
      </w:pPr>
      <w:r>
        <w:t xml:space="preserve">In </w:t>
      </w:r>
      <w:proofErr w:type="spellStart"/>
      <w:r>
        <w:t>eAAS</w:t>
      </w:r>
      <w:proofErr w:type="spellEnd"/>
      <w:r>
        <w:t xml:space="preserve"> WI a </w:t>
      </w:r>
      <w:r w:rsidR="00D2261D">
        <w:t xml:space="preserve">category </w:t>
      </w:r>
      <w:r>
        <w:t>of RF core requirements is referred to as c</w:t>
      </w:r>
      <w:r w:rsidRPr="002C1DA9">
        <w:t>o-location requirements</w:t>
      </w:r>
      <w:r>
        <w:t>. Those</w:t>
      </w:r>
      <w:r w:rsidRPr="002C1DA9">
        <w:t xml:space="preserve"> are requirements which are based on assuming the AAS </w:t>
      </w:r>
      <w:r>
        <w:t>base station</w:t>
      </w:r>
      <w:r w:rsidRPr="002C1DA9">
        <w:t xml:space="preserve"> is co-located with another </w:t>
      </w:r>
      <w:r>
        <w:t>base station</w:t>
      </w:r>
      <w:r w:rsidRPr="002C1DA9">
        <w:t xml:space="preserve"> of the same base station class</w:t>
      </w:r>
      <w:r>
        <w:t xml:space="preserve"> (e.g. wide area)</w:t>
      </w:r>
      <w:r w:rsidRPr="002C1DA9">
        <w:t>, they ensure that both co-located systems can operate with minimal degradation to each other.</w:t>
      </w:r>
      <w:r>
        <w:t xml:space="preserve"> The current co-location concept is described in TS 37.105, sub-clause 4.10 and corresponding test aspects in TS 37.145-2, sub-clause 4.15. </w:t>
      </w:r>
    </w:p>
    <w:p w:rsidR="002C1DA9" w:rsidRDefault="002C1DA9" w:rsidP="0091503A">
      <w:pPr>
        <w:pStyle w:val="BodyText"/>
      </w:pPr>
      <w:r w:rsidRPr="00A9666D">
        <w:t xml:space="preserve">The co-location concept defined in </w:t>
      </w:r>
      <w:proofErr w:type="spellStart"/>
      <w:r w:rsidRPr="00A9666D">
        <w:t>eAAS</w:t>
      </w:r>
      <w:proofErr w:type="spellEnd"/>
      <w:r w:rsidRPr="00A9666D">
        <w:t xml:space="preserve"> WI for Rel-15, is based on a passive base station antenna referred to as Co-location Reference Antenna (CRA) located close to the AAS base station referred to as Equipment Under Test (EUT). </w:t>
      </w:r>
      <w:r>
        <w:t xml:space="preserve">The co-location requirements defined in </w:t>
      </w:r>
      <w:proofErr w:type="spellStart"/>
      <w:r>
        <w:t>eAAS</w:t>
      </w:r>
      <w:proofErr w:type="spellEnd"/>
      <w:r>
        <w:t xml:space="preserve"> WI are summarized in Table 2-1.</w:t>
      </w:r>
    </w:p>
    <w:p w:rsidR="002C1DA9" w:rsidRDefault="002C1DA9" w:rsidP="002C1DA9">
      <w:pPr>
        <w:keepNext/>
        <w:keepLines/>
        <w:spacing w:after="0"/>
        <w:jc w:val="center"/>
        <w:rPr>
          <w:rFonts w:ascii="Arial" w:eastAsia="SimSun" w:hAnsi="Arial"/>
          <w:b/>
          <w:sz w:val="18"/>
        </w:rPr>
      </w:pPr>
      <w:r>
        <w:rPr>
          <w:rFonts w:ascii="Arial" w:eastAsia="SimSun" w:hAnsi="Arial"/>
          <w:b/>
          <w:sz w:val="18"/>
        </w:rPr>
        <w:t>Table 2-1</w:t>
      </w:r>
      <w:r w:rsidRPr="0041446D">
        <w:rPr>
          <w:rFonts w:ascii="Arial" w:eastAsia="SimSun" w:hAnsi="Arial"/>
          <w:b/>
          <w:sz w:val="18"/>
        </w:rPr>
        <w:t xml:space="preserve">: </w:t>
      </w:r>
      <w:r w:rsidR="004935E9">
        <w:rPr>
          <w:rFonts w:ascii="Arial" w:eastAsia="SimSun" w:hAnsi="Arial"/>
          <w:b/>
          <w:sz w:val="18"/>
        </w:rPr>
        <w:t>C</w:t>
      </w:r>
      <w:r>
        <w:rPr>
          <w:rFonts w:ascii="Arial" w:eastAsia="SimSun" w:hAnsi="Arial"/>
          <w:b/>
          <w:sz w:val="18"/>
        </w:rPr>
        <w:t xml:space="preserve">o-location requirements </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90"/>
        <w:gridCol w:w="1559"/>
        <w:gridCol w:w="1843"/>
        <w:gridCol w:w="3725"/>
      </w:tblGrid>
      <w:tr w:rsidR="002C1DA9" w:rsidRPr="000C0827" w:rsidTr="0030771F">
        <w:trPr>
          <w:tblHeader/>
          <w:jc w:val="center"/>
        </w:trPr>
        <w:tc>
          <w:tcPr>
            <w:tcW w:w="2590" w:type="dxa"/>
          </w:tcPr>
          <w:p w:rsidR="002C1DA9" w:rsidRDefault="002C1DA9" w:rsidP="0030771F">
            <w:pPr>
              <w:keepNext/>
              <w:keepLines/>
              <w:spacing w:after="0"/>
              <w:jc w:val="center"/>
              <w:rPr>
                <w:rFonts w:ascii="Arial" w:hAnsi="Arial"/>
                <w:b/>
                <w:sz w:val="18"/>
              </w:rPr>
            </w:pPr>
            <w:r>
              <w:rPr>
                <w:rFonts w:ascii="Arial" w:hAnsi="Arial"/>
                <w:b/>
                <w:sz w:val="18"/>
              </w:rPr>
              <w:t>Requirement</w:t>
            </w:r>
          </w:p>
          <w:p w:rsidR="002C1DA9" w:rsidRDefault="002C1DA9" w:rsidP="0030771F">
            <w:pPr>
              <w:keepNext/>
              <w:keepLines/>
              <w:spacing w:after="0"/>
              <w:jc w:val="center"/>
              <w:rPr>
                <w:rFonts w:ascii="Arial" w:hAnsi="Arial"/>
                <w:b/>
                <w:sz w:val="18"/>
              </w:rPr>
            </w:pPr>
          </w:p>
        </w:tc>
        <w:tc>
          <w:tcPr>
            <w:tcW w:w="1559" w:type="dxa"/>
            <w:shd w:val="clear" w:color="auto" w:fill="auto"/>
          </w:tcPr>
          <w:p w:rsidR="002C1DA9" w:rsidRPr="000C0827" w:rsidRDefault="002C1DA9" w:rsidP="0030771F">
            <w:pPr>
              <w:keepNext/>
              <w:keepLines/>
              <w:spacing w:after="0"/>
              <w:jc w:val="center"/>
              <w:rPr>
                <w:rFonts w:ascii="Arial" w:hAnsi="Arial"/>
                <w:b/>
                <w:sz w:val="18"/>
              </w:rPr>
            </w:pPr>
            <w:r>
              <w:rPr>
                <w:rFonts w:ascii="Arial" w:hAnsi="Arial"/>
                <w:b/>
                <w:sz w:val="18"/>
              </w:rPr>
              <w:t xml:space="preserve">TS 37.145-2, sub-clause </w:t>
            </w:r>
          </w:p>
        </w:tc>
        <w:tc>
          <w:tcPr>
            <w:tcW w:w="1843" w:type="dxa"/>
          </w:tcPr>
          <w:p w:rsidR="002C1DA9" w:rsidRDefault="002C1DA9" w:rsidP="0030771F">
            <w:pPr>
              <w:keepNext/>
              <w:keepLines/>
              <w:spacing w:after="0"/>
              <w:jc w:val="center"/>
              <w:rPr>
                <w:rFonts w:ascii="Arial" w:hAnsi="Arial"/>
                <w:b/>
                <w:sz w:val="18"/>
              </w:rPr>
            </w:pPr>
            <w:r>
              <w:rPr>
                <w:rFonts w:ascii="Arial" w:hAnsi="Arial"/>
                <w:b/>
                <w:sz w:val="18"/>
              </w:rPr>
              <w:t>CRA operation</w:t>
            </w:r>
          </w:p>
        </w:tc>
        <w:tc>
          <w:tcPr>
            <w:tcW w:w="3725" w:type="dxa"/>
          </w:tcPr>
          <w:p w:rsidR="002C1DA9" w:rsidRDefault="002C1DA9" w:rsidP="0030771F">
            <w:pPr>
              <w:keepNext/>
              <w:keepLines/>
              <w:spacing w:after="0"/>
              <w:jc w:val="center"/>
              <w:rPr>
                <w:rFonts w:ascii="Arial" w:hAnsi="Arial"/>
                <w:b/>
                <w:sz w:val="18"/>
              </w:rPr>
            </w:pPr>
            <w:r>
              <w:rPr>
                <w:rFonts w:ascii="Arial" w:hAnsi="Arial"/>
                <w:b/>
                <w:sz w:val="18"/>
              </w:rPr>
              <w:t>CRA frequency region</w:t>
            </w:r>
          </w:p>
        </w:tc>
      </w:tr>
      <w:tr w:rsidR="002C1DA9" w:rsidRPr="000C0827" w:rsidTr="0030771F">
        <w:trPr>
          <w:jc w:val="center"/>
        </w:trPr>
        <w:tc>
          <w:tcPr>
            <w:tcW w:w="2590" w:type="dxa"/>
          </w:tcPr>
          <w:p w:rsidR="002C1DA9" w:rsidRDefault="002C1DA9" w:rsidP="0030771F">
            <w:pPr>
              <w:keepNext/>
              <w:keepLines/>
              <w:spacing w:after="0"/>
              <w:jc w:val="center"/>
              <w:rPr>
                <w:rFonts w:ascii="Arial" w:hAnsi="Arial"/>
                <w:sz w:val="18"/>
                <w:szCs w:val="18"/>
                <w:lang w:eastAsia="zh-CN"/>
              </w:rPr>
            </w:pPr>
            <w:r>
              <w:rPr>
                <w:rFonts w:ascii="Arial" w:hAnsi="Arial"/>
                <w:sz w:val="18"/>
                <w:szCs w:val="18"/>
                <w:lang w:eastAsia="zh-CN"/>
              </w:rPr>
              <w:t>OTA Transmit ON/OFF power</w:t>
            </w:r>
          </w:p>
        </w:tc>
        <w:tc>
          <w:tcPr>
            <w:tcW w:w="1559" w:type="dxa"/>
            <w:shd w:val="clear" w:color="auto" w:fill="auto"/>
          </w:tcPr>
          <w:p w:rsidR="002C1DA9" w:rsidRPr="000C0827" w:rsidRDefault="002C1DA9" w:rsidP="0030771F">
            <w:pPr>
              <w:keepNext/>
              <w:keepLines/>
              <w:spacing w:after="0"/>
              <w:jc w:val="center"/>
              <w:rPr>
                <w:rFonts w:ascii="Arial" w:hAnsi="Arial"/>
                <w:sz w:val="18"/>
                <w:szCs w:val="18"/>
                <w:lang w:eastAsia="zh-CN"/>
              </w:rPr>
            </w:pPr>
            <w:r>
              <w:rPr>
                <w:rFonts w:ascii="Arial" w:hAnsi="Arial"/>
                <w:sz w:val="18"/>
                <w:szCs w:val="18"/>
                <w:lang w:eastAsia="zh-CN"/>
              </w:rPr>
              <w:t>6.5</w:t>
            </w:r>
          </w:p>
        </w:tc>
        <w:tc>
          <w:tcPr>
            <w:tcW w:w="1843" w:type="dxa"/>
          </w:tcPr>
          <w:p w:rsidR="002C1DA9" w:rsidRDefault="002C1DA9" w:rsidP="0030771F">
            <w:pPr>
              <w:keepNext/>
              <w:keepLines/>
              <w:spacing w:after="0"/>
              <w:jc w:val="center"/>
              <w:rPr>
                <w:rFonts w:ascii="Arial" w:hAnsi="Arial"/>
                <w:sz w:val="18"/>
                <w:szCs w:val="18"/>
                <w:lang w:eastAsia="zh-CN"/>
              </w:rPr>
            </w:pPr>
            <w:r>
              <w:rPr>
                <w:rFonts w:ascii="Arial" w:hAnsi="Arial"/>
                <w:sz w:val="18"/>
                <w:szCs w:val="18"/>
                <w:lang w:eastAsia="zh-CN"/>
              </w:rPr>
              <w:t xml:space="preserve">Measure emission </w:t>
            </w:r>
          </w:p>
        </w:tc>
        <w:tc>
          <w:tcPr>
            <w:tcW w:w="3725" w:type="dxa"/>
          </w:tcPr>
          <w:p w:rsidR="002C1DA9" w:rsidRDefault="002C1DA9" w:rsidP="0030771F">
            <w:pPr>
              <w:keepNext/>
              <w:keepLines/>
              <w:spacing w:after="0"/>
              <w:jc w:val="center"/>
              <w:rPr>
                <w:rFonts w:ascii="Arial" w:hAnsi="Arial"/>
                <w:sz w:val="18"/>
                <w:szCs w:val="18"/>
                <w:lang w:eastAsia="zh-CN"/>
              </w:rPr>
            </w:pPr>
            <w:r>
              <w:rPr>
                <w:rFonts w:ascii="Arial" w:hAnsi="Arial"/>
                <w:sz w:val="18"/>
                <w:szCs w:val="18"/>
                <w:lang w:eastAsia="zh-CN"/>
              </w:rPr>
              <w:t>Emission within the carrier during RX period</w:t>
            </w:r>
          </w:p>
        </w:tc>
      </w:tr>
      <w:tr w:rsidR="002C1DA9" w:rsidRPr="000C0827" w:rsidTr="0030771F">
        <w:trPr>
          <w:jc w:val="center"/>
        </w:trPr>
        <w:tc>
          <w:tcPr>
            <w:tcW w:w="2590" w:type="dxa"/>
          </w:tcPr>
          <w:p w:rsidR="002C1DA9" w:rsidRDefault="002C1DA9" w:rsidP="0030771F">
            <w:pPr>
              <w:keepNext/>
              <w:keepLines/>
              <w:spacing w:after="0"/>
              <w:jc w:val="center"/>
              <w:rPr>
                <w:rFonts w:ascii="Arial" w:hAnsi="Arial"/>
                <w:sz w:val="18"/>
                <w:lang w:eastAsia="x-none"/>
              </w:rPr>
            </w:pPr>
            <w:r>
              <w:rPr>
                <w:rFonts w:ascii="Arial" w:hAnsi="Arial"/>
                <w:sz w:val="18"/>
                <w:lang w:eastAsia="x-none"/>
              </w:rPr>
              <w:t>OTA Spurious emission</w:t>
            </w:r>
          </w:p>
        </w:tc>
        <w:tc>
          <w:tcPr>
            <w:tcW w:w="1559" w:type="dxa"/>
            <w:shd w:val="clear" w:color="auto" w:fill="auto"/>
          </w:tcPr>
          <w:p w:rsidR="002C1DA9" w:rsidRDefault="002C1DA9" w:rsidP="0030771F">
            <w:pPr>
              <w:keepNext/>
              <w:keepLines/>
              <w:spacing w:after="0"/>
              <w:jc w:val="center"/>
              <w:rPr>
                <w:rFonts w:ascii="Arial" w:hAnsi="Arial"/>
                <w:sz w:val="18"/>
                <w:lang w:eastAsia="x-none"/>
              </w:rPr>
            </w:pPr>
            <w:r>
              <w:rPr>
                <w:rFonts w:ascii="Arial" w:hAnsi="Arial"/>
                <w:sz w:val="18"/>
                <w:lang w:eastAsia="x-none"/>
              </w:rPr>
              <w:t>6.7.6.3</w:t>
            </w:r>
          </w:p>
          <w:p w:rsidR="002C1DA9" w:rsidRPr="000C0827" w:rsidRDefault="002C1DA9" w:rsidP="0030771F">
            <w:pPr>
              <w:keepNext/>
              <w:keepLines/>
              <w:spacing w:after="0"/>
              <w:jc w:val="center"/>
              <w:rPr>
                <w:rFonts w:ascii="Arial" w:hAnsi="Arial"/>
                <w:sz w:val="18"/>
                <w:lang w:eastAsia="x-none"/>
              </w:rPr>
            </w:pPr>
            <w:r>
              <w:rPr>
                <w:rFonts w:ascii="Arial" w:hAnsi="Arial"/>
                <w:sz w:val="18"/>
                <w:lang w:eastAsia="x-none"/>
              </w:rPr>
              <w:t>6.7.6.5</w:t>
            </w:r>
          </w:p>
        </w:tc>
        <w:tc>
          <w:tcPr>
            <w:tcW w:w="1843" w:type="dxa"/>
          </w:tcPr>
          <w:p w:rsidR="002C1DA9" w:rsidRDefault="002C1DA9" w:rsidP="0030771F">
            <w:pPr>
              <w:keepNext/>
              <w:keepLines/>
              <w:spacing w:after="0"/>
              <w:jc w:val="center"/>
              <w:rPr>
                <w:rFonts w:ascii="Arial" w:hAnsi="Arial"/>
                <w:sz w:val="18"/>
                <w:lang w:eastAsia="x-none"/>
              </w:rPr>
            </w:pPr>
            <w:r>
              <w:rPr>
                <w:rFonts w:ascii="Arial" w:hAnsi="Arial"/>
                <w:sz w:val="18"/>
                <w:lang w:eastAsia="x-none"/>
              </w:rPr>
              <w:t xml:space="preserve">Measure emission </w:t>
            </w:r>
          </w:p>
        </w:tc>
        <w:tc>
          <w:tcPr>
            <w:tcW w:w="3725" w:type="dxa"/>
          </w:tcPr>
          <w:p w:rsidR="002C1DA9" w:rsidRDefault="002C1DA9" w:rsidP="0030771F">
            <w:pPr>
              <w:keepNext/>
              <w:keepLines/>
              <w:spacing w:after="0"/>
              <w:jc w:val="center"/>
              <w:rPr>
                <w:rFonts w:ascii="Arial" w:hAnsi="Arial"/>
                <w:sz w:val="18"/>
                <w:lang w:eastAsia="x-none"/>
              </w:rPr>
            </w:pPr>
            <w:r>
              <w:rPr>
                <w:rFonts w:ascii="Arial" w:hAnsi="Arial"/>
                <w:sz w:val="18"/>
                <w:lang w:eastAsia="x-none"/>
              </w:rPr>
              <w:t>Out-of-band region at other 3GPP bands</w:t>
            </w:r>
          </w:p>
        </w:tc>
      </w:tr>
      <w:tr w:rsidR="002C1DA9" w:rsidRPr="000C0827" w:rsidTr="0030771F">
        <w:trPr>
          <w:jc w:val="center"/>
        </w:trPr>
        <w:tc>
          <w:tcPr>
            <w:tcW w:w="2590" w:type="dxa"/>
          </w:tcPr>
          <w:p w:rsidR="002C1DA9" w:rsidRDefault="002C1DA9" w:rsidP="0030771F">
            <w:pPr>
              <w:keepNext/>
              <w:keepLines/>
              <w:spacing w:after="0"/>
              <w:jc w:val="center"/>
              <w:rPr>
                <w:rFonts w:ascii="Arial" w:hAnsi="Arial"/>
                <w:sz w:val="18"/>
                <w:lang w:eastAsia="x-none"/>
              </w:rPr>
            </w:pPr>
            <w:r>
              <w:rPr>
                <w:rFonts w:ascii="Arial" w:hAnsi="Arial"/>
                <w:sz w:val="18"/>
                <w:lang w:eastAsia="x-none"/>
              </w:rPr>
              <w:t>OTA Transmitter intermodulation</w:t>
            </w:r>
          </w:p>
        </w:tc>
        <w:tc>
          <w:tcPr>
            <w:tcW w:w="1559" w:type="dxa"/>
            <w:shd w:val="clear" w:color="auto" w:fill="auto"/>
          </w:tcPr>
          <w:p w:rsidR="002C1DA9" w:rsidRDefault="002C1DA9" w:rsidP="0030771F">
            <w:pPr>
              <w:keepNext/>
              <w:keepLines/>
              <w:spacing w:after="0"/>
              <w:jc w:val="center"/>
              <w:rPr>
                <w:rFonts w:ascii="Arial" w:hAnsi="Arial"/>
                <w:sz w:val="18"/>
                <w:lang w:eastAsia="x-none"/>
              </w:rPr>
            </w:pPr>
            <w:r>
              <w:rPr>
                <w:rFonts w:ascii="Arial" w:hAnsi="Arial"/>
                <w:sz w:val="18"/>
                <w:lang w:eastAsia="x-none"/>
              </w:rPr>
              <w:t>6.8</w:t>
            </w:r>
          </w:p>
        </w:tc>
        <w:tc>
          <w:tcPr>
            <w:tcW w:w="1843" w:type="dxa"/>
          </w:tcPr>
          <w:p w:rsidR="002C1DA9" w:rsidRDefault="002C1DA9" w:rsidP="0030771F">
            <w:pPr>
              <w:keepNext/>
              <w:keepLines/>
              <w:spacing w:after="0"/>
              <w:jc w:val="center"/>
              <w:rPr>
                <w:rFonts w:ascii="Arial" w:hAnsi="Arial"/>
                <w:sz w:val="18"/>
                <w:lang w:eastAsia="x-none"/>
              </w:rPr>
            </w:pPr>
            <w:r>
              <w:rPr>
                <w:rFonts w:ascii="Arial" w:hAnsi="Arial"/>
                <w:sz w:val="18"/>
                <w:lang w:eastAsia="x-none"/>
              </w:rPr>
              <w:t>Inject an interferer signal</w:t>
            </w:r>
          </w:p>
        </w:tc>
        <w:tc>
          <w:tcPr>
            <w:tcW w:w="3725" w:type="dxa"/>
          </w:tcPr>
          <w:p w:rsidR="002C1DA9" w:rsidRDefault="002C1DA9" w:rsidP="0030771F">
            <w:pPr>
              <w:keepNext/>
              <w:keepLines/>
              <w:spacing w:after="0"/>
              <w:jc w:val="center"/>
              <w:rPr>
                <w:rFonts w:ascii="Arial" w:hAnsi="Arial"/>
                <w:sz w:val="18"/>
                <w:lang w:eastAsia="x-none"/>
              </w:rPr>
            </w:pPr>
            <w:r>
              <w:rPr>
                <w:rFonts w:ascii="Arial" w:hAnsi="Arial"/>
                <w:sz w:val="18"/>
                <w:lang w:eastAsia="x-none"/>
              </w:rPr>
              <w:t>Within the operating band</w:t>
            </w:r>
            <w:r w:rsidRPr="0086226E">
              <w:rPr>
                <w:rFonts w:ascii="Arial" w:hAnsi="Arial"/>
                <w:sz w:val="18"/>
                <w:lang w:eastAsia="x-none"/>
              </w:rPr>
              <w:t xml:space="preserve">  </w:t>
            </w:r>
          </w:p>
        </w:tc>
      </w:tr>
      <w:tr w:rsidR="002C1DA9" w:rsidRPr="000C0827" w:rsidTr="0030771F">
        <w:trPr>
          <w:jc w:val="center"/>
        </w:trPr>
        <w:tc>
          <w:tcPr>
            <w:tcW w:w="2590" w:type="dxa"/>
          </w:tcPr>
          <w:p w:rsidR="002C1DA9" w:rsidRDefault="002C1DA9" w:rsidP="0030771F">
            <w:pPr>
              <w:keepNext/>
              <w:keepLines/>
              <w:spacing w:after="0"/>
              <w:jc w:val="center"/>
              <w:rPr>
                <w:rFonts w:ascii="Arial" w:hAnsi="Arial"/>
                <w:sz w:val="18"/>
                <w:lang w:eastAsia="x-none"/>
              </w:rPr>
            </w:pPr>
            <w:r>
              <w:rPr>
                <w:rFonts w:ascii="Arial" w:hAnsi="Arial"/>
                <w:sz w:val="18"/>
                <w:lang w:eastAsia="x-none"/>
              </w:rPr>
              <w:t>OTA Blocking</w:t>
            </w:r>
          </w:p>
        </w:tc>
        <w:tc>
          <w:tcPr>
            <w:tcW w:w="1559" w:type="dxa"/>
            <w:shd w:val="clear" w:color="auto" w:fill="auto"/>
          </w:tcPr>
          <w:p w:rsidR="002C1DA9" w:rsidRDefault="002C1DA9" w:rsidP="0030771F">
            <w:pPr>
              <w:keepNext/>
              <w:keepLines/>
              <w:spacing w:after="0"/>
              <w:jc w:val="center"/>
              <w:rPr>
                <w:rFonts w:ascii="Arial" w:hAnsi="Arial"/>
                <w:sz w:val="18"/>
                <w:lang w:eastAsia="x-none"/>
              </w:rPr>
            </w:pPr>
            <w:r>
              <w:rPr>
                <w:rFonts w:ascii="Arial" w:hAnsi="Arial"/>
                <w:sz w:val="18"/>
                <w:lang w:eastAsia="x-none"/>
              </w:rPr>
              <w:t>7.6.3</w:t>
            </w:r>
          </w:p>
        </w:tc>
        <w:tc>
          <w:tcPr>
            <w:tcW w:w="1843" w:type="dxa"/>
          </w:tcPr>
          <w:p w:rsidR="002C1DA9" w:rsidRDefault="002C1DA9" w:rsidP="0030771F">
            <w:pPr>
              <w:keepNext/>
              <w:keepLines/>
              <w:spacing w:after="0"/>
              <w:jc w:val="center"/>
              <w:rPr>
                <w:rFonts w:ascii="Arial" w:hAnsi="Arial"/>
                <w:sz w:val="18"/>
                <w:lang w:eastAsia="x-none"/>
              </w:rPr>
            </w:pPr>
            <w:r>
              <w:rPr>
                <w:rFonts w:ascii="Arial" w:hAnsi="Arial"/>
                <w:sz w:val="18"/>
                <w:lang w:eastAsia="x-none"/>
              </w:rPr>
              <w:t>Inject an interferer signal</w:t>
            </w:r>
          </w:p>
        </w:tc>
        <w:tc>
          <w:tcPr>
            <w:tcW w:w="3725" w:type="dxa"/>
          </w:tcPr>
          <w:p w:rsidR="002C1DA9" w:rsidRDefault="002C1DA9" w:rsidP="0030771F">
            <w:pPr>
              <w:keepNext/>
              <w:keepLines/>
              <w:spacing w:after="0"/>
              <w:jc w:val="center"/>
              <w:rPr>
                <w:rFonts w:ascii="Arial" w:hAnsi="Arial"/>
                <w:sz w:val="18"/>
                <w:lang w:eastAsia="x-none"/>
              </w:rPr>
            </w:pPr>
            <w:r>
              <w:rPr>
                <w:rFonts w:ascii="Arial" w:hAnsi="Arial"/>
                <w:sz w:val="18"/>
                <w:lang w:eastAsia="x-none"/>
              </w:rPr>
              <w:t>Out-of-band region at other 3GPP bands</w:t>
            </w:r>
          </w:p>
        </w:tc>
      </w:tr>
    </w:tbl>
    <w:p w:rsidR="002C1DA9" w:rsidRDefault="002C1DA9" w:rsidP="0091503A">
      <w:pPr>
        <w:pStyle w:val="BodyText"/>
      </w:pPr>
    </w:p>
    <w:p w:rsidR="002C1DA9" w:rsidRDefault="002C1DA9" w:rsidP="002C1DA9">
      <w:pPr>
        <w:overflowPunct w:val="0"/>
        <w:autoSpaceDE w:val="0"/>
        <w:autoSpaceDN w:val="0"/>
        <w:adjustRightInd w:val="0"/>
        <w:textAlignment w:val="baseline"/>
        <w:rPr>
          <w:lang w:val="en-US" w:eastAsia="zh-CN"/>
        </w:rPr>
      </w:pPr>
      <w:r>
        <w:rPr>
          <w:lang w:val="en-US" w:eastAsia="zh-CN"/>
        </w:rPr>
        <w:t xml:space="preserve">It can be noticed that there are two main use-cases for the CRA; </w:t>
      </w:r>
    </w:p>
    <w:p w:rsidR="002C1DA9" w:rsidRDefault="00D2261D" w:rsidP="00394A37">
      <w:pPr>
        <w:numPr>
          <w:ilvl w:val="0"/>
          <w:numId w:val="8"/>
        </w:numPr>
        <w:tabs>
          <w:tab w:val="left" w:pos="709"/>
        </w:tabs>
        <w:overflowPunct w:val="0"/>
        <w:autoSpaceDE w:val="0"/>
        <w:autoSpaceDN w:val="0"/>
        <w:adjustRightInd w:val="0"/>
        <w:ind w:left="851" w:hanging="491"/>
        <w:textAlignment w:val="baseline"/>
        <w:rPr>
          <w:lang w:val="en-US" w:eastAsia="zh-CN"/>
        </w:rPr>
      </w:pPr>
      <w:r>
        <w:rPr>
          <w:lang w:val="en-US" w:eastAsia="zh-CN"/>
        </w:rPr>
        <w:t>The CRA is used to i</w:t>
      </w:r>
      <w:r w:rsidR="002C1DA9">
        <w:rPr>
          <w:lang w:val="en-US" w:eastAsia="zh-CN"/>
        </w:rPr>
        <w:t xml:space="preserve">nject </w:t>
      </w:r>
      <w:r>
        <w:rPr>
          <w:lang w:val="en-US" w:eastAsia="zh-CN"/>
        </w:rPr>
        <w:t xml:space="preserve">an </w:t>
      </w:r>
      <w:r w:rsidR="002C1DA9">
        <w:rPr>
          <w:lang w:val="en-US" w:eastAsia="zh-CN"/>
        </w:rPr>
        <w:t>interfering signal</w:t>
      </w:r>
    </w:p>
    <w:p w:rsidR="002C1DA9" w:rsidRDefault="00D2261D" w:rsidP="00394A37">
      <w:pPr>
        <w:numPr>
          <w:ilvl w:val="0"/>
          <w:numId w:val="8"/>
        </w:numPr>
        <w:tabs>
          <w:tab w:val="left" w:pos="709"/>
        </w:tabs>
        <w:overflowPunct w:val="0"/>
        <w:autoSpaceDE w:val="0"/>
        <w:autoSpaceDN w:val="0"/>
        <w:adjustRightInd w:val="0"/>
        <w:textAlignment w:val="baseline"/>
        <w:rPr>
          <w:lang w:val="en-US" w:eastAsia="zh-CN"/>
        </w:rPr>
      </w:pPr>
      <w:r>
        <w:rPr>
          <w:lang w:val="en-US" w:eastAsia="zh-CN"/>
        </w:rPr>
        <w:t>The CRA is used to m</w:t>
      </w:r>
      <w:r w:rsidR="002C1DA9">
        <w:rPr>
          <w:lang w:val="en-US" w:eastAsia="zh-CN"/>
        </w:rPr>
        <w:t xml:space="preserve">easure emission </w:t>
      </w:r>
    </w:p>
    <w:p w:rsidR="00D2261D" w:rsidRDefault="00D2261D" w:rsidP="002C1DA9">
      <w:pPr>
        <w:overflowPunct w:val="0"/>
        <w:autoSpaceDE w:val="0"/>
        <w:autoSpaceDN w:val="0"/>
        <w:adjustRightInd w:val="0"/>
        <w:textAlignment w:val="baseline"/>
        <w:rPr>
          <w:lang w:val="en-US" w:eastAsia="zh-CN"/>
        </w:rPr>
      </w:pPr>
    </w:p>
    <w:p w:rsidR="00D2261D" w:rsidRDefault="00D2261D" w:rsidP="002C1DA9">
      <w:pPr>
        <w:overflowPunct w:val="0"/>
        <w:autoSpaceDE w:val="0"/>
        <w:autoSpaceDN w:val="0"/>
        <w:adjustRightInd w:val="0"/>
        <w:textAlignment w:val="baseline"/>
        <w:rPr>
          <w:lang w:val="en-US" w:eastAsia="zh-CN"/>
        </w:rPr>
      </w:pPr>
    </w:p>
    <w:p w:rsidR="00D2261D" w:rsidRDefault="00D2261D" w:rsidP="002C1DA9">
      <w:pPr>
        <w:overflowPunct w:val="0"/>
        <w:autoSpaceDE w:val="0"/>
        <w:autoSpaceDN w:val="0"/>
        <w:adjustRightInd w:val="0"/>
        <w:textAlignment w:val="baseline"/>
        <w:rPr>
          <w:lang w:val="en-US" w:eastAsia="zh-CN"/>
        </w:rPr>
      </w:pPr>
    </w:p>
    <w:p w:rsidR="00D2261D" w:rsidRDefault="00D2261D" w:rsidP="002C1DA9">
      <w:pPr>
        <w:overflowPunct w:val="0"/>
        <w:autoSpaceDE w:val="0"/>
        <w:autoSpaceDN w:val="0"/>
        <w:adjustRightInd w:val="0"/>
        <w:textAlignment w:val="baseline"/>
        <w:rPr>
          <w:lang w:val="en-US" w:eastAsia="zh-CN"/>
        </w:rPr>
      </w:pPr>
      <w:r>
        <w:rPr>
          <w:lang w:val="en-US" w:eastAsia="zh-CN"/>
        </w:rPr>
        <w:lastRenderedPageBreak/>
        <w:t xml:space="preserve">For both cases, the CRA needs to operate within the EUT operating band and within the EUT out-of-band region. </w:t>
      </w:r>
    </w:p>
    <w:p w:rsidR="001F1D0B" w:rsidRDefault="002C1DA9" w:rsidP="002C1DA9">
      <w:pPr>
        <w:overflowPunct w:val="0"/>
        <w:autoSpaceDE w:val="0"/>
        <w:autoSpaceDN w:val="0"/>
        <w:adjustRightInd w:val="0"/>
        <w:textAlignment w:val="baseline"/>
        <w:rPr>
          <w:lang w:val="en-US" w:eastAsia="zh-CN"/>
        </w:rPr>
      </w:pPr>
      <w:r>
        <w:rPr>
          <w:lang w:val="en-US" w:eastAsia="zh-CN"/>
        </w:rPr>
        <w:t xml:space="preserve">In the RF core specification (TS 37.105) co-location requirements </w:t>
      </w:r>
      <w:r w:rsidR="001F1D0B">
        <w:rPr>
          <w:lang w:val="en-US" w:eastAsia="zh-CN"/>
        </w:rPr>
        <w:t>have different classifications;</w:t>
      </w:r>
    </w:p>
    <w:p w:rsidR="001F1D0B" w:rsidRDefault="002C1DA9" w:rsidP="00394A37">
      <w:pPr>
        <w:numPr>
          <w:ilvl w:val="0"/>
          <w:numId w:val="8"/>
        </w:numPr>
        <w:tabs>
          <w:tab w:val="left" w:pos="709"/>
        </w:tabs>
        <w:overflowPunct w:val="0"/>
        <w:autoSpaceDE w:val="0"/>
        <w:autoSpaceDN w:val="0"/>
        <w:adjustRightInd w:val="0"/>
        <w:ind w:left="709" w:hanging="349"/>
        <w:textAlignment w:val="baseline"/>
        <w:rPr>
          <w:lang w:val="en-US" w:eastAsia="zh-CN"/>
        </w:rPr>
      </w:pPr>
      <w:r>
        <w:rPr>
          <w:lang w:val="en-US" w:eastAsia="zh-CN"/>
        </w:rPr>
        <w:t>OTA co-location u</w:t>
      </w:r>
      <w:r w:rsidRPr="0075488F">
        <w:rPr>
          <w:lang w:val="en-US" w:eastAsia="zh-CN"/>
        </w:rPr>
        <w:t xml:space="preserve">nwanted emission and </w:t>
      </w:r>
      <w:r>
        <w:rPr>
          <w:lang w:val="en-US" w:eastAsia="zh-CN"/>
        </w:rPr>
        <w:t xml:space="preserve">OTA co-location </w:t>
      </w:r>
      <w:r w:rsidRPr="0075488F">
        <w:rPr>
          <w:lang w:val="en-US" w:eastAsia="zh-CN"/>
        </w:rPr>
        <w:t xml:space="preserve">blocking requirements are optional requirements based on declaration. </w:t>
      </w:r>
    </w:p>
    <w:p w:rsidR="002C1DA9" w:rsidRDefault="001F1D0B" w:rsidP="00394A37">
      <w:pPr>
        <w:numPr>
          <w:ilvl w:val="0"/>
          <w:numId w:val="8"/>
        </w:numPr>
        <w:tabs>
          <w:tab w:val="left" w:pos="709"/>
        </w:tabs>
        <w:overflowPunct w:val="0"/>
        <w:autoSpaceDE w:val="0"/>
        <w:autoSpaceDN w:val="0"/>
        <w:adjustRightInd w:val="0"/>
        <w:textAlignment w:val="baseline"/>
        <w:rPr>
          <w:lang w:val="en-US" w:eastAsia="zh-CN"/>
        </w:rPr>
      </w:pPr>
      <w:r>
        <w:rPr>
          <w:lang w:val="en-US" w:eastAsia="zh-CN"/>
        </w:rPr>
        <w:t>OTA TDD</w:t>
      </w:r>
      <w:r w:rsidR="002C1DA9" w:rsidRPr="0075488F">
        <w:rPr>
          <w:lang w:val="en-US" w:eastAsia="zh-CN"/>
        </w:rPr>
        <w:t xml:space="preserve"> OFF</w:t>
      </w:r>
      <w:r>
        <w:rPr>
          <w:lang w:val="en-US" w:eastAsia="zh-CN"/>
        </w:rPr>
        <w:t xml:space="preserve"> power</w:t>
      </w:r>
      <w:r w:rsidR="002C1DA9" w:rsidRPr="0075488F">
        <w:rPr>
          <w:lang w:val="en-US" w:eastAsia="zh-CN"/>
        </w:rPr>
        <w:t xml:space="preserve"> and </w:t>
      </w:r>
      <w:r>
        <w:rPr>
          <w:lang w:val="en-US" w:eastAsia="zh-CN"/>
        </w:rPr>
        <w:t>OTA transmitter intermodulation</w:t>
      </w:r>
      <w:r w:rsidR="002C1DA9" w:rsidRPr="0075488F">
        <w:rPr>
          <w:lang w:val="en-US" w:eastAsia="zh-CN"/>
        </w:rPr>
        <w:t xml:space="preserve"> are mandatory requirements and is the form of a co-location requirement as it represents the worst</w:t>
      </w:r>
      <w:r>
        <w:rPr>
          <w:lang w:val="en-US" w:eastAsia="zh-CN"/>
        </w:rPr>
        <w:t>-</w:t>
      </w:r>
      <w:r w:rsidR="002C1DA9" w:rsidRPr="0075488F">
        <w:rPr>
          <w:lang w:val="en-US" w:eastAsia="zh-CN"/>
        </w:rPr>
        <w:t>case scenario of all the interference cases.</w:t>
      </w:r>
    </w:p>
    <w:p w:rsidR="0075488F" w:rsidRPr="0075488F" w:rsidRDefault="0075488F" w:rsidP="0075488F">
      <w:pPr>
        <w:overflowPunct w:val="0"/>
        <w:autoSpaceDE w:val="0"/>
        <w:autoSpaceDN w:val="0"/>
        <w:adjustRightInd w:val="0"/>
        <w:textAlignment w:val="baseline"/>
        <w:rPr>
          <w:lang w:val="en-US"/>
        </w:rPr>
      </w:pPr>
      <w:r w:rsidRPr="0075488F">
        <w:rPr>
          <w:lang w:val="en-US" w:eastAsia="zh-CN"/>
        </w:rPr>
        <w:t>The</w:t>
      </w:r>
      <w:r w:rsidR="001F1D0B">
        <w:rPr>
          <w:lang w:val="en-US" w:eastAsia="zh-CN"/>
        </w:rPr>
        <w:t xml:space="preserve"> CRA</w:t>
      </w:r>
      <w:r w:rsidRPr="0075488F">
        <w:rPr>
          <w:lang w:val="en-US" w:eastAsia="zh-CN"/>
        </w:rPr>
        <w:t>, shall be a</w:t>
      </w:r>
      <w:r w:rsidRPr="0075488F">
        <w:t xml:space="preserve"> single column passive antenna which has the same vertical radiating dimension (h), frequency range, polarization, as the composite antenna of AAS BS and nominal 65</w:t>
      </w:r>
      <w:r w:rsidR="001F1D0B">
        <w:t xml:space="preserve"> </w:t>
      </w:r>
      <w:r w:rsidRPr="0075488F">
        <w:t xml:space="preserve">degrees horizontal half-power beam width suitable for 3-sector deployments at a distance </w:t>
      </w:r>
      <w:r w:rsidRPr="0075488F">
        <w:rPr>
          <w:i/>
        </w:rPr>
        <w:t>d</w:t>
      </w:r>
      <w:r w:rsidR="001F1D0B">
        <w:t xml:space="preserve"> </w:t>
      </w:r>
      <w:r w:rsidRPr="0075488F">
        <w:t xml:space="preserve">from the edge of the </w:t>
      </w:r>
      <w:r w:rsidR="001F1D0B">
        <w:t>EUT.</w:t>
      </w:r>
      <w:r w:rsidR="001F1D0B">
        <w:rPr>
          <w:lang w:val="en-US"/>
        </w:rPr>
        <w:t xml:space="preserve"> The e</w:t>
      </w:r>
      <w:r w:rsidRPr="0075488F">
        <w:rPr>
          <w:lang w:val="en-US"/>
        </w:rPr>
        <w:t>dge-to-edge separation d, between the</w:t>
      </w:r>
      <w:r w:rsidR="001F1D0B">
        <w:rPr>
          <w:lang w:val="en-US"/>
        </w:rPr>
        <w:t xml:space="preserve"> EUT </w:t>
      </w:r>
      <w:r w:rsidRPr="0075488F">
        <w:rPr>
          <w:lang w:val="en-US"/>
        </w:rPr>
        <w:t>and the</w:t>
      </w:r>
      <w:r w:rsidR="001F1D0B">
        <w:rPr>
          <w:lang w:val="en-US"/>
        </w:rPr>
        <w:t xml:space="preserve"> CRA</w:t>
      </w:r>
      <w:r w:rsidRPr="0075488F">
        <w:rPr>
          <w:lang w:val="en-US"/>
        </w:rPr>
        <w:t xml:space="preserve"> shall be set to 0.1 m.</w:t>
      </w:r>
    </w:p>
    <w:p w:rsidR="0075488F" w:rsidRPr="0075488F" w:rsidRDefault="0075488F" w:rsidP="0075488F">
      <w:pPr>
        <w:overflowPunct w:val="0"/>
        <w:autoSpaceDE w:val="0"/>
        <w:autoSpaceDN w:val="0"/>
        <w:adjustRightInd w:val="0"/>
        <w:textAlignment w:val="baseline"/>
        <w:rPr>
          <w:lang w:eastAsia="zh-CN"/>
        </w:rPr>
      </w:pPr>
      <w:r w:rsidRPr="0075488F">
        <w:rPr>
          <w:lang w:val="en-US"/>
        </w:rPr>
        <w:t xml:space="preserve">The alignment of the </w:t>
      </w:r>
      <w:r w:rsidR="001F1D0B">
        <w:rPr>
          <w:lang w:val="en-US"/>
        </w:rPr>
        <w:t>EUT</w:t>
      </w:r>
      <w:r w:rsidRPr="0075488F">
        <w:rPr>
          <w:lang w:val="en-US"/>
        </w:rPr>
        <w:t xml:space="preserve"> and the</w:t>
      </w:r>
      <w:r w:rsidR="001F1D0B">
        <w:rPr>
          <w:lang w:val="en-US"/>
        </w:rPr>
        <w:t xml:space="preserve"> CRA</w:t>
      </w:r>
      <w:r w:rsidRPr="0075488F">
        <w:rPr>
          <w:lang w:val="en-US"/>
        </w:rPr>
        <w:t xml:space="preserve"> shall be aligned in a common plane perpendicular to the mechanical bore-sight direction, as shown in </w:t>
      </w:r>
      <w:r w:rsidR="001F1D0B">
        <w:rPr>
          <w:lang w:val="en-US"/>
        </w:rPr>
        <w:t>F</w:t>
      </w:r>
      <w:r w:rsidRPr="0075488F">
        <w:rPr>
          <w:lang w:val="en-US"/>
        </w:rPr>
        <w:t xml:space="preserve">igure </w:t>
      </w:r>
      <w:r w:rsidR="001F1D0B">
        <w:rPr>
          <w:lang w:val="en-US"/>
        </w:rPr>
        <w:t>2</w:t>
      </w:r>
      <w:r w:rsidRPr="0075488F">
        <w:rPr>
          <w:lang w:val="en-US"/>
        </w:rPr>
        <w:t xml:space="preserve">-1. </w:t>
      </w:r>
      <w:r w:rsidRPr="0075488F">
        <w:rPr>
          <w:lang w:eastAsia="zh-CN"/>
        </w:rPr>
        <w:t xml:space="preserve">For co-location requirements </w:t>
      </w:r>
      <w:r w:rsidR="001F1D0B">
        <w:rPr>
          <w:lang w:eastAsia="zh-CN"/>
        </w:rPr>
        <w:t xml:space="preserve">(OTA co-location blocking and OTA spurious emission) </w:t>
      </w:r>
      <w:r w:rsidRPr="0075488F">
        <w:rPr>
          <w:lang w:eastAsia="zh-CN"/>
        </w:rPr>
        <w:t>where the frequency range of the signal at the</w:t>
      </w:r>
      <w:r w:rsidR="001F1D0B">
        <w:rPr>
          <w:lang w:eastAsia="zh-CN"/>
        </w:rPr>
        <w:t xml:space="preserve"> CRA</w:t>
      </w:r>
      <w:r w:rsidRPr="0075488F">
        <w:rPr>
          <w:lang w:eastAsia="zh-CN"/>
        </w:rPr>
        <w:t xml:space="preserve"> is different from the </w:t>
      </w:r>
      <w:r w:rsidR="001F1D0B">
        <w:rPr>
          <w:lang w:eastAsia="zh-CN"/>
        </w:rPr>
        <w:t>EUT</w:t>
      </w:r>
      <w:r w:rsidRPr="0075488F">
        <w:rPr>
          <w:lang w:eastAsia="zh-CN"/>
        </w:rPr>
        <w:t>, a</w:t>
      </w:r>
      <w:r w:rsidR="001F1D0B">
        <w:rPr>
          <w:lang w:eastAsia="zh-CN"/>
        </w:rPr>
        <w:t xml:space="preserve"> CRA</w:t>
      </w:r>
      <w:r w:rsidRPr="0075488F">
        <w:rPr>
          <w:lang w:eastAsia="zh-CN"/>
        </w:rPr>
        <w:t xml:space="preserve"> suitable for the frequency stated in the requirement is assumed.</w:t>
      </w:r>
    </w:p>
    <w:p w:rsidR="0075488F" w:rsidRDefault="001F1D0B" w:rsidP="001F1D0B">
      <w:pPr>
        <w:overflowPunct w:val="0"/>
        <w:autoSpaceDE w:val="0"/>
        <w:autoSpaceDN w:val="0"/>
        <w:adjustRightInd w:val="0"/>
        <w:textAlignment w:val="baseline"/>
      </w:pPr>
      <w:r>
        <w:rPr>
          <w:lang w:val="en-US" w:eastAsia="zh-CN"/>
        </w:rPr>
        <w:t>All</w:t>
      </w:r>
      <w:r w:rsidRPr="0075488F">
        <w:rPr>
          <w:lang w:val="en-US" w:eastAsia="zh-CN"/>
        </w:rPr>
        <w:t xml:space="preserve"> </w:t>
      </w:r>
      <w:r w:rsidR="0075488F" w:rsidRPr="0075488F">
        <w:rPr>
          <w:lang w:val="en-US" w:eastAsia="zh-CN"/>
        </w:rPr>
        <w:t>co-location requirements are based on power at the conducted interface of a</w:t>
      </w:r>
      <w:r>
        <w:rPr>
          <w:lang w:val="en-US" w:eastAsia="zh-CN"/>
        </w:rPr>
        <w:t xml:space="preserve"> CRA</w:t>
      </w:r>
      <w:r w:rsidR="0075488F" w:rsidRPr="0075488F">
        <w:rPr>
          <w:lang w:val="en-US" w:eastAsia="zh-CN"/>
        </w:rPr>
        <w:t xml:space="preserve">, depending on the requirement this interface is either an input or an output. For </w:t>
      </w:r>
      <w:r>
        <w:rPr>
          <w:lang w:val="en-US" w:eastAsia="zh-CN"/>
        </w:rPr>
        <w:t>EUT</w:t>
      </w:r>
      <w:r w:rsidR="0075488F" w:rsidRPr="0075488F">
        <w:rPr>
          <w:lang w:val="en-US" w:eastAsia="zh-CN"/>
        </w:rPr>
        <w:t xml:space="preserve"> with dual polarization the</w:t>
      </w:r>
      <w:r>
        <w:rPr>
          <w:lang w:val="en-US" w:eastAsia="zh-CN"/>
        </w:rPr>
        <w:t xml:space="preserve"> CRA</w:t>
      </w:r>
      <w:r w:rsidR="0075488F" w:rsidRPr="0075488F">
        <w:rPr>
          <w:lang w:val="en-US" w:eastAsia="zh-CN"/>
        </w:rPr>
        <w:t xml:space="preserve"> has two conducted interfaces each representing one polarization.</w:t>
      </w:r>
    </w:p>
    <w:p w:rsidR="00A9666D" w:rsidRPr="00A9666D" w:rsidRDefault="00D117B8" w:rsidP="00A9666D">
      <w:pPr>
        <w:spacing w:after="120"/>
        <w:ind w:firstLine="156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320.25pt;height:253.5pt;visibility:visible;mso-wrap-style:square">
            <v:imagedata r:id="rId9" o:title=""/>
          </v:shape>
        </w:pict>
      </w:r>
      <w:r w:rsidR="00A9666D" w:rsidRPr="00A9666D" w:rsidDel="00912A18">
        <w:t xml:space="preserve"> </w:t>
      </w:r>
    </w:p>
    <w:p w:rsidR="00A9666D" w:rsidRPr="00A9666D" w:rsidRDefault="00A9666D" w:rsidP="00A9666D">
      <w:pPr>
        <w:keepLines/>
        <w:spacing w:after="240"/>
        <w:jc w:val="center"/>
        <w:outlineLvl w:val="0"/>
        <w:rPr>
          <w:rFonts w:ascii="Arial" w:hAnsi="Arial"/>
          <w:b/>
          <w:lang w:eastAsia="x-none"/>
        </w:rPr>
      </w:pPr>
      <w:r w:rsidRPr="00A9666D">
        <w:rPr>
          <w:rFonts w:ascii="Arial" w:hAnsi="Arial"/>
          <w:b/>
          <w:lang w:eastAsia="x-none"/>
        </w:rPr>
        <w:t>Figure 2-1: EUT/CRA setup</w:t>
      </w:r>
    </w:p>
    <w:p w:rsidR="00D2261D" w:rsidRDefault="00D2261D" w:rsidP="0062745C">
      <w:pPr>
        <w:pStyle w:val="BodyText"/>
      </w:pPr>
      <w:r>
        <w:t xml:space="preserve">This description of the CRA and alignment is defined with wide-area base station co-location scenario in mind. For other base station classes (medium range and local area), it is worth to further study if details of the description need additions to apply for all scenarios. </w:t>
      </w:r>
    </w:p>
    <w:p w:rsidR="00A9666D" w:rsidRDefault="00A9666D" w:rsidP="0062745C">
      <w:pPr>
        <w:pStyle w:val="BodyText"/>
      </w:pPr>
      <w:r>
        <w:t>Instead of using a passive base station antenna</w:t>
      </w:r>
      <w:r w:rsidR="003607E5">
        <w:t xml:space="preserve"> as CRA</w:t>
      </w:r>
      <w:r>
        <w:t xml:space="preserve">, any antenna can be used </w:t>
      </w:r>
      <w:r w:rsidR="003607E5">
        <w:t xml:space="preserve">as test CRA (TCRA) </w:t>
      </w:r>
      <w:r>
        <w:t>under the</w:t>
      </w:r>
      <w:r w:rsidR="003607E5">
        <w:t xml:space="preserve"> following </w:t>
      </w:r>
      <w:r>
        <w:t>conditions;</w:t>
      </w:r>
    </w:p>
    <w:p w:rsidR="00A9666D" w:rsidRDefault="00A9666D" w:rsidP="00A9666D">
      <w:pPr>
        <w:pStyle w:val="BodyText"/>
        <w:numPr>
          <w:ilvl w:val="0"/>
          <w:numId w:val="7"/>
        </w:numPr>
        <w:tabs>
          <w:tab w:val="left" w:pos="851"/>
        </w:tabs>
        <w:ind w:left="851" w:hanging="491"/>
      </w:pPr>
      <w:r>
        <w:t>The transceiver in the EUT experience the same interferer signal, in the case of transmitter intermodulation and receiver blocking.</w:t>
      </w:r>
    </w:p>
    <w:p w:rsidR="00A9666D" w:rsidRDefault="00A9666D" w:rsidP="0091503A">
      <w:pPr>
        <w:pStyle w:val="BodyText"/>
        <w:numPr>
          <w:ilvl w:val="0"/>
          <w:numId w:val="7"/>
        </w:numPr>
        <w:tabs>
          <w:tab w:val="left" w:pos="851"/>
        </w:tabs>
        <w:ind w:left="851" w:hanging="491"/>
      </w:pPr>
      <w:r>
        <w:t>The emission level measured for unwanted emission and TDD OFF power is kept equal as the emission measured with the CRA described in TS 37.105, sub-clause 4.10.</w:t>
      </w:r>
    </w:p>
    <w:p w:rsidR="00A9666D" w:rsidRDefault="009940B8" w:rsidP="00A9666D">
      <w:pPr>
        <w:pStyle w:val="BodyText"/>
      </w:pPr>
      <w:r>
        <w:t xml:space="preserve">A </w:t>
      </w:r>
      <w:r w:rsidR="0091503A">
        <w:t>generalized</w:t>
      </w:r>
      <w:r>
        <w:t xml:space="preserve"> co-location concept where a general </w:t>
      </w:r>
      <w:r w:rsidR="0091503A">
        <w:t>test antenna</w:t>
      </w:r>
      <w:r>
        <w:t xml:space="preserve"> located at any angle would </w:t>
      </w:r>
      <w:r w:rsidR="0091503A">
        <w:t xml:space="preserve">open for potential simplification during OTA testing. </w:t>
      </w:r>
    </w:p>
    <w:p w:rsidR="0091503A" w:rsidRDefault="0091503A" w:rsidP="00A9666D">
      <w:pPr>
        <w:pStyle w:val="BodyText"/>
      </w:pPr>
    </w:p>
    <w:p w:rsidR="0091503A" w:rsidRPr="00C6266C" w:rsidRDefault="0091503A" w:rsidP="00C6266C">
      <w:pPr>
        <w:pStyle w:val="BodyText"/>
        <w:numPr>
          <w:ilvl w:val="1"/>
          <w:numId w:val="7"/>
        </w:numPr>
        <w:tabs>
          <w:tab w:val="left" w:pos="709"/>
        </w:tabs>
        <w:ind w:hanging="720"/>
        <w:rPr>
          <w:rFonts w:ascii="Arial" w:hAnsi="Arial" w:cs="Arial"/>
        </w:rPr>
      </w:pPr>
      <w:bookmarkStart w:id="2" w:name="_Hlk516213588"/>
      <w:r w:rsidRPr="00C6266C">
        <w:rPr>
          <w:rFonts w:ascii="Arial" w:hAnsi="Arial" w:cs="Arial"/>
        </w:rPr>
        <w:lastRenderedPageBreak/>
        <w:t>Injection of interferer signal</w:t>
      </w:r>
    </w:p>
    <w:bookmarkEnd w:id="2"/>
    <w:p w:rsidR="00A9666D" w:rsidRDefault="0091503A" w:rsidP="0062745C">
      <w:pPr>
        <w:pStyle w:val="BodyText"/>
      </w:pPr>
      <w:r>
        <w:t xml:space="preserve">For the case where an interfering signal is injected in the EUT, such as transmitter intermodulation and receiver blocking, changing CRA type and location with respect to the EUT will also affect the interferer level </w:t>
      </w:r>
      <w:r w:rsidR="003607E5">
        <w:t>(P</w:t>
      </w:r>
      <w:r w:rsidR="003607E5" w:rsidRPr="003607E5">
        <w:rPr>
          <w:vertAlign w:val="subscript"/>
        </w:rPr>
        <w:t>I</w:t>
      </w:r>
      <w:r w:rsidR="003607E5">
        <w:t xml:space="preserve">) </w:t>
      </w:r>
      <w:r>
        <w:t>feed to the CRA</w:t>
      </w:r>
      <w:r w:rsidR="003607E5">
        <w:t>, as showing in Figure 2.1-1.</w:t>
      </w:r>
      <w:r>
        <w:t xml:space="preserve"> </w:t>
      </w:r>
    </w:p>
    <w:p w:rsidR="003607E5" w:rsidRDefault="003607E5" w:rsidP="0062745C">
      <w:pPr>
        <w:pStyle w:val="BodyText"/>
      </w:pPr>
      <w:r>
        <w:t xml:space="preserve">Since there is a need to rotate the EUT when measuring TRP part of transmitter intermodulation a mechanical structure is attached between the positioner and the TCRA. </w:t>
      </w:r>
    </w:p>
    <w:p w:rsidR="00556E8B" w:rsidRDefault="00556E8B" w:rsidP="003607E5">
      <w:pPr>
        <w:pStyle w:val="BodyText"/>
        <w:ind w:firstLine="1560"/>
      </w:pPr>
    </w:p>
    <w:p w:rsidR="003607E5" w:rsidRDefault="00D117B8" w:rsidP="00556E8B">
      <w:pPr>
        <w:keepLines/>
        <w:spacing w:after="240"/>
        <w:jc w:val="center"/>
        <w:outlineLvl w:val="0"/>
        <w:rPr>
          <w:rFonts w:ascii="Arial" w:hAnsi="Arial"/>
          <w:b/>
          <w:lang w:eastAsia="x-none"/>
        </w:rPr>
      </w:pPr>
      <w:r>
        <w:pict>
          <v:shape id="_x0000_i1026" type="#_x0000_t75" style="width:369pt;height:182.25pt">
            <v:imagedata r:id="rId10" o:title=""/>
          </v:shape>
        </w:pict>
      </w:r>
    </w:p>
    <w:p w:rsidR="00556E8B" w:rsidRPr="00A9666D" w:rsidRDefault="00556E8B" w:rsidP="00556E8B">
      <w:pPr>
        <w:keepLines/>
        <w:spacing w:after="240"/>
        <w:jc w:val="center"/>
        <w:outlineLvl w:val="0"/>
        <w:rPr>
          <w:rFonts w:ascii="Arial" w:hAnsi="Arial"/>
          <w:b/>
          <w:lang w:eastAsia="x-none"/>
        </w:rPr>
      </w:pPr>
      <w:r w:rsidRPr="00A9666D">
        <w:rPr>
          <w:rFonts w:ascii="Arial" w:hAnsi="Arial"/>
          <w:b/>
          <w:lang w:eastAsia="x-none"/>
        </w:rPr>
        <w:t>Figure 2</w:t>
      </w:r>
      <w:r>
        <w:rPr>
          <w:rFonts w:ascii="Arial" w:hAnsi="Arial"/>
          <w:b/>
          <w:lang w:eastAsia="x-none"/>
        </w:rPr>
        <w:t>.1</w:t>
      </w:r>
      <w:r w:rsidRPr="00A9666D">
        <w:rPr>
          <w:rFonts w:ascii="Arial" w:hAnsi="Arial"/>
          <w:b/>
          <w:lang w:eastAsia="x-none"/>
        </w:rPr>
        <w:t xml:space="preserve">-1: </w:t>
      </w:r>
      <w:r>
        <w:rPr>
          <w:rFonts w:ascii="Arial" w:hAnsi="Arial"/>
          <w:b/>
          <w:lang w:eastAsia="x-none"/>
        </w:rPr>
        <w:t>Injection of interferer signal</w:t>
      </w:r>
    </w:p>
    <w:p w:rsidR="00C6266C" w:rsidRDefault="0091503A" w:rsidP="0062745C">
      <w:pPr>
        <w:pStyle w:val="BodyText"/>
      </w:pPr>
      <w:r>
        <w:t xml:space="preserve">The challenge is to find an analytical expression </w:t>
      </w:r>
      <w:r w:rsidR="00BF3033">
        <w:t xml:space="preserve">or procedure </w:t>
      </w:r>
      <w:r>
        <w:t>for how the inter</w:t>
      </w:r>
      <w:r w:rsidR="00C6266C">
        <w:t>ferer</w:t>
      </w:r>
      <w:r>
        <w:t xml:space="preserve"> power </w:t>
      </w:r>
      <w:r w:rsidR="00C6266C">
        <w:t xml:space="preserve">level </w:t>
      </w:r>
      <w:r>
        <w:t>feed to the CRA is determined based on location and antenna characteristics.</w:t>
      </w:r>
      <w:r w:rsidR="00C6266C">
        <w:t xml:space="preserve"> The intension is to inject the same level as specified by the RF core requirement in TS 37.105, sub-clause 4.10. To be able to find this baseline for the interferer level, a coupling model capturing the coupling between EUT elements and the CRA is necessary together with EUT antenna parameters.</w:t>
      </w:r>
    </w:p>
    <w:p w:rsidR="00B51D90" w:rsidRDefault="003607E5" w:rsidP="0062745C">
      <w:pPr>
        <w:pStyle w:val="BodyText"/>
        <w:rPr>
          <w:lang w:val="en-US"/>
        </w:rPr>
      </w:pPr>
      <w:bookmarkStart w:id="3" w:name="_Hlk516216622"/>
      <w:r>
        <w:t xml:space="preserve">The </w:t>
      </w:r>
      <w:r w:rsidR="00B51D90">
        <w:t xml:space="preserve">interferer </w:t>
      </w:r>
      <w:r>
        <w:t xml:space="preserve">signal level feed to the TCRA </w:t>
      </w:r>
      <w:r w:rsidR="00B51D90">
        <w:t>can</w:t>
      </w:r>
      <w:r>
        <w:t xml:space="preserve"> be described as:</w:t>
      </w:r>
      <w:r w:rsidR="00B51D90">
        <w:rPr>
          <w:lang w:val="en-US"/>
        </w:rPr>
        <w:t xml:space="preserve"> </w:t>
      </w:r>
    </w:p>
    <w:p w:rsidR="00947E16" w:rsidRPr="00D17EF2" w:rsidRDefault="003607E5" w:rsidP="0062745C">
      <w:pPr>
        <w:pStyle w:val="BodyText"/>
        <w:rPr>
          <w:lang w:val="sv-SE"/>
        </w:rPr>
      </w:pPr>
      <w:r w:rsidRPr="00D17EF2">
        <w:rPr>
          <w:lang w:val="sv-SE"/>
        </w:rPr>
        <w:t>P</w:t>
      </w:r>
      <w:r w:rsidRPr="00D17EF2">
        <w:rPr>
          <w:vertAlign w:val="subscript"/>
          <w:lang w:val="sv-SE"/>
        </w:rPr>
        <w:t>I</w:t>
      </w:r>
      <w:r w:rsidRPr="00D17EF2">
        <w:rPr>
          <w:lang w:val="sv-SE"/>
        </w:rPr>
        <w:t xml:space="preserve"> = </w:t>
      </w:r>
      <w:proofErr w:type="gramStart"/>
      <w:r w:rsidR="00B51D90" w:rsidRPr="00D17EF2">
        <w:rPr>
          <w:lang w:val="sv-SE"/>
        </w:rPr>
        <w:t>F</w:t>
      </w:r>
      <w:r w:rsidR="006E2FAD" w:rsidRPr="00D17EF2">
        <w:rPr>
          <w:vertAlign w:val="subscript"/>
          <w:lang w:val="sv-SE"/>
        </w:rPr>
        <w:t>I</w:t>
      </w:r>
      <w:r w:rsidRPr="00D17EF2">
        <w:rPr>
          <w:lang w:val="sv-SE"/>
        </w:rPr>
        <w:t>(</w:t>
      </w:r>
      <w:proofErr w:type="gramEnd"/>
      <w:r w:rsidRPr="00D17EF2">
        <w:rPr>
          <w:lang w:val="sv-SE"/>
        </w:rPr>
        <w:t>d, G</w:t>
      </w:r>
      <w:r w:rsidRPr="00D17EF2">
        <w:rPr>
          <w:vertAlign w:val="subscript"/>
          <w:lang w:val="sv-SE"/>
        </w:rPr>
        <w:t>EUT</w:t>
      </w:r>
      <w:r w:rsidRPr="00D17EF2">
        <w:rPr>
          <w:lang w:val="sv-SE"/>
        </w:rPr>
        <w:t>, G</w:t>
      </w:r>
      <w:r w:rsidRPr="00D17EF2">
        <w:rPr>
          <w:vertAlign w:val="subscript"/>
          <w:lang w:val="sv-SE"/>
        </w:rPr>
        <w:t>T</w:t>
      </w:r>
      <w:r w:rsidR="00B51D90" w:rsidRPr="00D17EF2">
        <w:rPr>
          <w:vertAlign w:val="subscript"/>
          <w:lang w:val="sv-SE"/>
        </w:rPr>
        <w:t>C</w:t>
      </w:r>
      <w:r w:rsidRPr="00D17EF2">
        <w:rPr>
          <w:vertAlign w:val="subscript"/>
          <w:lang w:val="sv-SE"/>
        </w:rPr>
        <w:t>RA</w:t>
      </w:r>
      <w:r w:rsidRPr="00D17EF2">
        <w:rPr>
          <w:lang w:val="sv-SE"/>
        </w:rPr>
        <w:t>, f)</w:t>
      </w:r>
    </w:p>
    <w:p w:rsidR="00394A37" w:rsidRPr="00B51D90" w:rsidRDefault="00B51D90" w:rsidP="0062745C">
      <w:pPr>
        <w:pStyle w:val="BodyText"/>
        <w:rPr>
          <w:lang w:val="en-US"/>
        </w:rPr>
      </w:pPr>
      <w:r>
        <w:rPr>
          <w:lang w:val="en-US"/>
        </w:rPr>
        <w:t>, where d is the distance between EUT and TCRA, G</w:t>
      </w:r>
      <w:r w:rsidRPr="00B51D90">
        <w:rPr>
          <w:vertAlign w:val="subscript"/>
          <w:lang w:val="en-US"/>
        </w:rPr>
        <w:t>EUT</w:t>
      </w:r>
      <w:r>
        <w:rPr>
          <w:lang w:val="en-US"/>
        </w:rPr>
        <w:t xml:space="preserve"> is the EUT element gain, G</w:t>
      </w:r>
      <w:r w:rsidRPr="00B51D90">
        <w:rPr>
          <w:vertAlign w:val="subscript"/>
          <w:lang w:val="en-US"/>
        </w:rPr>
        <w:t>TCRA</w:t>
      </w:r>
      <w:r>
        <w:rPr>
          <w:lang w:val="en-US"/>
        </w:rPr>
        <w:t xml:space="preserve"> is the gain of the TCRA, f is the frequency and F</w:t>
      </w:r>
      <w:r w:rsidR="006E2FAD" w:rsidRPr="00947E16">
        <w:rPr>
          <w:vertAlign w:val="subscript"/>
          <w:lang w:val="en-US"/>
        </w:rPr>
        <w:t>I</w:t>
      </w:r>
      <w:r>
        <w:rPr>
          <w:lang w:val="en-US"/>
        </w:rPr>
        <w:t xml:space="preserve"> is a</w:t>
      </w:r>
      <w:r w:rsidR="00DE75F1">
        <w:rPr>
          <w:lang w:val="en-US"/>
        </w:rPr>
        <w:t>n</w:t>
      </w:r>
      <w:r>
        <w:rPr>
          <w:lang w:val="en-US"/>
        </w:rPr>
        <w:t xml:space="preserve"> unknown function holding information about the base line coupling determined by the </w:t>
      </w:r>
      <w:r w:rsidR="004935E9">
        <w:rPr>
          <w:lang w:val="en-US"/>
        </w:rPr>
        <w:t xml:space="preserve">co-location scenario used as base line for the </w:t>
      </w:r>
      <w:r>
        <w:rPr>
          <w:lang w:val="en-US"/>
        </w:rPr>
        <w:t xml:space="preserve">CRA described in TS 37.105.  </w:t>
      </w:r>
    </w:p>
    <w:p w:rsidR="00B51D90" w:rsidRDefault="00C6266C" w:rsidP="0062745C">
      <w:pPr>
        <w:pStyle w:val="BodyText"/>
      </w:pPr>
      <w:r>
        <w:t xml:space="preserve">An alternative approach is to use the CRA as described in TS 37.105 as base line in a calibration procedure. Then the received interferer level per transceiver can be determined by the EUT. The receiver power level is stored in the EUT for all transceivers in the AAS base station. </w:t>
      </w:r>
      <w:r w:rsidR="00F433F9">
        <w:t xml:space="preserve">Then the traditional CRA is replaced with a </w:t>
      </w:r>
      <w:r w:rsidR="00EC379B">
        <w:t>T</w:t>
      </w:r>
      <w:r w:rsidR="00F433F9">
        <w:t xml:space="preserve">CRA (which can be a dipole antenna or horn antenna), which can be placed at an angle aligned to the EUT mechanical bore-sight. </w:t>
      </w:r>
    </w:p>
    <w:p w:rsidR="00A9666D" w:rsidRDefault="00B51D90" w:rsidP="0062745C">
      <w:pPr>
        <w:pStyle w:val="BodyText"/>
      </w:pPr>
      <w:r>
        <w:t>Then</w:t>
      </w:r>
      <w:r w:rsidR="00F433F9">
        <w:t xml:space="preserve"> the power level feed to the test </w:t>
      </w:r>
      <w:r w:rsidR="00AF5937">
        <w:t>T</w:t>
      </w:r>
      <w:r w:rsidR="00F433F9">
        <w:t xml:space="preserve">CRA is adjusted until the level measured per EUT transceiver is equal or higher than the level recorded from the traditional CRA. </w:t>
      </w:r>
      <w:r w:rsidR="001F562D">
        <w:t xml:space="preserve">The challenge with the calibration approach is to find the reference to the calibration. The intension is that the reference should correspond to the isolation </w:t>
      </w:r>
      <w:r w:rsidR="00D17EF2">
        <w:t>achieved by the CRA defined in TS 37.105, sub-clause 4.10. This isolation would depend on frequency and is not 30 dB (used as baseline for legacy requirements) as shown in companion contributions [1, 4].</w:t>
      </w:r>
    </w:p>
    <w:bookmarkEnd w:id="3"/>
    <w:p w:rsidR="00A9666D" w:rsidRDefault="00A9666D" w:rsidP="0062745C">
      <w:pPr>
        <w:pStyle w:val="BodyText"/>
      </w:pPr>
    </w:p>
    <w:p w:rsidR="00394A37" w:rsidRPr="00C6266C" w:rsidRDefault="00394A37" w:rsidP="00C268A9">
      <w:pPr>
        <w:pStyle w:val="BodyText"/>
        <w:numPr>
          <w:ilvl w:val="1"/>
          <w:numId w:val="7"/>
        </w:numPr>
        <w:tabs>
          <w:tab w:val="left" w:pos="709"/>
        </w:tabs>
        <w:ind w:hanging="720"/>
        <w:rPr>
          <w:rFonts w:ascii="Arial" w:hAnsi="Arial" w:cs="Arial"/>
        </w:rPr>
      </w:pPr>
      <w:r>
        <w:rPr>
          <w:rFonts w:ascii="Arial" w:hAnsi="Arial" w:cs="Arial"/>
        </w:rPr>
        <w:t>Measure emission</w:t>
      </w:r>
    </w:p>
    <w:p w:rsidR="00DE75F1" w:rsidRDefault="00AF5937" w:rsidP="0062745C">
      <w:pPr>
        <w:pStyle w:val="BodyText"/>
      </w:pPr>
      <w:r>
        <w:t xml:space="preserve">One of the driving factors for the co-location concept in </w:t>
      </w:r>
      <w:proofErr w:type="spellStart"/>
      <w:r>
        <w:t>eAAS</w:t>
      </w:r>
      <w:proofErr w:type="spellEnd"/>
      <w:r>
        <w:t xml:space="preserve"> WI was </w:t>
      </w:r>
      <w:r w:rsidRPr="00AF5937">
        <w:t xml:space="preserve">the </w:t>
      </w:r>
      <w:r>
        <w:t xml:space="preserve">very </w:t>
      </w:r>
      <w:r w:rsidRPr="00AF5937">
        <w:t xml:space="preserve">low </w:t>
      </w:r>
      <w:r>
        <w:t xml:space="preserve">requirement </w:t>
      </w:r>
      <w:r w:rsidRPr="00AF5937">
        <w:t>level</w:t>
      </w:r>
      <w:r>
        <w:t xml:space="preserve">s part of OTA unwanted emission requirements and OTA TDD OFF power requirement. The co-location concept measures emission in the near-field region mimicking a real base station to base station co-location scenario and </w:t>
      </w:r>
      <w:proofErr w:type="gramStart"/>
      <w:r>
        <w:t>was seen as</w:t>
      </w:r>
      <w:proofErr w:type="gramEnd"/>
      <w:r>
        <w:t xml:space="preserve"> </w:t>
      </w:r>
      <w:r w:rsidRPr="00AF5937">
        <w:t>the most suitable method to show conformance.</w:t>
      </w:r>
      <w:r>
        <w:t xml:space="preserve"> Using a traditional far-field test range would be unrealistic due to the path-loss (typically 50-60 dB) in the chamber required to maintain the far-field criteria. </w:t>
      </w:r>
    </w:p>
    <w:p w:rsidR="004935E9" w:rsidRDefault="00947E16" w:rsidP="0062745C">
      <w:pPr>
        <w:pStyle w:val="BodyText"/>
      </w:pPr>
      <w:r>
        <w:t>Using a dipole antenna or horn antenna as TCRA for emission measurement requires careful consideration o</w:t>
      </w:r>
      <w:r w:rsidR="00DE75F1">
        <w:t>f</w:t>
      </w:r>
      <w:r>
        <w:t xml:space="preserve"> the test distance. For a test distance less than the far-field criteria associated to the physical size of the radiating aperture, the receiver power by the TCRA </w:t>
      </w:r>
      <w:r w:rsidR="00DE75F1">
        <w:t xml:space="preserve">risk </w:t>
      </w:r>
      <w:r>
        <w:t>not capture all emissions generated by the EUT.</w:t>
      </w:r>
      <w:r w:rsidR="00DE75F1">
        <w:t xml:space="preserve"> Its not clear how the TCRA shall be selected and located to replicate the result of the specific CRA. </w:t>
      </w:r>
    </w:p>
    <w:p w:rsidR="003B61A8" w:rsidRDefault="001F562D" w:rsidP="003B61A8">
      <w:pPr>
        <w:pBdr>
          <w:bottom w:val="single" w:sz="4" w:space="1" w:color="auto"/>
        </w:pBdr>
      </w:pPr>
      <w:r>
        <w:lastRenderedPageBreak/>
        <w:t xml:space="preserve">A potential solution could be to calibrate the isolation and thereby secure uniform illumination by the alternative approach based on a calibration introduced for the case where an interferer signal is injected (in section 2.1). By using the same antenna and placement for all co-location requirements a generalized TCRA can be defined in the case of measuring emission. </w:t>
      </w:r>
    </w:p>
    <w:p w:rsidR="00D17EF2" w:rsidRDefault="00D17EF2"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Conclusion</w:t>
      </w:r>
    </w:p>
    <w:p w:rsidR="00DE75F1" w:rsidRDefault="00DE75F1" w:rsidP="003B61A8">
      <w:pPr>
        <w:pStyle w:val="BodyText"/>
      </w:pPr>
      <w:r>
        <w:t xml:space="preserve">In this contribution some background and ideas for how to define a generalized </w:t>
      </w:r>
      <w:r w:rsidR="001F562D">
        <w:t xml:space="preserve">test </w:t>
      </w:r>
      <w:r>
        <w:t xml:space="preserve">co-location reference antenna (TCRA) can be defined in the conformance test specification. </w:t>
      </w:r>
    </w:p>
    <w:p w:rsidR="00DE75F1" w:rsidRDefault="00DE75F1" w:rsidP="003B61A8">
      <w:pPr>
        <w:pStyle w:val="BodyText"/>
      </w:pPr>
      <w:r>
        <w:t xml:space="preserve">Its clear that there is no </w:t>
      </w:r>
      <w:r w:rsidR="001F562D">
        <w:t xml:space="preserve">simple </w:t>
      </w:r>
      <w:r>
        <w:t>common</w:t>
      </w:r>
      <w:r w:rsidR="003B61A8">
        <w:t xml:space="preserve"> </w:t>
      </w:r>
      <w:r>
        <w:t>solution that can be used for all co-location requirements.</w:t>
      </w:r>
    </w:p>
    <w:p w:rsidR="00DE75F1" w:rsidRDefault="00DE75F1" w:rsidP="00DE75F1">
      <w:pPr>
        <w:pStyle w:val="BodyText"/>
      </w:pPr>
      <w:r>
        <w:t>For co-location requirements where an interferer signal is injected (transmitter intermodulation and receiver blocking), two different approaches have been identified;</w:t>
      </w:r>
    </w:p>
    <w:p w:rsidR="00DE75F1" w:rsidRDefault="00DE75F1" w:rsidP="00C9626A">
      <w:pPr>
        <w:pStyle w:val="BodyText"/>
        <w:numPr>
          <w:ilvl w:val="0"/>
          <w:numId w:val="10"/>
        </w:numPr>
        <w:tabs>
          <w:tab w:val="left" w:pos="851"/>
        </w:tabs>
        <w:ind w:left="851" w:hanging="491"/>
      </w:pPr>
      <w:r>
        <w:t xml:space="preserve">RAN4 needs to establish a parameterized coupling model to be able to determine the interferer power level injected to the TCRA. </w:t>
      </w:r>
    </w:p>
    <w:p w:rsidR="00875FAB" w:rsidRDefault="00D17EF2" w:rsidP="00C9626A">
      <w:pPr>
        <w:pStyle w:val="BodyText"/>
        <w:numPr>
          <w:ilvl w:val="0"/>
          <w:numId w:val="10"/>
        </w:numPr>
        <w:tabs>
          <w:tab w:val="left" w:pos="851"/>
        </w:tabs>
        <w:ind w:left="851" w:hanging="491"/>
      </w:pPr>
      <w:r>
        <w:t xml:space="preserve">RAN4 needs to </w:t>
      </w:r>
      <w:r w:rsidR="007970AD">
        <w:t>describe</w:t>
      </w:r>
      <w:r w:rsidR="00DE75F1">
        <w:t xml:space="preserve"> an optional procedure where the CRA is used </w:t>
      </w:r>
      <w:r w:rsidR="00875FAB">
        <w:t>as a calibration reference. Then any antenna and location can be used for the TCRA.</w:t>
      </w:r>
    </w:p>
    <w:p w:rsidR="001F562D" w:rsidRDefault="001F562D" w:rsidP="00875FAB">
      <w:pPr>
        <w:pStyle w:val="BodyText"/>
      </w:pPr>
      <w:r>
        <w:t xml:space="preserve">Potentially, for option 2, the antenna and location can be fixed which would allow for conformance testing of all co-location requirements. </w:t>
      </w:r>
    </w:p>
    <w:p w:rsidR="001F562D" w:rsidRDefault="001F562D" w:rsidP="00875FAB">
      <w:pPr>
        <w:pStyle w:val="BodyText"/>
      </w:pPr>
      <w:r>
        <w:t xml:space="preserve">The drawback with option 2 is that it will require a calibration procedure to be added to the conformance test specification. Also, the isolation to be used as reference for the calibration must be defined by RAN4. </w:t>
      </w:r>
    </w:p>
    <w:p w:rsidR="00D17EF2" w:rsidRDefault="00D17EF2" w:rsidP="00875FAB">
      <w:pPr>
        <w:pStyle w:val="BodyText"/>
      </w:pPr>
      <w:r>
        <w:t xml:space="preserve">In companion contributions, draft CRs to improve specification text and background information is presented for approval in [2, 3]. </w:t>
      </w:r>
    </w:p>
    <w:p w:rsidR="00D17EF2" w:rsidRDefault="00D17EF2" w:rsidP="00875FAB">
      <w:pPr>
        <w:pStyle w:val="BodyText"/>
      </w:pPr>
      <w:r>
        <w:t xml:space="preserve">For Rel-15, it is suggested to allow for flexibility in terms of selection of the CRA as discussed in [1, 4] instead of introducing full freedom to select any antenna as the TCRA. </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References</w:t>
      </w:r>
    </w:p>
    <w:p w:rsidR="003B61A8" w:rsidRDefault="003B61A8" w:rsidP="003B61A8">
      <w:pPr>
        <w:ind w:left="709" w:hanging="709"/>
      </w:pPr>
      <w:r>
        <w:t>[1]</w:t>
      </w:r>
      <w:r>
        <w:tab/>
      </w:r>
      <w:r w:rsidR="00F05E1D">
        <w:t>R4-</w:t>
      </w:r>
      <w:r w:rsidR="007970AD">
        <w:t>1808861</w:t>
      </w:r>
      <w:r w:rsidR="00F05E1D">
        <w:t>, “</w:t>
      </w:r>
      <w:r w:rsidR="004935E9" w:rsidRPr="004935E9">
        <w:t>On conformance testing aspects related to co-location requirements</w:t>
      </w:r>
      <w:r w:rsidR="00F05E1D">
        <w:t>”, Ericsson</w:t>
      </w:r>
    </w:p>
    <w:p w:rsidR="004935E9" w:rsidRDefault="004935E9" w:rsidP="003B61A8">
      <w:pPr>
        <w:ind w:left="709" w:hanging="709"/>
      </w:pPr>
      <w:r>
        <w:t>[2]</w:t>
      </w:r>
      <w:r>
        <w:tab/>
        <w:t>R4-</w:t>
      </w:r>
      <w:r w:rsidR="007970AD">
        <w:t>1808862</w:t>
      </w:r>
      <w:r>
        <w:t>, “</w:t>
      </w:r>
      <w:r w:rsidRPr="004935E9">
        <w:t>Draft CR to TR 37.843: Improvement of noise rise method in sub-clause 5.6.6.2</w:t>
      </w:r>
      <w:r>
        <w:t>”, Ericsson</w:t>
      </w:r>
    </w:p>
    <w:p w:rsidR="004935E9" w:rsidRDefault="004935E9" w:rsidP="003B61A8">
      <w:pPr>
        <w:ind w:left="709" w:hanging="709"/>
      </w:pPr>
      <w:r>
        <w:t>[3]</w:t>
      </w:r>
      <w:r>
        <w:tab/>
        <w:t>R4-</w:t>
      </w:r>
      <w:r w:rsidR="007970AD">
        <w:t>1808863</w:t>
      </w:r>
      <w:r>
        <w:t>, “</w:t>
      </w:r>
      <w:r w:rsidRPr="004935E9">
        <w:t>Draft CR to TS 37.145-2: Improvement of co-location reference antenna description in sub-clause 4.15</w:t>
      </w:r>
      <w:r>
        <w:t>”, Ericsson</w:t>
      </w:r>
    </w:p>
    <w:p w:rsidR="004935E9" w:rsidRDefault="004935E9" w:rsidP="003B61A8">
      <w:pPr>
        <w:ind w:left="709" w:hanging="709"/>
      </w:pPr>
      <w:r>
        <w:t>[4]</w:t>
      </w:r>
      <w:r>
        <w:tab/>
        <w:t>R4-</w:t>
      </w:r>
      <w:r w:rsidR="007970AD">
        <w:t>1808875</w:t>
      </w:r>
      <w:r>
        <w:t>, “</w:t>
      </w:r>
      <w:r w:rsidRPr="004935E9">
        <w:t>On co-location reference antenna definitions including practical measurements</w:t>
      </w:r>
      <w:r>
        <w:t>”, Ericsson</w:t>
      </w:r>
    </w:p>
    <w:p w:rsidR="00F05E1D" w:rsidRDefault="00F05E1D" w:rsidP="003B61A8">
      <w:pPr>
        <w:ind w:left="709" w:hanging="709"/>
      </w:pPr>
    </w:p>
    <w:bookmarkEnd w:id="0"/>
    <w:p w:rsidR="005C7173" w:rsidRDefault="005C7173" w:rsidP="005C7173"/>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1E95" w:rsidRDefault="00561E95">
      <w:r>
        <w:separator/>
      </w:r>
    </w:p>
  </w:endnote>
  <w:endnote w:type="continuationSeparator" w:id="0">
    <w:p w:rsidR="00561E95" w:rsidRDefault="00561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1E95" w:rsidRDefault="00561E95">
      <w:r>
        <w:separator/>
      </w:r>
    </w:p>
  </w:footnote>
  <w:footnote w:type="continuationSeparator" w:id="0">
    <w:p w:rsidR="00561E95" w:rsidRDefault="00561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FC5" w:rsidRDefault="00EF1FC5">
    <w:pPr>
      <w:framePr w:h="284" w:hRule="exact" w:wrap="around" w:vAnchor="text" w:hAnchor="margin" w:xAlign="right" w:y="1"/>
      <w:rPr>
        <w:rFonts w:ascii="Arial" w:hAnsi="Arial" w:cs="Arial"/>
        <w:b/>
        <w:sz w:val="18"/>
        <w:szCs w:val="18"/>
      </w:rPr>
    </w:pPr>
  </w:p>
  <w:p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rsidR="00EF1FC5" w:rsidRDefault="00EF1FC5">
    <w:pPr>
      <w:framePr w:h="284" w:hRule="exact" w:wrap="around" w:vAnchor="text" w:hAnchor="margin" w:y="7"/>
      <w:rPr>
        <w:rFonts w:ascii="Arial" w:hAnsi="Arial" w:cs="Arial"/>
        <w:b/>
        <w:sz w:val="18"/>
        <w:szCs w:val="18"/>
      </w:rPr>
    </w:pPr>
  </w:p>
  <w:p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E29BF"/>
    <w:multiLevelType w:val="hybridMultilevel"/>
    <w:tmpl w:val="427E7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733A4D"/>
    <w:multiLevelType w:val="hybridMultilevel"/>
    <w:tmpl w:val="6D8059E2"/>
    <w:lvl w:ilvl="0" w:tplc="C15C92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D3A5E4A"/>
    <w:multiLevelType w:val="multilevel"/>
    <w:tmpl w:val="0E925D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1781CF6"/>
    <w:multiLevelType w:val="hybridMultilevel"/>
    <w:tmpl w:val="7180D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5"/>
  </w:num>
  <w:num w:numId="5">
    <w:abstractNumId w:val="6"/>
  </w:num>
  <w:num w:numId="6">
    <w:abstractNumId w:val="8"/>
  </w:num>
  <w:num w:numId="7">
    <w:abstractNumId w:val="4"/>
  </w:num>
  <w:num w:numId="8">
    <w:abstractNumId w:val="2"/>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60CC"/>
    <w:rsid w:val="000655A6"/>
    <w:rsid w:val="00080512"/>
    <w:rsid w:val="00094D53"/>
    <w:rsid w:val="00096009"/>
    <w:rsid w:val="000D58AB"/>
    <w:rsid w:val="000D696C"/>
    <w:rsid w:val="000E1DEA"/>
    <w:rsid w:val="000E632F"/>
    <w:rsid w:val="000F0805"/>
    <w:rsid w:val="00106F91"/>
    <w:rsid w:val="00155B44"/>
    <w:rsid w:val="00176C71"/>
    <w:rsid w:val="001862BC"/>
    <w:rsid w:val="001C1DF4"/>
    <w:rsid w:val="001D02C2"/>
    <w:rsid w:val="001E62AA"/>
    <w:rsid w:val="001F168B"/>
    <w:rsid w:val="001F1D0B"/>
    <w:rsid w:val="001F33FD"/>
    <w:rsid w:val="001F562D"/>
    <w:rsid w:val="00231DE5"/>
    <w:rsid w:val="0023254C"/>
    <w:rsid w:val="002347A2"/>
    <w:rsid w:val="00241D8F"/>
    <w:rsid w:val="002A0978"/>
    <w:rsid w:val="002B067D"/>
    <w:rsid w:val="002B0AA9"/>
    <w:rsid w:val="002C1DA9"/>
    <w:rsid w:val="002E2D39"/>
    <w:rsid w:val="002F1E03"/>
    <w:rsid w:val="003172DC"/>
    <w:rsid w:val="00324527"/>
    <w:rsid w:val="003348D7"/>
    <w:rsid w:val="0035462D"/>
    <w:rsid w:val="003607E5"/>
    <w:rsid w:val="00361E87"/>
    <w:rsid w:val="0037622D"/>
    <w:rsid w:val="00394A37"/>
    <w:rsid w:val="003B1D4A"/>
    <w:rsid w:val="003B61A8"/>
    <w:rsid w:val="003C3971"/>
    <w:rsid w:val="004239C7"/>
    <w:rsid w:val="004935E9"/>
    <w:rsid w:val="004A4210"/>
    <w:rsid w:val="004B372C"/>
    <w:rsid w:val="004B5078"/>
    <w:rsid w:val="004D3578"/>
    <w:rsid w:val="004E0C1D"/>
    <w:rsid w:val="004E213A"/>
    <w:rsid w:val="004E29CC"/>
    <w:rsid w:val="004F4D5A"/>
    <w:rsid w:val="00543E6C"/>
    <w:rsid w:val="00556E8B"/>
    <w:rsid w:val="00561E95"/>
    <w:rsid w:val="00565087"/>
    <w:rsid w:val="00592A9D"/>
    <w:rsid w:val="00594E26"/>
    <w:rsid w:val="005B3C73"/>
    <w:rsid w:val="005B4A0A"/>
    <w:rsid w:val="005C2897"/>
    <w:rsid w:val="005C7173"/>
    <w:rsid w:val="005D2E01"/>
    <w:rsid w:val="005D3EE8"/>
    <w:rsid w:val="00612061"/>
    <w:rsid w:val="00614FDF"/>
    <w:rsid w:val="0062745C"/>
    <w:rsid w:val="006437A9"/>
    <w:rsid w:val="006709F3"/>
    <w:rsid w:val="00674E7D"/>
    <w:rsid w:val="006D1100"/>
    <w:rsid w:val="006E2FAD"/>
    <w:rsid w:val="006E5C86"/>
    <w:rsid w:val="007148E4"/>
    <w:rsid w:val="00734A5B"/>
    <w:rsid w:val="00744E76"/>
    <w:rsid w:val="0075488F"/>
    <w:rsid w:val="00754DF7"/>
    <w:rsid w:val="007577CB"/>
    <w:rsid w:val="00771315"/>
    <w:rsid w:val="00781F0F"/>
    <w:rsid w:val="007970AD"/>
    <w:rsid w:val="007C4C45"/>
    <w:rsid w:val="007F4A0D"/>
    <w:rsid w:val="007F52D4"/>
    <w:rsid w:val="007F633A"/>
    <w:rsid w:val="008028A4"/>
    <w:rsid w:val="00805820"/>
    <w:rsid w:val="00843454"/>
    <w:rsid w:val="00872E34"/>
    <w:rsid w:val="00875FAB"/>
    <w:rsid w:val="008768CA"/>
    <w:rsid w:val="008877E6"/>
    <w:rsid w:val="008B735F"/>
    <w:rsid w:val="008C0085"/>
    <w:rsid w:val="008C2529"/>
    <w:rsid w:val="008F6912"/>
    <w:rsid w:val="008F7F3C"/>
    <w:rsid w:val="0090271F"/>
    <w:rsid w:val="00902E23"/>
    <w:rsid w:val="0090598A"/>
    <w:rsid w:val="00907978"/>
    <w:rsid w:val="0091348E"/>
    <w:rsid w:val="0091503A"/>
    <w:rsid w:val="00917CCB"/>
    <w:rsid w:val="009228DF"/>
    <w:rsid w:val="0092774C"/>
    <w:rsid w:val="00934C74"/>
    <w:rsid w:val="00942EC2"/>
    <w:rsid w:val="00944C13"/>
    <w:rsid w:val="00947E16"/>
    <w:rsid w:val="00974355"/>
    <w:rsid w:val="009940B8"/>
    <w:rsid w:val="009A2D2D"/>
    <w:rsid w:val="009B13F6"/>
    <w:rsid w:val="009B5100"/>
    <w:rsid w:val="009F37B7"/>
    <w:rsid w:val="00A10F02"/>
    <w:rsid w:val="00A164B4"/>
    <w:rsid w:val="00A53724"/>
    <w:rsid w:val="00A82346"/>
    <w:rsid w:val="00A9666D"/>
    <w:rsid w:val="00AC17A1"/>
    <w:rsid w:val="00AC60CE"/>
    <w:rsid w:val="00AF5937"/>
    <w:rsid w:val="00B14246"/>
    <w:rsid w:val="00B15449"/>
    <w:rsid w:val="00B476B7"/>
    <w:rsid w:val="00B51D90"/>
    <w:rsid w:val="00B57386"/>
    <w:rsid w:val="00B837F2"/>
    <w:rsid w:val="00B96C0C"/>
    <w:rsid w:val="00BA77B5"/>
    <w:rsid w:val="00BC0F7D"/>
    <w:rsid w:val="00BF1095"/>
    <w:rsid w:val="00BF3033"/>
    <w:rsid w:val="00C17A60"/>
    <w:rsid w:val="00C268A9"/>
    <w:rsid w:val="00C33079"/>
    <w:rsid w:val="00C371B3"/>
    <w:rsid w:val="00C45231"/>
    <w:rsid w:val="00C6035E"/>
    <w:rsid w:val="00C6266C"/>
    <w:rsid w:val="00C72833"/>
    <w:rsid w:val="00C92C8B"/>
    <w:rsid w:val="00C93F40"/>
    <w:rsid w:val="00C9626A"/>
    <w:rsid w:val="00CA3B1D"/>
    <w:rsid w:val="00CA3D0C"/>
    <w:rsid w:val="00CA3D41"/>
    <w:rsid w:val="00CA47BF"/>
    <w:rsid w:val="00CA7D0D"/>
    <w:rsid w:val="00CB380A"/>
    <w:rsid w:val="00CC3F7F"/>
    <w:rsid w:val="00D117B8"/>
    <w:rsid w:val="00D11B3A"/>
    <w:rsid w:val="00D17EF2"/>
    <w:rsid w:val="00D2261D"/>
    <w:rsid w:val="00D2544C"/>
    <w:rsid w:val="00D56778"/>
    <w:rsid w:val="00D738D6"/>
    <w:rsid w:val="00D755EB"/>
    <w:rsid w:val="00D87E00"/>
    <w:rsid w:val="00D9134D"/>
    <w:rsid w:val="00D96451"/>
    <w:rsid w:val="00DA7A03"/>
    <w:rsid w:val="00DB1818"/>
    <w:rsid w:val="00DC309B"/>
    <w:rsid w:val="00DC4DA2"/>
    <w:rsid w:val="00DE75F1"/>
    <w:rsid w:val="00DF1E58"/>
    <w:rsid w:val="00DF2B1F"/>
    <w:rsid w:val="00DF62CD"/>
    <w:rsid w:val="00E13370"/>
    <w:rsid w:val="00E41C4A"/>
    <w:rsid w:val="00E77645"/>
    <w:rsid w:val="00EA7C61"/>
    <w:rsid w:val="00EC379B"/>
    <w:rsid w:val="00EC4A25"/>
    <w:rsid w:val="00EF1994"/>
    <w:rsid w:val="00EF1FC5"/>
    <w:rsid w:val="00F025A2"/>
    <w:rsid w:val="00F04712"/>
    <w:rsid w:val="00F05E1D"/>
    <w:rsid w:val="00F22EC7"/>
    <w:rsid w:val="00F26CEE"/>
    <w:rsid w:val="00F433F9"/>
    <w:rsid w:val="00F57451"/>
    <w:rsid w:val="00F653B8"/>
    <w:rsid w:val="00FA1266"/>
    <w:rsid w:val="00FA7689"/>
    <w:rsid w:val="00FC1192"/>
    <w:rsid w:val="00FE11B9"/>
    <w:rsid w:val="00FE1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0457AFE-1523-4F66-A191-39F0589CA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E0E47-5250-4A3F-B09C-4E4FCE210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4</Pages>
  <Words>1600</Words>
  <Characters>9123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17</cp:revision>
  <dcterms:created xsi:type="dcterms:W3CDTF">2018-06-08T07:32:00Z</dcterms:created>
  <dcterms:modified xsi:type="dcterms:W3CDTF">2018-06-25T10:38:00Z</dcterms:modified>
</cp:coreProperties>
</file>