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F3CE0" w14:textId="4ADF4A3D" w:rsidR="0082454F" w:rsidRPr="00B91A9F" w:rsidRDefault="0082454F" w:rsidP="0082454F">
      <w:pPr>
        <w:tabs>
          <w:tab w:val="center" w:pos="4153"/>
          <w:tab w:val="right" w:pos="9923"/>
        </w:tabs>
        <w:spacing w:after="120"/>
        <w:jc w:val="both"/>
        <w:rPr>
          <w:rFonts w:eastAsia="Malgun Gothic"/>
          <w:b/>
          <w:bCs/>
          <w:sz w:val="28"/>
          <w:lang w:eastAsia="ko-KR"/>
        </w:rPr>
      </w:pPr>
      <w:r>
        <w:rPr>
          <w:rFonts w:eastAsia="Malgun Gothic"/>
          <w:b/>
          <w:bCs/>
          <w:sz w:val="28"/>
        </w:rPr>
        <w:t>3GPP TSG RAN WG4 Meeting #99e</w:t>
      </w:r>
      <w:r w:rsidRPr="00B91A9F">
        <w:rPr>
          <w:rFonts w:eastAsia="Malgun Gothic"/>
          <w:b/>
          <w:bCs/>
          <w:sz w:val="28"/>
        </w:rPr>
        <w:tab/>
        <w:t>R4-2</w:t>
      </w:r>
      <w:r>
        <w:rPr>
          <w:rFonts w:eastAsia="Malgun Gothic"/>
          <w:b/>
          <w:bCs/>
          <w:sz w:val="28"/>
        </w:rPr>
        <w:t>10</w:t>
      </w:r>
      <w:r w:rsidR="00946920">
        <w:rPr>
          <w:rFonts w:eastAsia="Malgun Gothic"/>
          <w:b/>
          <w:bCs/>
          <w:sz w:val="28"/>
        </w:rPr>
        <w:t>9914</w:t>
      </w:r>
      <w:bookmarkStart w:id="0" w:name="_GoBack"/>
      <w:bookmarkEnd w:id="0"/>
    </w:p>
    <w:p w14:paraId="229F2D2D" w14:textId="77777777" w:rsidR="0082454F" w:rsidRPr="00B91A9F" w:rsidRDefault="0082454F" w:rsidP="0082454F">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Pr>
          <w:rFonts w:eastAsia="Malgun Gothic"/>
          <w:b/>
          <w:bCs/>
          <w:sz w:val="28"/>
          <w:lang w:eastAsia="ko-KR"/>
        </w:rPr>
        <w:t>19</w:t>
      </w:r>
      <w:r>
        <w:rPr>
          <w:b/>
          <w:noProof/>
          <w:sz w:val="28"/>
          <w:vertAlign w:val="superscript"/>
        </w:rPr>
        <w:t>th</w:t>
      </w:r>
      <w:r>
        <w:rPr>
          <w:b/>
          <w:noProof/>
          <w:sz w:val="28"/>
        </w:rPr>
        <w:t xml:space="preserve"> – 27</w:t>
      </w:r>
      <w:r w:rsidRPr="00B91A9F">
        <w:rPr>
          <w:b/>
          <w:noProof/>
          <w:sz w:val="28"/>
          <w:vertAlign w:val="superscript"/>
        </w:rPr>
        <w:t>th</w:t>
      </w:r>
      <w:r w:rsidRPr="00B91A9F">
        <w:rPr>
          <w:b/>
          <w:noProof/>
          <w:sz w:val="28"/>
        </w:rPr>
        <w:t xml:space="preserve"> </w:t>
      </w:r>
      <w:r>
        <w:rPr>
          <w:b/>
          <w:noProof/>
          <w:sz w:val="28"/>
        </w:rPr>
        <w:t>May 2021</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1B4BC2DE" w:rsidR="00B81FC7" w:rsidRPr="00DE4417" w:rsidRDefault="00B81FC7" w:rsidP="008159B1">
      <w:pPr>
        <w:ind w:left="2160" w:hanging="2160"/>
        <w:rPr>
          <w:b/>
          <w:lang w:val="en-GB"/>
        </w:rPr>
      </w:pPr>
      <w:r w:rsidRPr="00DE4417">
        <w:rPr>
          <w:b/>
          <w:lang w:val="en-GB"/>
        </w:rPr>
        <w:t>Title:</w:t>
      </w:r>
      <w:r w:rsidRPr="00DE4417">
        <w:rPr>
          <w:b/>
          <w:lang w:val="en-GB"/>
        </w:rPr>
        <w:tab/>
      </w:r>
      <w:bookmarkStart w:id="1" w:name="_Hlk67905086"/>
      <w:r w:rsidR="002B2CF7">
        <w:rPr>
          <w:lang w:val="en-GB"/>
        </w:rPr>
        <w:t xml:space="preserve">Discussion on </w:t>
      </w:r>
      <w:r w:rsidR="003A3C09">
        <w:rPr>
          <w:lang w:val="en-GB"/>
        </w:rPr>
        <w:t xml:space="preserve">FR1 </w:t>
      </w:r>
      <w:r w:rsidR="002B2CF7">
        <w:rPr>
          <w:lang w:val="en-GB"/>
        </w:rPr>
        <w:t xml:space="preserve">UL MIMO </w:t>
      </w:r>
      <w:r w:rsidR="00AD143E">
        <w:rPr>
          <w:lang w:val="en-GB"/>
        </w:rPr>
        <w:t>transmit signal quality</w:t>
      </w:r>
      <w:r w:rsidR="002B2CF7">
        <w:rPr>
          <w:lang w:val="en-GB"/>
        </w:rPr>
        <w:t xml:space="preserve"> measurements</w:t>
      </w:r>
    </w:p>
    <w:bookmarkEnd w:id="1"/>
    <w:p w14:paraId="75E65FB7" w14:textId="0E553D85"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564BF0">
        <w:rPr>
          <w:lang w:val="en-GB"/>
        </w:rPr>
        <w:t>4.1.2.1</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15C70652" w:rsidR="00196262" w:rsidRPr="00196262" w:rsidRDefault="00781A60" w:rsidP="00196262">
      <w:pPr>
        <w:rPr>
          <w:lang w:val="en-GB" w:eastAsia="en-US"/>
        </w:rPr>
      </w:pPr>
      <w:r>
        <w:rPr>
          <w:lang w:val="en-GB" w:eastAsia="en-US"/>
        </w:rPr>
        <w:t>In the last meeting</w:t>
      </w:r>
      <w:r w:rsidR="002B2CF7">
        <w:rPr>
          <w:lang w:val="en-GB" w:eastAsia="en-US"/>
        </w:rPr>
        <w:t>s</w:t>
      </w:r>
      <w:r>
        <w:rPr>
          <w:lang w:val="en-GB" w:eastAsia="en-US"/>
        </w:rPr>
        <w:t xml:space="preserve"> </w:t>
      </w:r>
      <w:r w:rsidR="002B2CF7">
        <w:rPr>
          <w:lang w:val="en-GB" w:eastAsia="en-US"/>
        </w:rPr>
        <w:t xml:space="preserve">the principle of a MIMO receiver for UL EVM measurements was proposed in several documents [1], [2], [3]. In this paper we </w:t>
      </w:r>
      <w:r w:rsidR="007C2DB0">
        <w:rPr>
          <w:lang w:val="en-GB" w:eastAsia="en-US"/>
        </w:rPr>
        <w:t>provide further details on how the UL MIMO EVM measurements should be performed for FR1</w:t>
      </w:r>
      <w:r w:rsidR="00755987">
        <w:rPr>
          <w:lang w:val="en-GB" w:eastAsia="en-US"/>
        </w:rPr>
        <w:t xml:space="preserve"> and discuss further details.</w:t>
      </w:r>
    </w:p>
    <w:p w14:paraId="59D92B3E" w14:textId="3F715B93" w:rsidR="00FC45FA" w:rsidRDefault="002A659B" w:rsidP="00FC45FA">
      <w:pPr>
        <w:pStyle w:val="berschrift1"/>
        <w:rPr>
          <w:rFonts w:cs="Arial"/>
        </w:rPr>
      </w:pPr>
      <w:bookmarkStart w:id="2" w:name="OLE_LINK10"/>
      <w:bookmarkStart w:id="3" w:name="OLE_LINK11"/>
      <w:r w:rsidRPr="00DE4417">
        <w:rPr>
          <w:rFonts w:cs="Arial"/>
        </w:rPr>
        <w:t>Discussion</w:t>
      </w:r>
    </w:p>
    <w:p w14:paraId="7AD2FCAD" w14:textId="6EE1FB91" w:rsidR="00AC5878" w:rsidRDefault="00666551" w:rsidP="00666551">
      <w:pPr>
        <w:pStyle w:val="berschrift2"/>
        <w:rPr>
          <w:lang w:val="de-DE"/>
        </w:rPr>
      </w:pPr>
      <w:r>
        <w:rPr>
          <w:lang w:val="de-DE"/>
        </w:rPr>
        <w:t xml:space="preserve"> Background</w:t>
      </w:r>
    </w:p>
    <w:p w14:paraId="5DC68E36" w14:textId="5EF72D91" w:rsidR="00666551" w:rsidRDefault="00666551" w:rsidP="00666551">
      <w:r>
        <w:t>Calculation of EVM for single layer transmission</w:t>
      </w:r>
      <w:r w:rsidR="001E23B3">
        <w:t xml:space="preserve"> without receive diversity</w:t>
      </w:r>
      <w:r>
        <w:t xml:space="preserve"> is stable and described in Annex E: Global In-Channel TX-Test of TS 38.521-1</w:t>
      </w:r>
      <w:r w:rsidR="007C2DB0">
        <w:t xml:space="preserve"> </w:t>
      </w:r>
      <w:r>
        <w:fldChar w:fldCharType="begin"/>
      </w:r>
      <w:r>
        <w:instrText xml:space="preserve"> REF _Ref65509538 \r \h </w:instrText>
      </w:r>
      <w:r>
        <w:fldChar w:fldCharType="separate"/>
      </w:r>
      <w:r>
        <w:t>[</w:t>
      </w:r>
      <w:r w:rsidR="007C2DB0">
        <w:t>4</w:t>
      </w:r>
      <w:r>
        <w:t>]</w:t>
      </w:r>
      <w:r>
        <w:fldChar w:fldCharType="end"/>
      </w:r>
      <w:r>
        <w:t xml:space="preserve">. In this document a method of EVM calculation for UL MIMO with multi-layer transmission is described. For simplicity the document describes calculation of EVM using </w:t>
      </w:r>
      <w:r w:rsidR="008A585A">
        <w:t xml:space="preserve">a maximum of </w:t>
      </w:r>
      <w:r>
        <w:t>2 layers and 2 receive ports in TE</w:t>
      </w:r>
      <w:r w:rsidR="001E23B3">
        <w:t xml:space="preserve"> for the multi-layer case</w:t>
      </w:r>
      <w:r>
        <w:t>. Same procedure is applicable also for transmission with 4 layers received on 4 TE ports.</w:t>
      </w:r>
    </w:p>
    <w:p w14:paraId="6E7CE455" w14:textId="07CA2992" w:rsidR="00666551" w:rsidRPr="00666551" w:rsidRDefault="00666551" w:rsidP="00666551">
      <w:pPr>
        <w:pStyle w:val="berschrift2"/>
      </w:pPr>
      <w:r w:rsidRPr="00666551">
        <w:rPr>
          <w:lang w:val="en-US"/>
        </w:rPr>
        <w:t xml:space="preserve"> EVM calculation method for</w:t>
      </w:r>
      <w:r w:rsidR="007B2BB0">
        <w:rPr>
          <w:lang w:val="en-US"/>
        </w:rPr>
        <w:t xml:space="preserve"> </w:t>
      </w:r>
      <w:r w:rsidR="00EC5930">
        <w:rPr>
          <w:lang w:val="en-US"/>
        </w:rPr>
        <w:t>UL MIMO</w:t>
      </w:r>
    </w:p>
    <w:p w14:paraId="393C0BD3" w14:textId="514881C4" w:rsidR="00666551" w:rsidRDefault="00666551" w:rsidP="00666551">
      <w:pPr>
        <w:keepNext/>
      </w:pPr>
      <w:bookmarkStart w:id="4" w:name="_Hlk67474293"/>
      <w:r>
        <w:t>The EVM calculation method for 2-layer transmission is shown in Figure 2</w:t>
      </w:r>
      <w:r w:rsidR="00B740DA">
        <w:t>.2</w:t>
      </w:r>
      <w:r>
        <w:t>-1</w:t>
      </w:r>
      <w:r w:rsidR="002B2CF7">
        <w:t>.</w:t>
      </w:r>
    </w:p>
    <w:bookmarkEnd w:id="4"/>
    <w:p w14:paraId="4F9E6848" w14:textId="77777777" w:rsidR="00666551" w:rsidRDefault="00666551" w:rsidP="00666551"/>
    <w:p w14:paraId="0B1368B4" w14:textId="77777777" w:rsidR="00666551" w:rsidRDefault="00666551" w:rsidP="00666551">
      <w:pPr>
        <w:keepNext/>
      </w:pPr>
      <w:bookmarkStart w:id="5" w:name="_Ref65509680"/>
      <w:r>
        <w:rPr>
          <w:noProof/>
        </w:rPr>
        <w:lastRenderedPageBreak/>
        <w:drawing>
          <wp:inline distT="0" distB="0" distL="0" distR="0" wp14:anchorId="19DA0C5E" wp14:editId="5D1923A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78F667E5" w14:textId="0BA0D54A" w:rsidR="00666551" w:rsidRDefault="00666551" w:rsidP="00666551">
      <w:pPr>
        <w:pStyle w:val="Beschriftung"/>
        <w:jc w:val="center"/>
        <w:rPr>
          <w:sz w:val="20"/>
          <w:szCs w:val="20"/>
        </w:rPr>
      </w:pPr>
      <w:r w:rsidRPr="002B01A3">
        <w:rPr>
          <w:sz w:val="20"/>
          <w:szCs w:val="20"/>
        </w:rPr>
        <w:t xml:space="preserve">Figure </w:t>
      </w:r>
      <w:r w:rsidRPr="002B01A3">
        <w:rPr>
          <w:sz w:val="20"/>
          <w:szCs w:val="20"/>
        </w:rPr>
        <w:fldChar w:fldCharType="begin"/>
      </w:r>
      <w:r w:rsidRPr="002B01A3">
        <w:rPr>
          <w:sz w:val="20"/>
          <w:szCs w:val="20"/>
        </w:rPr>
        <w:instrText xml:space="preserve"> STYLEREF 1 \s </w:instrText>
      </w:r>
      <w:r w:rsidRPr="002B01A3">
        <w:rPr>
          <w:sz w:val="20"/>
          <w:szCs w:val="20"/>
        </w:rPr>
        <w:fldChar w:fldCharType="separate"/>
      </w:r>
      <w:r>
        <w:rPr>
          <w:noProof/>
          <w:sz w:val="20"/>
          <w:szCs w:val="20"/>
        </w:rPr>
        <w:t>2</w:t>
      </w:r>
      <w:r w:rsidRPr="002B01A3">
        <w:rPr>
          <w:sz w:val="20"/>
          <w:szCs w:val="20"/>
        </w:rPr>
        <w:fldChar w:fldCharType="end"/>
      </w:r>
      <w:r w:rsidR="00B740DA">
        <w:rPr>
          <w:sz w:val="20"/>
          <w:szCs w:val="20"/>
        </w:rPr>
        <w:t>.2</w:t>
      </w:r>
      <w:r w:rsidRPr="002B01A3">
        <w:rPr>
          <w:sz w:val="20"/>
          <w:szCs w:val="20"/>
        </w:rPr>
        <w:noBreakHyphen/>
      </w:r>
      <w:r w:rsidRPr="002B01A3">
        <w:rPr>
          <w:sz w:val="20"/>
          <w:szCs w:val="20"/>
        </w:rPr>
        <w:fldChar w:fldCharType="begin"/>
      </w:r>
      <w:r w:rsidRPr="002B01A3">
        <w:rPr>
          <w:sz w:val="20"/>
          <w:szCs w:val="20"/>
        </w:rPr>
        <w:instrText xml:space="preserve"> SEQ Figure \* ARABIC \s 1 </w:instrText>
      </w:r>
      <w:r w:rsidRPr="002B01A3">
        <w:rPr>
          <w:sz w:val="20"/>
          <w:szCs w:val="20"/>
        </w:rPr>
        <w:fldChar w:fldCharType="separate"/>
      </w:r>
      <w:r>
        <w:rPr>
          <w:noProof/>
          <w:sz w:val="20"/>
          <w:szCs w:val="20"/>
        </w:rPr>
        <w:t>1</w:t>
      </w:r>
      <w:r w:rsidRPr="002B01A3">
        <w:rPr>
          <w:sz w:val="20"/>
          <w:szCs w:val="20"/>
        </w:rPr>
        <w:fldChar w:fldCharType="end"/>
      </w:r>
      <w:bookmarkEnd w:id="5"/>
      <w:r w:rsidRPr="002B01A3">
        <w:rPr>
          <w:sz w:val="20"/>
          <w:szCs w:val="20"/>
        </w:rPr>
        <w:t>: EVM</w:t>
      </w:r>
      <w:r w:rsidRPr="00CD5011">
        <w:rPr>
          <w:sz w:val="20"/>
          <w:szCs w:val="20"/>
        </w:rPr>
        <w:t xml:space="preserve"> calculation block diagram for 2-</w:t>
      </w:r>
      <w:r>
        <w:rPr>
          <w:sz w:val="20"/>
          <w:szCs w:val="20"/>
        </w:rPr>
        <w:t>L</w:t>
      </w:r>
      <w:r w:rsidRPr="00CD5011">
        <w:rPr>
          <w:sz w:val="20"/>
          <w:szCs w:val="20"/>
        </w:rPr>
        <w:t xml:space="preserve">ayer </w:t>
      </w:r>
      <w:r>
        <w:rPr>
          <w:sz w:val="20"/>
          <w:szCs w:val="20"/>
        </w:rPr>
        <w:t>UL MIMO</w:t>
      </w:r>
    </w:p>
    <w:p w14:paraId="182BD55E" w14:textId="41CCFE54" w:rsidR="007B2BB0" w:rsidRDefault="00666551" w:rsidP="00666551">
      <w:r>
        <w:t xml:space="preserve">The TE receives signals from 2 different ports which are connected to </w:t>
      </w:r>
      <w:r w:rsidR="002B2CF7">
        <w:t>the two uplink antenna connectors on the UE</w:t>
      </w:r>
      <w:r>
        <w:t xml:space="preserve">. </w:t>
      </w:r>
    </w:p>
    <w:p w14:paraId="23A57971" w14:textId="1E309D39" w:rsidR="002B2CF7" w:rsidRDefault="002B2CF7" w:rsidP="00666551">
      <w:r w:rsidRPr="002B2CF7">
        <w:t xml:space="preserve">Compared to single layer transmission an additional step for MIMO equalization is introduced to separate the 2 layers. </w:t>
      </w:r>
    </w:p>
    <w:p w14:paraId="3F5E25B9" w14:textId="7F4C0D41" w:rsidR="00666551" w:rsidRDefault="00666551" w:rsidP="00666551">
      <w:r>
        <w:t>Once the layers are separated</w:t>
      </w:r>
      <w:r w:rsidR="008C43E0">
        <w:t>,</w:t>
      </w:r>
      <w:r>
        <w:t xml:space="preserve"> each layer is processed using already defined single layer procedure. Basic measurement unit for EVM calculation is 1 slot comprising up to 14 OFDM symbols including reference and data symbols.</w:t>
      </w:r>
    </w:p>
    <w:p w14:paraId="1718D02E" w14:textId="1166A278" w:rsidR="00B114B0" w:rsidRPr="00666551" w:rsidRDefault="00666551" w:rsidP="00666551">
      <w:pPr>
        <w:pStyle w:val="berschrift3"/>
        <w:rPr>
          <w:b/>
          <w:lang w:val="de-DE"/>
        </w:rPr>
      </w:pPr>
      <w:r w:rsidRPr="00666551">
        <w:rPr>
          <w:b/>
          <w:lang w:val="de-DE"/>
        </w:rPr>
        <w:t xml:space="preserve">MIMO </w:t>
      </w:r>
      <w:proofErr w:type="spellStart"/>
      <w:r w:rsidRPr="00666551">
        <w:rPr>
          <w:b/>
          <w:lang w:val="de-DE"/>
        </w:rPr>
        <w:t>Equalization</w:t>
      </w:r>
      <w:proofErr w:type="spellEnd"/>
    </w:p>
    <w:p w14:paraId="242B2264" w14:textId="5F9A48EC" w:rsidR="00666551" w:rsidRDefault="00666551" w:rsidP="00666551">
      <w:r>
        <w:t xml:space="preserve">Each MIMO system needs an appropriate design of reference signals to ensure proper estimation of MIMO channel coefficients. Same is valid for NR where either reference signals use different subcarriers (CDM groups) per layer, or if same subcarriers are used orthogonal codes </w:t>
      </w:r>
      <w:proofErr w:type="spellStart"/>
      <w:r>
        <w:rPr>
          <w:i/>
        </w:rPr>
        <w:t>w</w:t>
      </w:r>
      <w:r w:rsidRPr="000C09BF">
        <w:rPr>
          <w:i/>
          <w:vertAlign w:val="subscript"/>
        </w:rPr>
        <w:t>f</w:t>
      </w:r>
      <w:proofErr w:type="spellEnd"/>
      <w:r>
        <w:t xml:space="preserve"> and </w:t>
      </w:r>
      <w:proofErr w:type="spellStart"/>
      <w:r>
        <w:rPr>
          <w:i/>
        </w:rPr>
        <w:t>w</w:t>
      </w:r>
      <w:r>
        <w:rPr>
          <w:i/>
          <w:vertAlign w:val="subscript"/>
        </w:rPr>
        <w:t>t</w:t>
      </w:r>
      <w:proofErr w:type="spellEnd"/>
      <w:r>
        <w:t xml:space="preserve"> are applied to reference signals of different layers. Since this essential property doesn’t apply for data symbols the channel estimation for </w:t>
      </w:r>
      <w:r w:rsidR="00FC3702" w:rsidRPr="000B6A54">
        <w:t xml:space="preserve">MIMO </w:t>
      </w:r>
      <w:r w:rsidR="00FC3702">
        <w:t xml:space="preserve">equalization </w:t>
      </w:r>
      <w:r>
        <w:t xml:space="preserve">is based only on reference signals (DMRS) </w:t>
      </w:r>
      <w:r w:rsidR="00FC3702">
        <w:t>without</w:t>
      </w:r>
      <w:r>
        <w:t xml:space="preserve"> including any data symbols. One or all DMRS symbols of one slot can be considered, but in order to obtain comparable EVM results independent of number of DMRS symbols per slot, only first DMRS symbol is used.</w:t>
      </w:r>
    </w:p>
    <w:p w14:paraId="25D3241B" w14:textId="77777777" w:rsidR="00666551" w:rsidRDefault="00666551" w:rsidP="00666551">
      <w:r>
        <w:t xml:space="preserve">Estimation of effective 2x2 channel matrix is well known procedure if reference signals use different subcarriers, e.g. in case of DMRS antenna ports 0 and 2. In case that same subcarriers are used, e.g. DMRS antenna ports 0 and 1, a channel decomposition is necessary taking advantage of the orthogonal codes </w:t>
      </w:r>
      <w:proofErr w:type="spellStart"/>
      <w:r>
        <w:rPr>
          <w:i/>
        </w:rPr>
        <w:t>w</w:t>
      </w:r>
      <w:r w:rsidRPr="000C09BF">
        <w:rPr>
          <w:i/>
          <w:vertAlign w:val="subscript"/>
        </w:rPr>
        <w:t>f</w:t>
      </w:r>
      <w:proofErr w:type="spellEnd"/>
      <w:r>
        <w:t xml:space="preserve"> and </w:t>
      </w:r>
      <w:proofErr w:type="spellStart"/>
      <w:r>
        <w:rPr>
          <w:i/>
        </w:rPr>
        <w:t>w</w:t>
      </w:r>
      <w:r>
        <w:rPr>
          <w:i/>
          <w:vertAlign w:val="subscript"/>
        </w:rPr>
        <w:t>t</w:t>
      </w:r>
      <w:proofErr w:type="spellEnd"/>
      <w:r>
        <w:t xml:space="preserve"> and assuming identical channel coefficients for adjacent subcarriers of same CDM group.</w:t>
      </w:r>
    </w:p>
    <w:p w14:paraId="301CE81E" w14:textId="77777777" w:rsidR="00666551" w:rsidRPr="006C1939" w:rsidRDefault="00666551" w:rsidP="00666551">
      <w:r>
        <w:t xml:space="preserve">Effective channel including the precoding matrix </w:t>
      </w:r>
      <w:r w:rsidRPr="006C1939">
        <w:rPr>
          <w:i/>
        </w:rPr>
        <w:t>P</w:t>
      </w:r>
      <w:r>
        <w:t xml:space="preserve"> is:</w:t>
      </w:r>
    </w:p>
    <w:p w14:paraId="6001853D" w14:textId="77777777" w:rsidR="00666551" w:rsidRPr="006C1939" w:rsidRDefault="00520337" w:rsidP="00666551">
      <w:pPr>
        <w:rPr>
          <w:sz w:val="24"/>
        </w:rPr>
      </w:pPr>
      <m:oMathPara>
        <m:oMath>
          <m:acc>
            <m:accPr>
              <m:chr m:val="̃"/>
              <m:ctrlPr>
                <w:rPr>
                  <w:rFonts w:ascii="Cambria Math" w:hAnsi="Cambria Math"/>
                  <w:i/>
                  <w:sz w:val="24"/>
                </w:rPr>
              </m:ctrlPr>
            </m:accPr>
            <m:e>
              <m:r>
                <w:rPr>
                  <w:rFonts w:ascii="Cambria Math" w:hAnsi="Cambria Math"/>
                  <w:sz w:val="24"/>
                </w:rPr>
                <m:t>H</m:t>
              </m:r>
            </m:e>
          </m:acc>
          <m:r>
            <w:rPr>
              <w:rFonts w:ascii="Cambria Math" w:hAnsi="Cambria Math"/>
              <w:sz w:val="24"/>
            </w:rPr>
            <m:t xml:space="preserve">=HP= </m:t>
          </m:r>
          <m:d>
            <m:dPr>
              <m:begChr m:val="["/>
              <m:endChr m:val="]"/>
              <m:ctrlPr>
                <w:rPr>
                  <w:rFonts w:ascii="Cambria Math" w:hAnsi="Cambria Math"/>
                  <w:i/>
                  <w:sz w:val="24"/>
                </w:rPr>
              </m:ctrlPr>
            </m:dPr>
            <m:e>
              <m:m>
                <m:mPr>
                  <m:mcs>
                    <m:mc>
                      <m:mcPr>
                        <m:count m:val="2"/>
                        <m:mcJc m:val="center"/>
                      </m:mcPr>
                    </m:mc>
                  </m:mcs>
                  <m:ctrlPr>
                    <w:rPr>
                      <w:rFonts w:ascii="Cambria Math" w:hAnsi="Cambria Math"/>
                      <w:i/>
                      <w:sz w:val="24"/>
                    </w:rPr>
                  </m:ctrlPr>
                </m:mPr>
                <m:mr>
                  <m:e>
                    <w:bookmarkStart w:id="6" w:name="_Hlk66103999"/>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0,0</m:t>
                        </m:r>
                      </m:sub>
                    </m:sSub>
                    <w:bookmarkEnd w:id="6"/>
                  </m:e>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0,1</m:t>
                        </m:r>
                      </m:sub>
                    </m:sSub>
                  </m:e>
                </m:mr>
                <m:mr>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1,0</m:t>
                        </m:r>
                      </m:sub>
                    </m:sSub>
                  </m:e>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1,1</m:t>
                        </m:r>
                      </m:sub>
                    </m:sSub>
                  </m:e>
                </m:mr>
              </m:m>
            </m:e>
          </m:d>
        </m:oMath>
      </m:oMathPara>
    </w:p>
    <w:p w14:paraId="356153CC" w14:textId="77777777" w:rsidR="00666551" w:rsidRDefault="00666551" w:rsidP="00666551">
      <w:r>
        <w:t>with</w:t>
      </w:r>
    </w:p>
    <w:p w14:paraId="19290CE1" w14:textId="77777777" w:rsidR="00666551" w:rsidRDefault="00520337" w:rsidP="00666551">
      <m:oMathPara>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n,ν</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y</m:t>
                  </m:r>
                </m:e>
                <m:sub>
                  <m:r>
                    <w:rPr>
                      <w:rFonts w:ascii="Cambria Math" w:hAnsi="Cambria Math"/>
                      <w:sz w:val="24"/>
                    </w:rPr>
                    <m:t>n</m:t>
                  </m:r>
                </m:sub>
              </m:sSub>
              <m:sSubSup>
                <m:sSubSupPr>
                  <m:ctrlPr>
                    <w:rPr>
                      <w:rFonts w:ascii="Cambria Math" w:hAnsi="Cambria Math"/>
                      <w:i/>
                      <w:sz w:val="24"/>
                    </w:rPr>
                  </m:ctrlPr>
                </m:sSubSupPr>
                <m:e>
                  <m:r>
                    <w:rPr>
                      <w:rFonts w:ascii="Cambria Math" w:hAnsi="Cambria Math"/>
                      <w:sz w:val="24"/>
                    </w:rPr>
                    <m:t>r</m:t>
                  </m:r>
                </m:e>
                <m:sub>
                  <m:r>
                    <w:rPr>
                      <w:rFonts w:ascii="Cambria Math" w:hAnsi="Cambria Math"/>
                      <w:sz w:val="24"/>
                    </w:rPr>
                    <m:t>ν</m:t>
                  </m:r>
                </m:sub>
                <m:sup>
                  <m:r>
                    <w:rPr>
                      <w:rFonts w:ascii="Cambria Math" w:hAnsi="Cambria Math"/>
                      <w:sz w:val="24"/>
                    </w:rPr>
                    <m:t>*</m:t>
                  </m:r>
                </m:sup>
              </m:sSubSup>
            </m:num>
            <m:den>
              <m:sSup>
                <m:sSupPr>
                  <m:ctrlPr>
                    <w:rPr>
                      <w:rFonts w:ascii="Cambria Math" w:hAnsi="Cambria Math"/>
                      <w:i/>
                      <w:sz w:val="24"/>
                    </w:rPr>
                  </m:ctrlPr>
                </m:sSupPr>
                <m:e>
                  <m:r>
                    <w:rPr>
                      <w:rFonts w:ascii="Cambria Math" w:hAnsi="Cambria Math"/>
                      <w:sz w:val="24"/>
                    </w:rPr>
                    <m:t>|</m:t>
                  </m:r>
                  <m:sSub>
                    <m:sSubPr>
                      <m:ctrlPr>
                        <w:rPr>
                          <w:rFonts w:ascii="Cambria Math" w:hAnsi="Cambria Math"/>
                          <w:i/>
                          <w:sz w:val="24"/>
                        </w:rPr>
                      </m:ctrlPr>
                    </m:sSubPr>
                    <m:e>
                      <m:r>
                        <w:rPr>
                          <w:rFonts w:ascii="Cambria Math" w:hAnsi="Cambria Math"/>
                          <w:sz w:val="24"/>
                        </w:rPr>
                        <m:t>r</m:t>
                      </m:r>
                    </m:e>
                    <m:sub>
                      <m:r>
                        <w:rPr>
                          <w:rFonts w:ascii="Cambria Math" w:hAnsi="Cambria Math"/>
                          <w:sz w:val="24"/>
                        </w:rPr>
                        <m:t>ν</m:t>
                      </m:r>
                    </m:sub>
                  </m:sSub>
                  <m:r>
                    <w:rPr>
                      <w:rFonts w:ascii="Cambria Math" w:hAnsi="Cambria Math"/>
                      <w:sz w:val="24"/>
                    </w:rPr>
                    <m:t>|</m:t>
                  </m:r>
                </m:e>
                <m:sup>
                  <m:r>
                    <w:rPr>
                      <w:rFonts w:ascii="Cambria Math" w:hAnsi="Cambria Math"/>
                      <w:sz w:val="24"/>
                    </w:rPr>
                    <m:t>2</m:t>
                  </m:r>
                </m:sup>
              </m:sSup>
            </m:den>
          </m:f>
        </m:oMath>
      </m:oMathPara>
    </w:p>
    <w:p w14:paraId="56DFD3A7" w14:textId="77777777" w:rsidR="00666551" w:rsidRDefault="00666551" w:rsidP="00666551"/>
    <w:p w14:paraId="63C7852F" w14:textId="77777777" w:rsidR="00666551" w:rsidRPr="00C31CAA" w:rsidRDefault="00666551" w:rsidP="00666551">
      <w:r>
        <w:t xml:space="preserve">where </w:t>
      </w:r>
      <w:r w:rsidRPr="00C31CAA">
        <w:rPr>
          <w:i/>
        </w:rPr>
        <w:t>y</w:t>
      </w:r>
      <w:r>
        <w:t xml:space="preserve"> denotes the received symbol on port index </w:t>
      </w:r>
      <w:r w:rsidRPr="00C31CAA">
        <w:rPr>
          <w:i/>
        </w:rPr>
        <w:t>n</w:t>
      </w:r>
      <w:r>
        <w:t xml:space="preserve"> and </w:t>
      </w:r>
      <w:r w:rsidRPr="00C31CAA">
        <w:rPr>
          <w:i/>
        </w:rPr>
        <w:t>r</w:t>
      </w:r>
      <w:r>
        <w:t xml:space="preserve"> the reference signal for layer index </w:t>
      </w:r>
      <w:r w:rsidRPr="00C31CAA">
        <w:rPr>
          <w:i/>
        </w:rPr>
        <w:t>ν</w:t>
      </w:r>
      <w:r>
        <w:t>.</w:t>
      </w:r>
    </w:p>
    <w:p w14:paraId="784D3BE8" w14:textId="77777777" w:rsidR="00666551" w:rsidRDefault="00666551" w:rsidP="0066655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46001955" w14:textId="77777777" w:rsidR="00666551" w:rsidRDefault="00666551" w:rsidP="0066655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CD8BB02" w14:textId="77777777" w:rsidR="00666551" w:rsidRDefault="00666551" w:rsidP="00666551">
      <w:r>
        <w:t>The ZF equalizer coefficients are calculated as pseudo inverse of effective channel matrix, in general:</w:t>
      </w:r>
    </w:p>
    <w:p w14:paraId="4EBB679B" w14:textId="77777777" w:rsidR="00FC3702" w:rsidRPr="00764940" w:rsidRDefault="00520337" w:rsidP="00FC3702">
      <w:pPr>
        <w:rPr>
          <w:sz w:val="24"/>
          <w:szCs w:val="24"/>
        </w:rPr>
      </w:pPr>
      <m:oMathPara>
        <m:oMath>
          <m:sSub>
            <m:sSubPr>
              <m:ctrlPr>
                <w:rPr>
                  <w:rFonts w:ascii="Cambria Math" w:hAnsi="Cambria Math"/>
                  <w:i/>
                  <w:sz w:val="24"/>
                  <w:szCs w:val="24"/>
                </w:rPr>
              </m:ctrlPr>
            </m:sSubPr>
            <m:e>
              <m: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i/>
                      <w:sz w:val="24"/>
                      <w:szCs w:val="24"/>
                    </w:rPr>
                  </m:ctrlPr>
                </m:accPr>
                <m:e>
                  <m:r>
                    <w:rPr>
                      <w:rFonts w:ascii="Cambria Math" w:hAnsi="Cambria Math"/>
                      <w:sz w:val="24"/>
                      <w:szCs w:val="24"/>
                    </w:rPr>
                    <m:t>H</m:t>
                  </m:r>
                </m:e>
              </m:acc>
              <m:r>
                <w:rPr>
                  <w:rFonts w:ascii="Cambria Math" w:hAnsi="Cambria Math"/>
                  <w:sz w:val="24"/>
                  <w:szCs w:val="24"/>
                </w:rPr>
                <m:t>)</m:t>
              </m:r>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H</m:t>
                  </m:r>
                </m:e>
              </m:acc>
            </m:e>
            <m:sup>
              <m:r>
                <w:rPr>
                  <w:rFonts w:ascii="Cambria Math" w:hAnsi="Cambria Math"/>
                  <w:sz w:val="24"/>
                  <w:szCs w:val="24"/>
                </w:rPr>
                <m:t>H</m:t>
              </m:r>
            </m:sup>
          </m:sSup>
        </m:oMath>
      </m:oMathPara>
    </w:p>
    <w:p w14:paraId="67AB247E" w14:textId="77777777" w:rsidR="00764940" w:rsidRPr="007B2BB0" w:rsidRDefault="00764940" w:rsidP="00666551">
      <w:pPr>
        <w:rPr>
          <w:sz w:val="24"/>
          <w:szCs w:val="24"/>
        </w:rPr>
      </w:pPr>
    </w:p>
    <w:p w14:paraId="4F9195D4" w14:textId="1EB7FFA5" w:rsidR="00666551" w:rsidRPr="007B2BB0" w:rsidRDefault="00B740DA" w:rsidP="00666551">
      <w:pPr>
        <w:pStyle w:val="berschrift3"/>
        <w:rPr>
          <w:b/>
          <w:lang w:val="en-US"/>
        </w:rPr>
      </w:pPr>
      <w:r w:rsidRPr="007B2BB0">
        <w:rPr>
          <w:b/>
          <w:lang w:val="en-US"/>
        </w:rPr>
        <w:t>Layer processing</w:t>
      </w:r>
      <w:r w:rsidR="007B2BB0" w:rsidRPr="007B2BB0">
        <w:rPr>
          <w:b/>
          <w:lang w:val="en-US"/>
        </w:rPr>
        <w:t xml:space="preserve"> </w:t>
      </w:r>
    </w:p>
    <w:p w14:paraId="0D0CD4A5" w14:textId="0507A2DA" w:rsidR="00666551" w:rsidRDefault="007B2BB0" w:rsidP="00666551">
      <w:r>
        <w:t>E</w:t>
      </w:r>
      <w:r w:rsidR="00666551">
        <w:t xml:space="preserve">ach layer is </w:t>
      </w:r>
      <w:r>
        <w:t xml:space="preserve">then </w:t>
      </w:r>
      <w:r w:rsidR="00666551">
        <w:t>processed using already defined single layer procedure</w:t>
      </w:r>
      <w:r w:rsidR="002B2CF7">
        <w:t xml:space="preserve"> in Annex E of TS 38.521-1 [4]</w:t>
      </w:r>
      <w:r w:rsidR="00666551">
        <w:t xml:space="preserve">. Since MIMO </w:t>
      </w:r>
      <w:r w:rsidR="001E23B3">
        <w:t xml:space="preserve">(or maximum ratio combining in case of single layer) </w:t>
      </w:r>
      <w:r w:rsidR="00666551">
        <w:t xml:space="preserve">channel estimation is calculated only on first DMRS symbol an averaging including all 14 symbols of one slot, i.e. data and reference signals, is suitable in order to minimize EVM. This averaging is achieved by the LS equalization method described for single layer in </w:t>
      </w:r>
      <w:r w:rsidR="00666551">
        <w:fldChar w:fldCharType="begin"/>
      </w:r>
      <w:r w:rsidR="00666551">
        <w:instrText xml:space="preserve"> REF _Ref65509538 \r \h </w:instrText>
      </w:r>
      <w:r w:rsidR="00666551">
        <w:fldChar w:fldCharType="separate"/>
      </w:r>
      <w:r w:rsidR="00666551">
        <w:t>[</w:t>
      </w:r>
      <w:r w:rsidR="008A585A">
        <w:t>3</w:t>
      </w:r>
      <w:r w:rsidR="00666551">
        <w:t>]</w:t>
      </w:r>
      <w:r w:rsidR="00666551">
        <w:fldChar w:fldCharType="end"/>
      </w:r>
      <w:r w:rsidR="00666551">
        <w:t xml:space="preserve"> section E.3.3 Post FFT equalization.</w:t>
      </w:r>
    </w:p>
    <w:p w14:paraId="404662E2" w14:textId="77777777" w:rsidR="00666551" w:rsidRDefault="00666551" w:rsidP="00666551">
      <w:r w:rsidRPr="00E21A25">
        <w:rPr>
          <w:i/>
        </w:rPr>
        <w:t>MS(</w:t>
      </w:r>
      <w:proofErr w:type="spellStart"/>
      <w:proofErr w:type="gramStart"/>
      <w:r w:rsidRPr="00E21A25">
        <w:rPr>
          <w:i/>
        </w:rPr>
        <w:t>f,t</w:t>
      </w:r>
      <w:proofErr w:type="spellEnd"/>
      <w:proofErr w:type="gramEnd"/>
      <w:r w:rsidRPr="00E21A25">
        <w:rPr>
          <w:i/>
        </w:rPr>
        <w:t>)</w:t>
      </w:r>
      <w:r w:rsidRPr="0015462C">
        <w:t xml:space="preserve"> and </w:t>
      </w:r>
      <w:r w:rsidRPr="00E21A25">
        <w:rPr>
          <w:i/>
        </w:rPr>
        <w:t>NS(</w:t>
      </w:r>
      <w:proofErr w:type="spellStart"/>
      <w:r w:rsidRPr="00E21A25">
        <w:rPr>
          <w:i/>
        </w:rPr>
        <w:t>f,t</w:t>
      </w:r>
      <w:proofErr w:type="spellEnd"/>
      <w:r w:rsidRPr="00E21A25">
        <w:rPr>
          <w:i/>
        </w:rPr>
        <w:t>)</w:t>
      </w:r>
      <w:r w:rsidRPr="0015462C">
        <w:t xml:space="preserve"> are processed with a least square (LS) estimator, to derive one equalizer coefficient per time slot and per allocated subcarrier. </w:t>
      </w:r>
      <w:r w:rsidRPr="00E21A25">
        <w:rPr>
          <w:i/>
        </w:rPr>
        <w:t>EC(f)</w:t>
      </w:r>
      <w:r w:rsidRPr="0015462C">
        <w:t xml:space="preserve"> is defined</w:t>
      </w:r>
      <w:r>
        <w:t xml:space="preserve"> for each layer</w:t>
      </w:r>
      <w:r w:rsidRPr="0015462C">
        <w:t xml:space="preserve"> as</w:t>
      </w:r>
      <w:r>
        <w:t>:</w:t>
      </w:r>
    </w:p>
    <w:p w14:paraId="674C40A1" w14:textId="77777777" w:rsidR="00666551" w:rsidRDefault="00666551" w:rsidP="00666551">
      <w:pPr>
        <w:jc w:val="center"/>
      </w:pPr>
    </w:p>
    <w:p w14:paraId="73585A18" w14:textId="77777777" w:rsidR="00666551" w:rsidRPr="003A715E" w:rsidRDefault="00520337" w:rsidP="00666551">
      <w:pPr>
        <w:jc w:val="center"/>
        <w:rPr>
          <w:sz w:val="24"/>
          <w:szCs w:val="24"/>
        </w:rPr>
      </w:pPr>
      <m:oMathPara>
        <m:oMath>
          <m:sSub>
            <m:sSubPr>
              <m:ctrlPr>
                <w:rPr>
                  <w:rFonts w:ascii="Cambria Math" w:hAnsi="Cambria Math"/>
                  <w:i/>
                  <w:sz w:val="24"/>
                  <w:szCs w:val="24"/>
                </w:rPr>
              </m:ctrlPr>
            </m:sSubPr>
            <m:e>
              <m:r>
                <w:rPr>
                  <w:rFonts w:ascii="Cambria Math"/>
                  <w:sz w:val="24"/>
                  <w:szCs w:val="24"/>
                </w:rPr>
                <m:t>EC</m:t>
              </m:r>
            </m:e>
            <m:sub>
              <m:r>
                <w:rPr>
                  <w:rFonts w:ascii="Cambria Math" w:hAnsi="Cambria Math"/>
                  <w:sz w:val="24"/>
                </w:rPr>
                <m:t>ν</m:t>
              </m:r>
            </m:sub>
          </m:sSub>
          <m:r>
            <w:rPr>
              <w:rFonts w:ascii="Cambria Math"/>
              <w:sz w:val="24"/>
              <w:szCs w:val="24"/>
            </w:rPr>
            <m:t>(f)=</m:t>
          </m:r>
          <m:f>
            <m:fPr>
              <m:ctrlPr>
                <w:rPr>
                  <w:rFonts w:ascii="Cambria Math" w:hAnsi="Cambria Math"/>
                  <w:i/>
                  <w:sz w:val="24"/>
                  <w:szCs w:val="24"/>
                </w:rPr>
              </m:ctrlPr>
            </m:fPr>
            <m:num>
              <m:nary>
                <m:naryPr>
                  <m:chr m:val="∑"/>
                  <m:ctrlPr>
                    <w:rPr>
                      <w:rFonts w:ascii="Cambria Math" w:hAnsi="Cambria Math"/>
                      <w:i/>
                      <w:sz w:val="24"/>
                      <w:szCs w:val="24"/>
                    </w:rPr>
                  </m:ctrlPr>
                </m:naryPr>
                <m:sub>
                  <m:r>
                    <w:rPr>
                      <w:rFonts w:ascii="Cambria Math"/>
                      <w:sz w:val="24"/>
                      <w:szCs w:val="24"/>
                    </w:rPr>
                    <m:t>t=0</m:t>
                  </m:r>
                </m:sub>
                <m:sup>
                  <m:r>
                    <w:rPr>
                      <w:rFonts w:ascii="Cambria Math"/>
                      <w:sz w:val="24"/>
                      <w:szCs w:val="24"/>
                    </w:rPr>
                    <m:t>13</m:t>
                  </m:r>
                </m:sup>
                <m:e>
                  <m:sSub>
                    <m:sSubPr>
                      <m:ctrlPr>
                        <w:rPr>
                          <w:rFonts w:ascii="Cambria Math" w:hAnsi="Cambria Math"/>
                          <w:i/>
                          <w:sz w:val="24"/>
                          <w:szCs w:val="24"/>
                        </w:rPr>
                      </m:ctrlPr>
                    </m:sSubPr>
                    <m:e>
                      <m:r>
                        <w:rPr>
                          <w:rFonts w:ascii="Cambria Math"/>
                          <w:sz w:val="24"/>
                          <w:szCs w:val="24"/>
                        </w:rPr>
                        <m:t>NS</m:t>
                      </m:r>
                    </m:e>
                    <m:sub>
                      <m:r>
                        <w:rPr>
                          <w:rFonts w:ascii="Cambria Math" w:hAnsi="Cambria Math"/>
                          <w:sz w:val="24"/>
                        </w:rPr>
                        <m:t>ν</m:t>
                      </m:r>
                    </m:sub>
                  </m:sSub>
                  <m:r>
                    <w:rPr>
                      <w:rFonts w:ascii="Cambria Math"/>
                      <w:sz w:val="24"/>
                      <w:szCs w:val="24"/>
                    </w:rPr>
                    <m:t>(f,t</m:t>
                  </m:r>
                  <m:sSup>
                    <m:sSupPr>
                      <m:ctrlPr>
                        <w:rPr>
                          <w:rFonts w:ascii="Cambria Math" w:hAnsi="Cambria Math"/>
                          <w:i/>
                          <w:sz w:val="24"/>
                          <w:szCs w:val="24"/>
                        </w:rPr>
                      </m:ctrlPr>
                    </m:sSupPr>
                    <m:e>
                      <m:r>
                        <w:rPr>
                          <w:rFonts w:ascii="Cambria Math"/>
                          <w:sz w:val="24"/>
                          <w:szCs w:val="24"/>
                        </w:rPr>
                        <m:t>)</m:t>
                      </m:r>
                    </m:e>
                    <m:sup>
                      <m:r>
                        <w:rPr>
                          <w:rFonts w:ascii="Cambria Math"/>
                          <w:sz w:val="24"/>
                          <w:szCs w:val="24"/>
                        </w:rPr>
                        <m:t>*</m:t>
                      </m:r>
                    </m:sup>
                  </m:sSup>
                  <m:sSub>
                    <m:sSubPr>
                      <m:ctrlPr>
                        <w:rPr>
                          <w:rFonts w:ascii="Cambria Math" w:hAnsi="Cambria Math"/>
                          <w:i/>
                          <w:sz w:val="24"/>
                          <w:szCs w:val="24"/>
                        </w:rPr>
                      </m:ctrlPr>
                    </m:sSubPr>
                    <m:e>
                      <m:r>
                        <w:rPr>
                          <w:rFonts w:ascii="Cambria Math"/>
                          <w:sz w:val="24"/>
                          <w:szCs w:val="24"/>
                        </w:rPr>
                        <m:t>NS</m:t>
                      </m:r>
                    </m:e>
                    <m:sub>
                      <m:r>
                        <w:rPr>
                          <w:rFonts w:ascii="Cambria Math" w:hAnsi="Cambria Math"/>
                          <w:sz w:val="24"/>
                        </w:rPr>
                        <m:t>ν</m:t>
                      </m:r>
                    </m:sub>
                  </m:sSub>
                  <m:r>
                    <w:rPr>
                      <w:rFonts w:ascii="Cambria Math"/>
                      <w:sz w:val="24"/>
                      <w:szCs w:val="24"/>
                    </w:rPr>
                    <m:t>(f,t)</m:t>
                  </m:r>
                </m:e>
              </m:nary>
            </m:num>
            <m:den>
              <m:nary>
                <m:naryPr>
                  <m:chr m:val="∑"/>
                  <m:ctrlPr>
                    <w:rPr>
                      <w:rFonts w:ascii="Cambria Math" w:hAnsi="Cambria Math"/>
                      <w:i/>
                      <w:sz w:val="24"/>
                      <w:szCs w:val="24"/>
                    </w:rPr>
                  </m:ctrlPr>
                </m:naryPr>
                <m:sub>
                  <m:r>
                    <w:rPr>
                      <w:rFonts w:ascii="Cambria Math"/>
                      <w:sz w:val="24"/>
                      <w:szCs w:val="24"/>
                    </w:rPr>
                    <m:t>t=0</m:t>
                  </m:r>
                </m:sub>
                <m:sup>
                  <m:r>
                    <w:rPr>
                      <w:rFonts w:ascii="Cambria Math"/>
                      <w:sz w:val="24"/>
                      <w:szCs w:val="24"/>
                    </w:rPr>
                    <m:t>13</m:t>
                  </m:r>
                </m:sup>
                <m:e>
                  <m:r>
                    <w:rPr>
                      <w:rFonts w:ascii="Cambria Math"/>
                      <w:sz w:val="24"/>
                      <w:szCs w:val="24"/>
                    </w:rPr>
                    <m:t>M</m:t>
                  </m:r>
                  <m:sSub>
                    <m:sSubPr>
                      <m:ctrlPr>
                        <w:rPr>
                          <w:rFonts w:ascii="Cambria Math" w:hAnsi="Cambria Math"/>
                          <w:i/>
                          <w:sz w:val="24"/>
                          <w:szCs w:val="24"/>
                        </w:rPr>
                      </m:ctrlPr>
                    </m:sSubPr>
                    <m:e>
                      <m:r>
                        <w:rPr>
                          <w:rFonts w:ascii="Cambria Math"/>
                          <w:sz w:val="24"/>
                          <w:szCs w:val="24"/>
                        </w:rPr>
                        <m:t>S</m:t>
                      </m:r>
                    </m:e>
                    <m:sub>
                      <m:r>
                        <w:rPr>
                          <w:rFonts w:ascii="Cambria Math" w:hAnsi="Cambria Math"/>
                          <w:sz w:val="24"/>
                        </w:rPr>
                        <m:t>ν</m:t>
                      </m:r>
                    </m:sub>
                  </m:sSub>
                  <m:r>
                    <w:rPr>
                      <w:rFonts w:ascii="Cambria Math"/>
                      <w:sz w:val="24"/>
                      <w:szCs w:val="24"/>
                    </w:rPr>
                    <m:t>(f,t</m:t>
                  </m:r>
                  <m:sSup>
                    <m:sSupPr>
                      <m:ctrlPr>
                        <w:rPr>
                          <w:rFonts w:ascii="Cambria Math" w:hAnsi="Cambria Math"/>
                          <w:i/>
                          <w:sz w:val="24"/>
                          <w:szCs w:val="24"/>
                        </w:rPr>
                      </m:ctrlPr>
                    </m:sSupPr>
                    <m:e>
                      <m:r>
                        <w:rPr>
                          <w:rFonts w:ascii="Cambria Math"/>
                          <w:sz w:val="24"/>
                          <w:szCs w:val="24"/>
                        </w:rPr>
                        <m:t>)</m:t>
                      </m:r>
                    </m:e>
                    <m:sup>
                      <m:r>
                        <w:rPr>
                          <w:rFonts w:ascii="Cambria Math"/>
                          <w:sz w:val="24"/>
                          <w:szCs w:val="24"/>
                        </w:rPr>
                        <m:t>*</m:t>
                      </m:r>
                    </m:sup>
                  </m:sSup>
                  <m:sSub>
                    <m:sSubPr>
                      <m:ctrlPr>
                        <w:rPr>
                          <w:rFonts w:ascii="Cambria Math" w:hAnsi="Cambria Math"/>
                          <w:i/>
                          <w:sz w:val="24"/>
                          <w:szCs w:val="24"/>
                        </w:rPr>
                      </m:ctrlPr>
                    </m:sSubPr>
                    <m:e>
                      <m:r>
                        <w:rPr>
                          <w:rFonts w:ascii="Cambria Math"/>
                          <w:sz w:val="24"/>
                          <w:szCs w:val="24"/>
                        </w:rPr>
                        <m:t>NS</m:t>
                      </m:r>
                    </m:e>
                    <m:sub>
                      <m:r>
                        <w:rPr>
                          <w:rFonts w:ascii="Cambria Math" w:hAnsi="Cambria Math"/>
                          <w:sz w:val="24"/>
                        </w:rPr>
                        <m:t>ν</m:t>
                      </m:r>
                    </m:sub>
                  </m:sSub>
                  <m:r>
                    <w:rPr>
                      <w:rFonts w:ascii="Cambria Math"/>
                      <w:sz w:val="24"/>
                      <w:szCs w:val="24"/>
                    </w:rPr>
                    <m:t>(f,t)</m:t>
                  </m:r>
                </m:e>
              </m:nary>
            </m:den>
          </m:f>
        </m:oMath>
      </m:oMathPara>
    </w:p>
    <w:p w14:paraId="1F85435B" w14:textId="77777777" w:rsidR="00666551" w:rsidRDefault="00666551" w:rsidP="00666551">
      <w:pPr>
        <w:jc w:val="center"/>
      </w:pPr>
    </w:p>
    <w:p w14:paraId="5675BE9E" w14:textId="77777777" w:rsidR="00666551" w:rsidRDefault="00666551" w:rsidP="00666551">
      <w:pPr>
        <w:rPr>
          <w:lang w:val="en-GB"/>
        </w:rPr>
      </w:pPr>
      <w:r w:rsidRPr="0015462C">
        <w:rPr>
          <w:lang w:val="en-GB"/>
        </w:rPr>
        <w:lastRenderedPageBreak/>
        <w:t>With * denoting complex conjugation.</w:t>
      </w:r>
      <w:r>
        <w:rPr>
          <w:lang w:val="en-GB"/>
        </w:rPr>
        <w:t xml:space="preserve"> </w:t>
      </w:r>
      <w:r w:rsidRPr="00E21A25">
        <w:rPr>
          <w:i/>
          <w:lang w:val="en-GB"/>
        </w:rPr>
        <w:t>EC(f)</w:t>
      </w:r>
      <w:r>
        <w:rPr>
          <w:lang w:val="en-GB"/>
        </w:rPr>
        <w:t xml:space="preserve"> are used to equalize layer data symbols.</w:t>
      </w:r>
    </w:p>
    <w:p w14:paraId="7E1E94F4" w14:textId="77777777" w:rsidR="00666551" w:rsidRDefault="00666551" w:rsidP="00666551">
      <w:pPr>
        <w:rPr>
          <w:lang w:val="en-GB"/>
        </w:rPr>
      </w:pPr>
      <w:r>
        <w:rPr>
          <w:lang w:val="en-GB"/>
        </w:rPr>
        <w:t>EVM equalizer spectral flatness is derived from equalizer coefficients for each layer as follows:</w:t>
      </w:r>
    </w:p>
    <w:p w14:paraId="59EF1595" w14:textId="04C9A71B" w:rsidR="00666551" w:rsidRPr="00AD143E" w:rsidRDefault="00520337" w:rsidP="00666551">
      <w:pPr>
        <w:rPr>
          <w:sz w:val="24"/>
        </w:rPr>
      </w:pPr>
      <m:oMathPara>
        <m:oMath>
          <m:sSub>
            <m:sSubPr>
              <m:ctrlPr>
                <w:rPr>
                  <w:rFonts w:ascii="Cambria Math" w:hAnsi="Cambria Math"/>
                  <w:i/>
                  <w:sz w:val="24"/>
                </w:rPr>
              </m:ctrlPr>
            </m:sSubPr>
            <m:e>
              <m:r>
                <w:rPr>
                  <w:rFonts w:ascii="Cambria Math" w:hAnsi="Cambria Math"/>
                  <w:sz w:val="24"/>
                </w:rPr>
                <m:t>c</m:t>
              </m:r>
            </m:e>
            <m:sub>
              <m:r>
                <w:rPr>
                  <w:rFonts w:ascii="Cambria Math" w:hAnsi="Cambria Math"/>
                  <w:sz w:val="24"/>
                </w:rPr>
                <m:t>ν</m:t>
              </m:r>
            </m:sub>
          </m:sSub>
          <m:r>
            <w:rPr>
              <w:rFonts w:ascii="Cambria Math" w:hAnsi="Cambria Math"/>
              <w:sz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sz w:val="24"/>
                      <w:szCs w:val="24"/>
                    </w:rPr>
                    <m:t>EC</m:t>
                  </m:r>
                </m:e>
                <m:sub>
                  <m:r>
                    <w:rPr>
                      <w:rFonts w:ascii="Cambria Math" w:hAnsi="Cambria Math"/>
                      <w:sz w:val="24"/>
                    </w:rPr>
                    <m:t>ν</m:t>
                  </m:r>
                </m:sub>
              </m:sSub>
              <m:r>
                <w:rPr>
                  <w:rFonts w:ascii="Cambria Math"/>
                  <w:sz w:val="24"/>
                  <w:szCs w:val="24"/>
                </w:rPr>
                <m:t>(f)</m:t>
              </m:r>
            </m:e>
          </m:d>
          <m:r>
            <w:rPr>
              <w:rFonts w:ascii="Cambria Math" w:hAnsi="Cambria Math"/>
              <w:sz w:val="24"/>
              <w:szCs w:val="24"/>
            </w:rPr>
            <m:t xml:space="preserve"> </m:t>
          </m:r>
          <m:rad>
            <m:radPr>
              <m:degHide m:val="1"/>
              <m:ctrlPr>
                <w:rPr>
                  <w:rFonts w:ascii="Cambria Math" w:hAnsi="Cambria Math"/>
                  <w:i/>
                  <w:sz w:val="24"/>
                </w:rPr>
              </m:ctrlPr>
            </m:radPr>
            <m:deg/>
            <m:e>
              <m:sSup>
                <m:sSupPr>
                  <m:ctrlPr>
                    <w:rPr>
                      <w:rFonts w:ascii="Cambria Math" w:hAnsi="Cambria Math"/>
                      <w:i/>
                      <w:sz w:val="24"/>
                    </w:rPr>
                  </m:ctrlPr>
                </m:sSupPr>
                <m:e>
                  <m:d>
                    <m:dPr>
                      <m:begChr m:val="|"/>
                      <m:endChr m:val="|"/>
                      <m:ctrlPr>
                        <w:rPr>
                          <w:rFonts w:ascii="Cambria Math" w:hAnsi="Cambria Math"/>
                          <w:i/>
                          <w:sz w:val="24"/>
                        </w:rPr>
                      </m:ctrlPr>
                    </m:dPr>
                    <m:e>
                      <m:sSub>
                        <m:sSubPr>
                          <m:ctrlPr>
                            <w:rPr>
                              <w:rFonts w:ascii="Cambria Math" w:hAnsi="Cambria Math"/>
                              <w:i/>
                              <w:sz w:val="24"/>
                            </w:rPr>
                          </m:ctrlPr>
                        </m:sSubPr>
                        <m:e>
                          <m:r>
                            <w:rPr>
                              <w:rFonts w:ascii="Cambria Math" w:hAnsi="Cambria Math"/>
                              <w:sz w:val="24"/>
                            </w:rPr>
                            <m:t>g</m:t>
                          </m:r>
                        </m:e>
                        <m:sub>
                          <m:r>
                            <w:rPr>
                              <w:rFonts w:ascii="Cambria Math" w:hAnsi="Cambria Math"/>
                              <w:sz w:val="24"/>
                            </w:rPr>
                            <m:t>ν,0</m:t>
                          </m:r>
                        </m:sub>
                      </m:sSub>
                    </m:e>
                  </m:d>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d>
                    <m:dPr>
                      <m:begChr m:val="|"/>
                      <m:endChr m:val="|"/>
                      <m:ctrlPr>
                        <w:rPr>
                          <w:rFonts w:ascii="Cambria Math" w:hAnsi="Cambria Math"/>
                          <w:i/>
                          <w:sz w:val="24"/>
                        </w:rPr>
                      </m:ctrlPr>
                    </m:dPr>
                    <m:e>
                      <m:sSub>
                        <m:sSubPr>
                          <m:ctrlPr>
                            <w:rPr>
                              <w:rFonts w:ascii="Cambria Math" w:hAnsi="Cambria Math"/>
                              <w:i/>
                              <w:sz w:val="24"/>
                            </w:rPr>
                          </m:ctrlPr>
                        </m:sSubPr>
                        <m:e>
                          <m:r>
                            <w:rPr>
                              <w:rFonts w:ascii="Cambria Math" w:hAnsi="Cambria Math"/>
                              <w:sz w:val="24"/>
                            </w:rPr>
                            <m:t>g</m:t>
                          </m:r>
                        </m:e>
                        <m:sub>
                          <m:r>
                            <w:rPr>
                              <w:rFonts w:ascii="Cambria Math" w:hAnsi="Cambria Math"/>
                              <w:sz w:val="24"/>
                            </w:rPr>
                            <m:t>ν,1</m:t>
                          </m:r>
                        </m:sub>
                      </m:sSub>
                    </m:e>
                  </m:d>
                </m:e>
                <m:sup>
                  <m:r>
                    <w:rPr>
                      <w:rFonts w:ascii="Cambria Math" w:hAnsi="Cambria Math"/>
                      <w:sz w:val="24"/>
                    </w:rPr>
                    <m:t>2</m:t>
                  </m:r>
                </m:sup>
              </m:sSup>
            </m:e>
          </m:rad>
        </m:oMath>
      </m:oMathPara>
    </w:p>
    <w:p w14:paraId="2DA9A6E6" w14:textId="11576524" w:rsidR="00393777" w:rsidRDefault="00393777" w:rsidP="00AD143E">
      <w:pPr>
        <w:pStyle w:val="berschrift2"/>
        <w:rPr>
          <w:lang w:val="en-US"/>
        </w:rPr>
      </w:pPr>
      <w:r w:rsidRPr="00393777">
        <w:rPr>
          <w:lang w:val="en-US"/>
        </w:rPr>
        <w:t>Advantages compared to other m</w:t>
      </w:r>
      <w:r>
        <w:rPr>
          <w:lang w:val="en-US"/>
        </w:rPr>
        <w:t>ethods presented</w:t>
      </w:r>
    </w:p>
    <w:p w14:paraId="1325B72A" w14:textId="77777777" w:rsidR="00393777" w:rsidRDefault="00393777" w:rsidP="00393777">
      <w:pPr>
        <w:rPr>
          <w:lang w:eastAsia="en-US"/>
        </w:rPr>
      </w:pPr>
      <w:r>
        <w:rPr>
          <w:lang w:eastAsia="en-US"/>
        </w:rPr>
        <w:t>Compared to the approach proposed in the last meeting in [2], the approach in this paper has several advantages, e.g. it will work even if only a single symbol is transmitted, it is fully independent of the data transmitted and has a reduced complexity when being implemented.</w:t>
      </w:r>
    </w:p>
    <w:p w14:paraId="348842FC" w14:textId="77777777" w:rsidR="00393777" w:rsidRPr="00464CA9" w:rsidRDefault="00393777" w:rsidP="00393777">
      <w:r>
        <w:t xml:space="preserve">The existence of ZF equalizer </w:t>
      </w:r>
      <w:r w:rsidRPr="00AA2A9F">
        <w:rPr>
          <w:i/>
        </w:rPr>
        <w:t>G</w:t>
      </w:r>
      <w:r>
        <w:t xml:space="preserve"> depends on the invertibility of channel matrix </w:t>
      </w:r>
      <w:r w:rsidRPr="00AA2A9F">
        <w:rPr>
          <w:i/>
        </w:rPr>
        <w:t>H</w:t>
      </w:r>
      <w:r>
        <w:t xml:space="preserve">. This is a general requirement for 2-Layer MIMO transmission which is only possible if channel matrix </w:t>
      </w:r>
      <w:r w:rsidRPr="00AA2A9F">
        <w:rPr>
          <w:i/>
        </w:rPr>
        <w:t>H</w:t>
      </w:r>
      <w:r>
        <w:t xml:space="preserve"> has rank 2.</w:t>
      </w:r>
    </w:p>
    <w:p w14:paraId="6A7E9237" w14:textId="438F6A92" w:rsidR="00393777" w:rsidRDefault="00393777" w:rsidP="00393777">
      <w:r>
        <w:t xml:space="preserve">Using the channel estimation method as described in this paper, based only on DMRS symbols, the existence of channel matrix </w:t>
      </w:r>
      <w:r w:rsidRPr="00F317E7">
        <w:rPr>
          <w:i/>
        </w:rPr>
        <w:t>H</w:t>
      </w:r>
      <w:r>
        <w:t xml:space="preserve"> is always guaranteed. EVM calculation is completely independent of any correlation properties of transmitted data like e.g. pseudo-random data.</w:t>
      </w:r>
    </w:p>
    <w:p w14:paraId="3DC1DD10" w14:textId="3BDD13D8" w:rsidR="00393777" w:rsidRDefault="00393777" w:rsidP="00393777">
      <w:r>
        <w:t>For the method described in [2] this will depend on the transmitted data symbols on each layer and subcarrier and will lead to a non-invertible matrix under certain circumstances. A detailed explanation on why the method described in [2] will lead to a scenario where the transmit signal quality cannot be measured is given in [</w:t>
      </w:r>
      <w:r w:rsidR="00466707">
        <w:t>7].</w:t>
      </w:r>
    </w:p>
    <w:p w14:paraId="471C60FE" w14:textId="786DF700" w:rsidR="00AD143E" w:rsidRDefault="00AD143E" w:rsidP="00AD143E">
      <w:pPr>
        <w:pStyle w:val="berschrift2"/>
        <w:rPr>
          <w:lang w:val="de-DE"/>
        </w:rPr>
      </w:pPr>
      <w:proofErr w:type="spellStart"/>
      <w:r>
        <w:rPr>
          <w:lang w:val="de-DE"/>
        </w:rPr>
        <w:t>Applicability</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method</w:t>
      </w:r>
      <w:proofErr w:type="spellEnd"/>
    </w:p>
    <w:p w14:paraId="2D328A16" w14:textId="4935156A" w:rsidR="00393777" w:rsidRDefault="00466707" w:rsidP="00393777">
      <w:pPr>
        <w:rPr>
          <w:lang w:eastAsia="en-US"/>
        </w:rPr>
      </w:pPr>
      <w:r>
        <w:rPr>
          <w:lang w:eastAsia="en-US"/>
        </w:rPr>
        <w:t>The transmit signal quality for UL MIMO requirements in TS 38.101-1 are defined as follows</w:t>
      </w:r>
      <w:r w:rsidR="0082454F">
        <w:rPr>
          <w:lang w:eastAsia="en-US"/>
        </w:rPr>
        <w:t>:</w:t>
      </w:r>
    </w:p>
    <w:p w14:paraId="3822705C" w14:textId="77777777" w:rsidR="0082454F" w:rsidRPr="0082454F" w:rsidRDefault="0082454F" w:rsidP="0082454F">
      <w:pPr>
        <w:keepNext/>
        <w:keepLines/>
        <w:spacing w:before="120" w:after="180" w:line="240" w:lineRule="auto"/>
        <w:outlineLvl w:val="2"/>
        <w:rPr>
          <w:rFonts w:eastAsia="Times New Roman" w:cs="Times New Roman"/>
          <w:sz w:val="28"/>
          <w:szCs w:val="20"/>
          <w:highlight w:val="lightGray"/>
          <w:lang w:val="en-GB" w:eastAsia="en-US"/>
        </w:rPr>
      </w:pPr>
      <w:bookmarkStart w:id="7" w:name="_Toc29801831"/>
      <w:bookmarkStart w:id="8" w:name="_Toc29802255"/>
      <w:bookmarkStart w:id="9" w:name="_Toc29802880"/>
      <w:bookmarkStart w:id="10" w:name="_Toc36107622"/>
      <w:bookmarkStart w:id="11" w:name="_Toc37251388"/>
      <w:bookmarkStart w:id="12" w:name="_Toc45888257"/>
      <w:bookmarkStart w:id="13" w:name="_Toc45888856"/>
      <w:bookmarkStart w:id="14" w:name="_Toc61367537"/>
      <w:bookmarkStart w:id="15" w:name="_Toc61372920"/>
      <w:bookmarkStart w:id="16" w:name="_Toc68230868"/>
      <w:bookmarkStart w:id="17" w:name="_Toc69084281"/>
      <w:r w:rsidRPr="0082454F">
        <w:rPr>
          <w:rFonts w:eastAsia="Times New Roman" w:cs="Times New Roman"/>
          <w:sz w:val="28"/>
          <w:szCs w:val="20"/>
          <w:highlight w:val="lightGray"/>
          <w:lang w:val="en-GB" w:eastAsia="en-US"/>
        </w:rPr>
        <w:t>6.4D.2</w:t>
      </w:r>
      <w:r w:rsidRPr="0082454F">
        <w:rPr>
          <w:rFonts w:eastAsia="Times New Roman" w:cs="Times New Roman"/>
          <w:sz w:val="28"/>
          <w:szCs w:val="20"/>
          <w:highlight w:val="lightGray"/>
          <w:lang w:val="en-GB" w:eastAsia="en-US"/>
        </w:rPr>
        <w:tab/>
        <w:t>Transmit modulation quality for UL MIMO</w:t>
      </w:r>
      <w:bookmarkEnd w:id="7"/>
      <w:bookmarkEnd w:id="8"/>
      <w:bookmarkEnd w:id="9"/>
      <w:bookmarkEnd w:id="10"/>
      <w:bookmarkEnd w:id="11"/>
      <w:bookmarkEnd w:id="12"/>
      <w:bookmarkEnd w:id="13"/>
      <w:bookmarkEnd w:id="14"/>
      <w:bookmarkEnd w:id="15"/>
      <w:bookmarkEnd w:id="16"/>
      <w:bookmarkEnd w:id="17"/>
    </w:p>
    <w:p w14:paraId="1C3D3C43" w14:textId="77777777" w:rsidR="0082454F" w:rsidRPr="0082454F" w:rsidRDefault="0082454F" w:rsidP="0082454F">
      <w:pPr>
        <w:spacing w:after="180" w:line="240" w:lineRule="auto"/>
        <w:rPr>
          <w:rFonts w:ascii="Times New Roman" w:eastAsia="Times New Roman" w:hAnsi="Times New Roman" w:cs="Times New Roman"/>
          <w:sz w:val="20"/>
          <w:szCs w:val="20"/>
          <w:highlight w:val="lightGray"/>
          <w:lang w:val="en-GB" w:eastAsia="en-US"/>
        </w:rPr>
      </w:pPr>
      <w:r w:rsidRPr="0082454F">
        <w:rPr>
          <w:rFonts w:ascii="Times New Roman" w:eastAsia="Times New Roman" w:hAnsi="Times New Roman" w:cs="Times New Roman"/>
          <w:sz w:val="20"/>
          <w:szCs w:val="20"/>
          <w:highlight w:val="lightGray"/>
          <w:lang w:val="en-GB" w:eastAsia="en-US"/>
        </w:rPr>
        <w:t>For UE supporting UL MIMO, the transmit modulation quality requirements are specified at each transmit antenna connector.</w:t>
      </w:r>
    </w:p>
    <w:p w14:paraId="743D8AB6" w14:textId="77777777" w:rsidR="0082454F" w:rsidRPr="0082454F" w:rsidRDefault="0082454F" w:rsidP="0082454F">
      <w:pPr>
        <w:spacing w:after="180" w:line="240" w:lineRule="auto"/>
        <w:rPr>
          <w:rFonts w:ascii="Times New Roman" w:eastAsia="Times New Roman" w:hAnsi="Times New Roman" w:cs="Times New Roman"/>
          <w:sz w:val="20"/>
          <w:szCs w:val="20"/>
          <w:highlight w:val="lightGray"/>
          <w:lang w:val="en-GB" w:eastAsia="en-US"/>
        </w:rPr>
      </w:pPr>
      <w:r w:rsidRPr="0082454F">
        <w:rPr>
          <w:rFonts w:ascii="Times New Roman" w:eastAsia="Times New Roman" w:hAnsi="Times New Roman" w:cs="Times New Roman"/>
          <w:sz w:val="20"/>
          <w:szCs w:val="20"/>
          <w:highlight w:val="lightGray"/>
          <w:lang w:val="en-GB" w:eastAsia="en-US"/>
        </w:rPr>
        <w:t xml:space="preserve">If UE is scheduled for single antenna-port PUSCH transmission by DCI format 0_0 or by DCI format 0_1 for single antenna port </w:t>
      </w:r>
      <w:proofErr w:type="gramStart"/>
      <w:r w:rsidRPr="0082454F">
        <w:rPr>
          <w:rFonts w:ascii="Times New Roman" w:eastAsia="Times New Roman" w:hAnsi="Times New Roman" w:cs="Times New Roman"/>
          <w:sz w:val="20"/>
          <w:szCs w:val="20"/>
          <w:highlight w:val="lightGray"/>
          <w:lang w:val="en-GB" w:eastAsia="en-US"/>
        </w:rPr>
        <w:t>codebook based</w:t>
      </w:r>
      <w:proofErr w:type="gramEnd"/>
      <w:r w:rsidRPr="0082454F">
        <w:rPr>
          <w:rFonts w:ascii="Times New Roman" w:eastAsia="Times New Roman" w:hAnsi="Times New Roman" w:cs="Times New Roman"/>
          <w:sz w:val="20"/>
          <w:szCs w:val="20"/>
          <w:highlight w:val="lightGray"/>
          <w:lang w:val="en-GB" w:eastAsia="en-US"/>
        </w:rPr>
        <w:t xml:space="preserve"> transmission, the requirements in clause 6.4.2 apply.</w:t>
      </w:r>
    </w:p>
    <w:p w14:paraId="77FF670B" w14:textId="77777777" w:rsidR="0082454F" w:rsidRPr="0082454F" w:rsidRDefault="0082454F" w:rsidP="0082454F">
      <w:pPr>
        <w:spacing w:after="180" w:line="240" w:lineRule="auto"/>
        <w:rPr>
          <w:rFonts w:ascii="Times New Roman" w:eastAsia="Times New Roman" w:hAnsi="Times New Roman" w:cs="Times New Roman"/>
          <w:sz w:val="20"/>
          <w:szCs w:val="20"/>
          <w:highlight w:val="lightGray"/>
          <w:lang w:val="en-GB" w:eastAsia="en-US"/>
        </w:rPr>
      </w:pPr>
      <w:r w:rsidRPr="0082454F">
        <w:rPr>
          <w:rFonts w:ascii="Times New Roman" w:eastAsia="Times New Roman" w:hAnsi="Times New Roman" w:cs="Times New Roman"/>
          <w:sz w:val="20"/>
          <w:szCs w:val="20"/>
          <w:highlight w:val="lightGray"/>
          <w:lang w:val="en-GB" w:eastAsia="en-US"/>
        </w:rPr>
        <w:t>The transmit modulation quality is specified in terms of:</w:t>
      </w:r>
    </w:p>
    <w:p w14:paraId="1C2105D0" w14:textId="77777777" w:rsidR="0082454F" w:rsidRPr="0082454F" w:rsidRDefault="0082454F" w:rsidP="0082454F">
      <w:pPr>
        <w:spacing w:after="180" w:line="240" w:lineRule="auto"/>
        <w:ind w:left="568" w:hanging="284"/>
        <w:rPr>
          <w:rFonts w:ascii="Times New Roman" w:eastAsia="Times New Roman" w:hAnsi="Times New Roman" w:cs="Times New Roman"/>
          <w:sz w:val="20"/>
          <w:szCs w:val="20"/>
          <w:highlight w:val="lightGray"/>
          <w:lang w:val="en-GB" w:eastAsia="en-US"/>
        </w:rPr>
      </w:pPr>
      <w:r w:rsidRPr="0082454F">
        <w:rPr>
          <w:rFonts w:ascii="Times New Roman" w:eastAsia="Times New Roman" w:hAnsi="Times New Roman" w:cs="Times New Roman"/>
          <w:sz w:val="20"/>
          <w:szCs w:val="20"/>
          <w:highlight w:val="lightGray"/>
          <w:lang w:val="en-GB" w:eastAsia="en-US"/>
        </w:rPr>
        <w:t>-</w:t>
      </w:r>
      <w:r w:rsidRPr="0082454F">
        <w:rPr>
          <w:rFonts w:ascii="Times New Roman" w:eastAsia="Times New Roman" w:hAnsi="Times New Roman" w:cs="Times New Roman"/>
          <w:sz w:val="20"/>
          <w:szCs w:val="20"/>
          <w:highlight w:val="lightGray"/>
          <w:lang w:val="en-GB" w:eastAsia="en-US"/>
        </w:rPr>
        <w:tab/>
        <w:t>Error Vector Magnitude (EVM) for the allocated resource blocks (RBs)</w:t>
      </w:r>
    </w:p>
    <w:p w14:paraId="39E8B6EF" w14:textId="77777777" w:rsidR="0082454F" w:rsidRPr="0082454F" w:rsidRDefault="0082454F" w:rsidP="0082454F">
      <w:pPr>
        <w:spacing w:after="180" w:line="240" w:lineRule="auto"/>
        <w:ind w:left="568" w:hanging="284"/>
        <w:rPr>
          <w:rFonts w:ascii="Times New Roman" w:eastAsia="Times New Roman" w:hAnsi="Times New Roman" w:cs="Times New Roman"/>
          <w:sz w:val="20"/>
          <w:szCs w:val="20"/>
          <w:highlight w:val="lightGray"/>
          <w:lang w:val="en-GB" w:eastAsia="en-US"/>
        </w:rPr>
      </w:pPr>
      <w:r w:rsidRPr="0082454F">
        <w:rPr>
          <w:rFonts w:ascii="Times New Roman" w:eastAsia="Times New Roman" w:hAnsi="Times New Roman" w:cs="Times New Roman"/>
          <w:sz w:val="20"/>
          <w:szCs w:val="20"/>
          <w:highlight w:val="lightGray"/>
          <w:lang w:val="en-GB" w:eastAsia="en-US"/>
        </w:rPr>
        <w:t>-</w:t>
      </w:r>
      <w:r w:rsidRPr="0082454F">
        <w:rPr>
          <w:rFonts w:ascii="Times New Roman" w:eastAsia="Times New Roman" w:hAnsi="Times New Roman" w:cs="Times New Roman"/>
          <w:sz w:val="20"/>
          <w:szCs w:val="20"/>
          <w:highlight w:val="lightGray"/>
          <w:lang w:val="en-GB" w:eastAsia="en-US"/>
        </w:rPr>
        <w:tab/>
        <w:t>EVM equalizer spectrum flatness derived from the equalizer coefficients generated by the EVM measurement process</w:t>
      </w:r>
    </w:p>
    <w:p w14:paraId="2FBEB568" w14:textId="77777777" w:rsidR="0082454F" w:rsidRPr="0082454F" w:rsidRDefault="0082454F" w:rsidP="0082454F">
      <w:pPr>
        <w:spacing w:after="180" w:line="240" w:lineRule="auto"/>
        <w:ind w:left="568" w:hanging="284"/>
        <w:rPr>
          <w:rFonts w:ascii="Times New Roman" w:eastAsia="Times New Roman" w:hAnsi="Times New Roman" w:cs="Times New Roman"/>
          <w:sz w:val="20"/>
          <w:szCs w:val="20"/>
          <w:highlight w:val="lightGray"/>
          <w:lang w:val="en-GB" w:eastAsia="en-US"/>
        </w:rPr>
      </w:pPr>
      <w:r w:rsidRPr="0082454F">
        <w:rPr>
          <w:rFonts w:ascii="Times New Roman" w:eastAsia="Times New Roman" w:hAnsi="Times New Roman" w:cs="Times New Roman"/>
          <w:sz w:val="20"/>
          <w:szCs w:val="20"/>
          <w:highlight w:val="lightGray"/>
          <w:lang w:val="en-GB" w:eastAsia="en-US"/>
        </w:rPr>
        <w:t>-</w:t>
      </w:r>
      <w:r w:rsidRPr="0082454F">
        <w:rPr>
          <w:rFonts w:ascii="Times New Roman" w:eastAsia="Times New Roman" w:hAnsi="Times New Roman" w:cs="Times New Roman"/>
          <w:sz w:val="20"/>
          <w:szCs w:val="20"/>
          <w:highlight w:val="lightGray"/>
          <w:lang w:val="en-GB" w:eastAsia="en-US"/>
        </w:rPr>
        <w:tab/>
        <w:t>Carrier leakage (caused by IQ offset)</w:t>
      </w:r>
    </w:p>
    <w:p w14:paraId="1E6B6BA4" w14:textId="25998AF8" w:rsidR="0082454F" w:rsidRPr="0082454F" w:rsidRDefault="0082454F" w:rsidP="0082454F">
      <w:pPr>
        <w:spacing w:after="180" w:line="240" w:lineRule="auto"/>
        <w:ind w:left="568" w:hanging="284"/>
        <w:rPr>
          <w:rFonts w:ascii="Times New Roman" w:eastAsia="Times New Roman" w:hAnsi="Times New Roman" w:cs="Times New Roman"/>
          <w:sz w:val="20"/>
          <w:szCs w:val="20"/>
          <w:lang w:val="en-GB" w:eastAsia="en-US"/>
        </w:rPr>
      </w:pPr>
      <w:r w:rsidRPr="0082454F">
        <w:rPr>
          <w:rFonts w:ascii="Times New Roman" w:eastAsia="Times New Roman" w:hAnsi="Times New Roman" w:cs="Times New Roman"/>
          <w:sz w:val="20"/>
          <w:szCs w:val="20"/>
          <w:highlight w:val="lightGray"/>
          <w:lang w:val="en-GB" w:eastAsia="en-US"/>
        </w:rPr>
        <w:t>-</w:t>
      </w:r>
      <w:r w:rsidRPr="0082454F">
        <w:rPr>
          <w:rFonts w:ascii="Times New Roman" w:eastAsia="Times New Roman" w:hAnsi="Times New Roman" w:cs="Times New Roman"/>
          <w:sz w:val="20"/>
          <w:szCs w:val="20"/>
          <w:highlight w:val="lightGray"/>
          <w:lang w:val="en-GB" w:eastAsia="en-US"/>
        </w:rPr>
        <w:tab/>
        <w:t>In-band emissions for the non-allocated RB</w:t>
      </w:r>
    </w:p>
    <w:p w14:paraId="626AE2B1" w14:textId="77777777" w:rsidR="00466707" w:rsidRDefault="00466707" w:rsidP="00466707">
      <w:pPr>
        <w:pStyle w:val="Listenabsatz"/>
        <w:numPr>
          <w:ilvl w:val="0"/>
          <w:numId w:val="0"/>
        </w:numPr>
        <w:rPr>
          <w:rFonts w:ascii="Arial" w:hAnsi="Arial" w:cs="Arial"/>
          <w:sz w:val="22"/>
          <w:szCs w:val="22"/>
          <w:lang w:val="en-US"/>
        </w:rPr>
      </w:pPr>
      <w:r>
        <w:rPr>
          <w:rFonts w:ascii="Arial" w:hAnsi="Arial" w:cs="Arial"/>
          <w:sz w:val="22"/>
          <w:szCs w:val="22"/>
          <w:lang w:val="en-US"/>
        </w:rPr>
        <w:t>From these measurements, the propose dual receiver methodology in our view applies to the following:</w:t>
      </w:r>
    </w:p>
    <w:p w14:paraId="39878AED" w14:textId="77777777" w:rsidR="00466707" w:rsidRPr="000C71F9" w:rsidRDefault="00466707" w:rsidP="00466707">
      <w:pPr>
        <w:pStyle w:val="Listenabsatz"/>
        <w:numPr>
          <w:ilvl w:val="0"/>
          <w:numId w:val="50"/>
        </w:numPr>
        <w:spacing w:after="180" w:line="240" w:lineRule="auto"/>
        <w:rPr>
          <w:rFonts w:ascii="Arial" w:eastAsia="Times New Roman" w:hAnsi="Arial" w:cs="Arial"/>
          <w:sz w:val="22"/>
          <w:szCs w:val="22"/>
          <w:lang w:val="en-GB"/>
        </w:rPr>
      </w:pPr>
      <w:r w:rsidRPr="000C71F9">
        <w:rPr>
          <w:rFonts w:ascii="Arial" w:eastAsia="Times New Roman" w:hAnsi="Arial" w:cs="Arial"/>
          <w:sz w:val="22"/>
          <w:szCs w:val="22"/>
          <w:lang w:val="en-GB"/>
        </w:rPr>
        <w:t>Error Vector Magnitude (EVM) for the allocated resource blocks (RBs)</w:t>
      </w:r>
    </w:p>
    <w:p w14:paraId="1FE96BC9" w14:textId="77777777" w:rsidR="00466707" w:rsidRPr="000C71F9" w:rsidRDefault="00466707" w:rsidP="00466707">
      <w:pPr>
        <w:pStyle w:val="Listenabsatz"/>
        <w:numPr>
          <w:ilvl w:val="0"/>
          <w:numId w:val="50"/>
        </w:numPr>
        <w:spacing w:after="180" w:line="240" w:lineRule="auto"/>
        <w:rPr>
          <w:rFonts w:ascii="Arial" w:eastAsia="Times New Roman" w:hAnsi="Arial" w:cs="Arial"/>
          <w:sz w:val="22"/>
          <w:szCs w:val="22"/>
          <w:lang w:val="en-GB"/>
        </w:rPr>
      </w:pPr>
      <w:r w:rsidRPr="000C71F9">
        <w:rPr>
          <w:rFonts w:ascii="Arial" w:eastAsia="Times New Roman" w:hAnsi="Arial" w:cs="Arial"/>
          <w:sz w:val="22"/>
          <w:szCs w:val="22"/>
          <w:lang w:val="en-GB"/>
        </w:rPr>
        <w:lastRenderedPageBreak/>
        <w:t>EVM equalizer spectrum flatness derived from the equalizer coefficients generated by the EVM measurement process</w:t>
      </w:r>
    </w:p>
    <w:p w14:paraId="58D8AEA6" w14:textId="77777777" w:rsidR="00466707" w:rsidRPr="000C71F9" w:rsidRDefault="00466707" w:rsidP="00466707">
      <w:pPr>
        <w:pStyle w:val="Listenabsatz"/>
        <w:numPr>
          <w:ilvl w:val="0"/>
          <w:numId w:val="50"/>
        </w:numPr>
        <w:spacing w:after="180" w:line="240" w:lineRule="auto"/>
        <w:rPr>
          <w:rFonts w:ascii="Arial" w:eastAsia="Times New Roman" w:hAnsi="Arial" w:cs="Arial"/>
          <w:sz w:val="22"/>
          <w:szCs w:val="22"/>
          <w:lang w:val="en-GB"/>
        </w:rPr>
      </w:pPr>
      <w:r w:rsidRPr="000C71F9">
        <w:rPr>
          <w:rFonts w:ascii="Arial" w:eastAsia="Times New Roman" w:hAnsi="Arial" w:cs="Arial"/>
          <w:sz w:val="22"/>
          <w:szCs w:val="22"/>
          <w:lang w:val="en-GB"/>
        </w:rPr>
        <w:t>Carrier leakage (caused by IQ offset)</w:t>
      </w:r>
    </w:p>
    <w:p w14:paraId="337DB3F8" w14:textId="6C5E6563" w:rsidR="00393777" w:rsidRPr="00466707" w:rsidRDefault="00466707" w:rsidP="00393777">
      <w:pPr>
        <w:rPr>
          <w:lang w:val="en-GB" w:eastAsia="en-US"/>
        </w:rPr>
      </w:pPr>
      <w:r>
        <w:rPr>
          <w:lang w:val="en-GB" w:eastAsia="en-US"/>
        </w:rPr>
        <w:t>As already proposed in [2] the in-band emissions shall be measured on a per connector basis, as it is already the case.</w:t>
      </w:r>
    </w:p>
    <w:p w14:paraId="1B2625FE" w14:textId="02E09F4A" w:rsidR="00EC5930" w:rsidRPr="00666551" w:rsidRDefault="00EC5930" w:rsidP="00EC5930">
      <w:pPr>
        <w:pStyle w:val="berschrift2"/>
      </w:pPr>
      <w:r>
        <w:rPr>
          <w:lang w:val="en-US"/>
        </w:rPr>
        <w:t>Summary</w:t>
      </w:r>
    </w:p>
    <w:p w14:paraId="5798B301" w14:textId="30B131E2" w:rsidR="007D24CC" w:rsidRDefault="00EC5930" w:rsidP="00666551">
      <w:pPr>
        <w:rPr>
          <w:lang w:eastAsia="en-US"/>
        </w:rPr>
      </w:pPr>
      <w:r>
        <w:rPr>
          <w:lang w:eastAsia="en-US"/>
        </w:rPr>
        <w:t xml:space="preserve">In this paper we present a method to measure the EVM for UL MIMO transmissions in FR1 on a per layer basis. </w:t>
      </w:r>
      <w:r w:rsidR="007D24CC">
        <w:rPr>
          <w:lang w:eastAsia="en-US"/>
        </w:rPr>
        <w:t>An approach for Tx Diversity which utilizes the same principal approach has already been presented in [5] and may be adapted, in case the approach can be approved for UL MIMO measurements.</w:t>
      </w:r>
    </w:p>
    <w:p w14:paraId="5C6724C3" w14:textId="1723E86F" w:rsidR="00666551" w:rsidRDefault="00EC5930" w:rsidP="00666551">
      <w:pPr>
        <w:rPr>
          <w:lang w:eastAsia="en-US"/>
        </w:rPr>
      </w:pPr>
      <w:r>
        <w:rPr>
          <w:lang w:eastAsia="en-US"/>
        </w:rPr>
        <w:t xml:space="preserve">The approach is well aligned with the proposal </w:t>
      </w:r>
      <w:r w:rsidR="00466707">
        <w:rPr>
          <w:lang w:eastAsia="en-US"/>
        </w:rPr>
        <w:t xml:space="preserve">presented </w:t>
      </w:r>
      <w:r>
        <w:rPr>
          <w:lang w:eastAsia="en-US"/>
        </w:rPr>
        <w:t>for FR2 [6]</w:t>
      </w:r>
      <w:r w:rsidR="00466707">
        <w:rPr>
          <w:lang w:eastAsia="en-US"/>
        </w:rPr>
        <w:t>, [7].</w:t>
      </w:r>
    </w:p>
    <w:p w14:paraId="2541793A" w14:textId="381F6819" w:rsidR="00EC5930" w:rsidRDefault="00EC5930" w:rsidP="00666551">
      <w:pPr>
        <w:rPr>
          <w:lang w:eastAsia="en-US"/>
        </w:rPr>
      </w:pPr>
      <w:r>
        <w:rPr>
          <w:lang w:eastAsia="en-US"/>
        </w:rPr>
        <w:t xml:space="preserve">Compared to the </w:t>
      </w:r>
      <w:r w:rsidR="00466707">
        <w:rPr>
          <w:lang w:eastAsia="en-US"/>
        </w:rPr>
        <w:t xml:space="preserve">alternative </w:t>
      </w:r>
      <w:r>
        <w:rPr>
          <w:lang w:eastAsia="en-US"/>
        </w:rPr>
        <w:t>approach proposed in [2], the approach in this paper has several advantages, e.g. it will work even if only a single symbol is transmitted, it is fully independent of the data transmitted and has a reduced complexity when being implemented.</w:t>
      </w:r>
    </w:p>
    <w:p w14:paraId="72D724D8" w14:textId="4D5CFC1B" w:rsidR="00EC5930" w:rsidRDefault="00EC5930" w:rsidP="00666551">
      <w:pPr>
        <w:rPr>
          <w:lang w:eastAsia="en-US"/>
        </w:rPr>
      </w:pPr>
      <w:r>
        <w:rPr>
          <w:lang w:eastAsia="en-US"/>
        </w:rPr>
        <w:t xml:space="preserve">Therefor we propose to adapt the above described approach for FR1 UL MIMO </w:t>
      </w:r>
      <w:r w:rsidR="00466707">
        <w:rPr>
          <w:lang w:eastAsia="en-US"/>
        </w:rPr>
        <w:t>transmit signal quality</w:t>
      </w:r>
      <w:r>
        <w:rPr>
          <w:lang w:eastAsia="en-US"/>
        </w:rPr>
        <w:t xml:space="preserve"> measurements.</w:t>
      </w:r>
    </w:p>
    <w:bookmarkEnd w:id="2"/>
    <w:bookmarkEnd w:id="3"/>
    <w:p w14:paraId="2D31274F" w14:textId="55017CA1" w:rsidR="007C2DB0" w:rsidRDefault="007C2DB0" w:rsidP="007C2DB0">
      <w:pPr>
        <w:rPr>
          <w:lang w:eastAsia="en-US"/>
        </w:rPr>
      </w:pPr>
      <w:r>
        <w:rPr>
          <w:b/>
          <w:lang w:eastAsia="en-US"/>
        </w:rPr>
        <w:t>Proposal</w:t>
      </w:r>
      <w:r w:rsidR="00393777">
        <w:rPr>
          <w:b/>
          <w:lang w:eastAsia="en-US"/>
        </w:rPr>
        <w:t xml:space="preserve"> 1</w:t>
      </w:r>
      <w:r>
        <w:rPr>
          <w:b/>
          <w:lang w:eastAsia="en-US"/>
        </w:rPr>
        <w:t xml:space="preserve">: </w:t>
      </w:r>
      <w:r w:rsidRPr="007C2DB0">
        <w:rPr>
          <w:lang w:eastAsia="en-US"/>
        </w:rPr>
        <w:t xml:space="preserve">RAN4 agrees on the presented approach for </w:t>
      </w:r>
      <w:r w:rsidR="00466707">
        <w:rPr>
          <w:lang w:eastAsia="en-US"/>
        </w:rPr>
        <w:t>FR1 UL MIMO transmit signal quality</w:t>
      </w:r>
      <w:r w:rsidRPr="007C2DB0">
        <w:rPr>
          <w:lang w:eastAsia="en-US"/>
        </w:rPr>
        <w:t xml:space="preserve">. </w:t>
      </w:r>
    </w:p>
    <w:p w14:paraId="4853B24E" w14:textId="47011811" w:rsidR="00393777" w:rsidRPr="007C2DB0" w:rsidRDefault="00393777" w:rsidP="007C2DB0">
      <w:pPr>
        <w:rPr>
          <w:lang w:eastAsia="en-US"/>
        </w:rPr>
      </w:pPr>
      <w:r w:rsidRPr="00393777">
        <w:rPr>
          <w:b/>
          <w:lang w:eastAsia="en-US"/>
        </w:rPr>
        <w:t>Proposal 2:</w:t>
      </w:r>
      <w:r>
        <w:rPr>
          <w:lang w:eastAsia="en-US"/>
        </w:rPr>
        <w:t xml:space="preserve"> RAN4 further discusses the applicability of the approach to </w:t>
      </w:r>
      <w:proofErr w:type="spellStart"/>
      <w:r>
        <w:rPr>
          <w:lang w:eastAsia="en-US"/>
        </w:rPr>
        <w:t>TxD</w:t>
      </w:r>
      <w:proofErr w:type="spellEnd"/>
      <w:r>
        <w:rPr>
          <w:lang w:eastAsia="en-US"/>
        </w:rPr>
        <w:t xml:space="preserve"> once an agreement for UL MIMO has been achieved.</w:t>
      </w:r>
    </w:p>
    <w:p w14:paraId="6A30F3C3" w14:textId="13A8DB7E" w:rsidR="00EE0AC3" w:rsidRPr="00DE4417" w:rsidRDefault="00F71811" w:rsidP="00E45333">
      <w:pPr>
        <w:pStyle w:val="berschrift1"/>
        <w:rPr>
          <w:rFonts w:cs="Arial"/>
        </w:rPr>
      </w:pPr>
      <w:r w:rsidRPr="00DE4417">
        <w:rPr>
          <w:rFonts w:cs="Arial"/>
        </w:rPr>
        <w:t>Proposals</w:t>
      </w:r>
    </w:p>
    <w:p w14:paraId="1BF0E911" w14:textId="6359A8C7" w:rsidR="00824BF1" w:rsidRDefault="00EC5930" w:rsidP="00824BF1">
      <w:pPr>
        <w:rPr>
          <w:lang w:val="en-GB" w:eastAsia="en-US"/>
        </w:rPr>
      </w:pPr>
      <w:bookmarkStart w:id="18" w:name="_Ref473660868"/>
      <w:bookmarkStart w:id="19" w:name="_Ref473660708"/>
      <w:bookmarkStart w:id="20" w:name="OLE_LINK6"/>
      <w:bookmarkStart w:id="21" w:name="OLE_LINK7"/>
      <w:r>
        <w:rPr>
          <w:lang w:val="en-GB" w:eastAsia="en-US"/>
        </w:rPr>
        <w:t>The following proposals are made:</w:t>
      </w:r>
    </w:p>
    <w:p w14:paraId="1BF963D1" w14:textId="77777777" w:rsidR="00466707" w:rsidRDefault="00466707" w:rsidP="00466707">
      <w:pPr>
        <w:rPr>
          <w:lang w:eastAsia="en-US"/>
        </w:rPr>
      </w:pPr>
      <w:r>
        <w:rPr>
          <w:b/>
          <w:lang w:eastAsia="en-US"/>
        </w:rPr>
        <w:t xml:space="preserve">Proposal 1: </w:t>
      </w:r>
      <w:r w:rsidRPr="007C2DB0">
        <w:rPr>
          <w:lang w:eastAsia="en-US"/>
        </w:rPr>
        <w:t xml:space="preserve">RAN4 agrees on the presented approach for </w:t>
      </w:r>
      <w:r>
        <w:rPr>
          <w:lang w:eastAsia="en-US"/>
        </w:rPr>
        <w:t>FR1 UL MIMO transmit signal quality</w:t>
      </w:r>
      <w:r w:rsidRPr="007C2DB0">
        <w:rPr>
          <w:lang w:eastAsia="en-US"/>
        </w:rPr>
        <w:t xml:space="preserve">. </w:t>
      </w:r>
    </w:p>
    <w:p w14:paraId="4976FD3A" w14:textId="77777777" w:rsidR="00466707" w:rsidRPr="007C2DB0" w:rsidRDefault="00466707" w:rsidP="00466707">
      <w:pPr>
        <w:rPr>
          <w:lang w:eastAsia="en-US"/>
        </w:rPr>
      </w:pPr>
      <w:r w:rsidRPr="00393777">
        <w:rPr>
          <w:b/>
          <w:lang w:eastAsia="en-US"/>
        </w:rPr>
        <w:t>Proposal 2:</w:t>
      </w:r>
      <w:r>
        <w:rPr>
          <w:lang w:eastAsia="en-US"/>
        </w:rPr>
        <w:t xml:space="preserve"> RAN4 further discusses the applicability of the approach to </w:t>
      </w:r>
      <w:proofErr w:type="spellStart"/>
      <w:r>
        <w:rPr>
          <w:lang w:eastAsia="en-US"/>
        </w:rPr>
        <w:t>TxD</w:t>
      </w:r>
      <w:proofErr w:type="spellEnd"/>
      <w:r>
        <w:rPr>
          <w:lang w:eastAsia="en-US"/>
        </w:rPr>
        <w:t xml:space="preserve"> once an agreement for UL MIMO has been achieved.</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18"/>
    <w:bookmarkEnd w:id="19"/>
    <w:bookmarkEnd w:id="20"/>
    <w:bookmarkEnd w:id="21"/>
    <w:p w14:paraId="29640C72" w14:textId="0CE65EAA" w:rsidR="002B2CF7" w:rsidRPr="002B2CF7" w:rsidRDefault="002B2CF7" w:rsidP="002B2CF7">
      <w:pPr>
        <w:pStyle w:val="Listenabsatz"/>
        <w:numPr>
          <w:ilvl w:val="0"/>
          <w:numId w:val="46"/>
        </w:numPr>
        <w:spacing w:after="0"/>
        <w:rPr>
          <w:rFonts w:cstheme="minorHAnsi"/>
          <w:lang w:val="en-GB"/>
        </w:rPr>
      </w:pPr>
      <w:r w:rsidRPr="002B2CF7">
        <w:rPr>
          <w:rFonts w:cstheme="minorHAnsi"/>
          <w:lang w:val="en-GB"/>
        </w:rPr>
        <w:t>R4-2016569, ‘EVM Measurement for 2-Layer Uplink MIMO’, Lenovo, Motorola Mobility, RAN4#97-e, Nov 2020</w:t>
      </w:r>
    </w:p>
    <w:p w14:paraId="7CCA5900" w14:textId="357E1727" w:rsidR="002B2CF7" w:rsidRDefault="002B2CF7" w:rsidP="002B2CF7">
      <w:pPr>
        <w:pStyle w:val="11BodyText"/>
        <w:numPr>
          <w:ilvl w:val="0"/>
          <w:numId w:val="46"/>
        </w:numPr>
        <w:tabs>
          <w:tab w:val="left" w:pos="1080"/>
        </w:tabs>
        <w:overflowPunct w:val="0"/>
        <w:autoSpaceDE w:val="0"/>
        <w:autoSpaceDN w:val="0"/>
        <w:adjustRightInd w:val="0"/>
        <w:spacing w:after="0"/>
        <w:rPr>
          <w:rFonts w:asciiTheme="minorHAnsi" w:hAnsiTheme="minorHAnsi" w:cstheme="minorHAnsi"/>
          <w:bCs/>
        </w:rPr>
      </w:pPr>
      <w:r w:rsidRPr="002B2CF7">
        <w:rPr>
          <w:rFonts w:asciiTheme="minorHAnsi" w:hAnsiTheme="minorHAnsi" w:cstheme="minorHAnsi"/>
          <w:bCs/>
        </w:rPr>
        <w:t>R4-2102661, ‘On FR1 2L UL EVM Requirement’, Qualcomm et al, RAN4#98-e, Jan-Feb 2021</w:t>
      </w:r>
    </w:p>
    <w:p w14:paraId="1A252C9C" w14:textId="26019998" w:rsidR="003A3C09" w:rsidRDefault="003A3C09" w:rsidP="003A3C09">
      <w:pPr>
        <w:pStyle w:val="11BodyText"/>
        <w:numPr>
          <w:ilvl w:val="0"/>
          <w:numId w:val="46"/>
        </w:numPr>
        <w:tabs>
          <w:tab w:val="left" w:pos="1080"/>
        </w:tabs>
        <w:overflowPunct w:val="0"/>
        <w:autoSpaceDE w:val="0"/>
        <w:autoSpaceDN w:val="0"/>
        <w:adjustRightInd w:val="0"/>
        <w:spacing w:after="0"/>
        <w:rPr>
          <w:rFonts w:asciiTheme="minorHAnsi" w:hAnsiTheme="minorHAnsi" w:cstheme="minorHAnsi"/>
          <w:bCs/>
        </w:rPr>
      </w:pPr>
      <w:r w:rsidRPr="002B2CF7">
        <w:rPr>
          <w:rFonts w:asciiTheme="minorHAnsi" w:hAnsiTheme="minorHAnsi" w:cstheme="minorHAnsi"/>
          <w:bCs/>
        </w:rPr>
        <w:t>R4-210</w:t>
      </w:r>
      <w:r w:rsidR="00755987">
        <w:rPr>
          <w:rFonts w:asciiTheme="minorHAnsi" w:hAnsiTheme="minorHAnsi" w:cstheme="minorHAnsi"/>
          <w:bCs/>
        </w:rPr>
        <w:t>7113</w:t>
      </w:r>
      <w:r w:rsidRPr="002B2CF7">
        <w:rPr>
          <w:rFonts w:asciiTheme="minorHAnsi" w:hAnsiTheme="minorHAnsi" w:cstheme="minorHAnsi"/>
          <w:bCs/>
        </w:rPr>
        <w:t>, ‘</w:t>
      </w:r>
      <w:r w:rsidR="00755987" w:rsidRPr="00755987">
        <w:rPr>
          <w:rFonts w:asciiTheme="minorHAnsi" w:hAnsiTheme="minorHAnsi" w:cstheme="minorHAnsi"/>
          <w:bCs/>
        </w:rPr>
        <w:t>Discussion on FR1 UL MIMO EVM measurements</w:t>
      </w:r>
      <w:r w:rsidR="00755987">
        <w:rPr>
          <w:rFonts w:asciiTheme="minorHAnsi" w:hAnsiTheme="minorHAnsi" w:cstheme="minorHAnsi"/>
          <w:bCs/>
        </w:rPr>
        <w:t>’</w:t>
      </w:r>
      <w:r w:rsidRPr="002B2CF7">
        <w:rPr>
          <w:rFonts w:asciiTheme="minorHAnsi" w:hAnsiTheme="minorHAnsi" w:cstheme="minorHAnsi"/>
          <w:bCs/>
        </w:rPr>
        <w:t xml:space="preserve">, </w:t>
      </w:r>
      <w:r>
        <w:rPr>
          <w:rFonts w:asciiTheme="minorHAnsi" w:hAnsiTheme="minorHAnsi" w:cstheme="minorHAnsi"/>
          <w:bCs/>
        </w:rPr>
        <w:t>Rohde &amp; Schwarz</w:t>
      </w:r>
      <w:r w:rsidRPr="002B2CF7">
        <w:rPr>
          <w:rFonts w:asciiTheme="minorHAnsi" w:hAnsiTheme="minorHAnsi" w:cstheme="minorHAnsi"/>
          <w:bCs/>
        </w:rPr>
        <w:t>, RAN4#98e</w:t>
      </w:r>
      <w:r w:rsidR="00755987">
        <w:rPr>
          <w:rFonts w:asciiTheme="minorHAnsi" w:hAnsiTheme="minorHAnsi" w:cstheme="minorHAnsi"/>
          <w:bCs/>
        </w:rPr>
        <w:t>-bis</w:t>
      </w:r>
      <w:r w:rsidRPr="002B2CF7">
        <w:rPr>
          <w:rFonts w:asciiTheme="minorHAnsi" w:hAnsiTheme="minorHAnsi" w:cstheme="minorHAnsi"/>
          <w:bCs/>
        </w:rPr>
        <w:t xml:space="preserve">, </w:t>
      </w:r>
      <w:r w:rsidR="00755987">
        <w:rPr>
          <w:rFonts w:asciiTheme="minorHAnsi" w:hAnsiTheme="minorHAnsi" w:cstheme="minorHAnsi"/>
          <w:bCs/>
        </w:rPr>
        <w:t>April</w:t>
      </w:r>
      <w:r w:rsidRPr="002B2CF7">
        <w:rPr>
          <w:rFonts w:asciiTheme="minorHAnsi" w:hAnsiTheme="minorHAnsi" w:cstheme="minorHAnsi"/>
          <w:bCs/>
        </w:rPr>
        <w:t xml:space="preserve"> 2021</w:t>
      </w:r>
    </w:p>
    <w:p w14:paraId="0B892718" w14:textId="03AE80DA" w:rsidR="00666551" w:rsidRDefault="00666551" w:rsidP="002B2CF7">
      <w:pPr>
        <w:pStyle w:val="Listenabsatz"/>
        <w:numPr>
          <w:ilvl w:val="0"/>
          <w:numId w:val="46"/>
        </w:numPr>
        <w:spacing w:after="0" w:line="240" w:lineRule="auto"/>
        <w:rPr>
          <w:rFonts w:cstheme="minorHAnsi"/>
          <w:lang w:val="en-GB"/>
        </w:rPr>
      </w:pPr>
      <w:r w:rsidRPr="002B2CF7">
        <w:rPr>
          <w:rFonts w:cstheme="minorHAnsi"/>
          <w:lang w:val="en-GB"/>
        </w:rPr>
        <w:t>3GPP TS 38.521-</w:t>
      </w:r>
      <w:r w:rsidR="002B2CF7">
        <w:rPr>
          <w:rFonts w:cstheme="minorHAnsi"/>
          <w:lang w:val="en-GB"/>
        </w:rPr>
        <w:t>1</w:t>
      </w:r>
      <w:r w:rsidRPr="002B2CF7">
        <w:rPr>
          <w:rFonts w:cstheme="minorHAnsi"/>
          <w:lang w:val="en-GB"/>
        </w:rPr>
        <w:t xml:space="preserve"> v16.</w:t>
      </w:r>
      <w:r w:rsidR="00755987">
        <w:rPr>
          <w:rFonts w:cstheme="minorHAnsi"/>
          <w:lang w:val="en-GB"/>
        </w:rPr>
        <w:t>6</w:t>
      </w:r>
      <w:r w:rsidRPr="002B2CF7">
        <w:rPr>
          <w:rFonts w:cstheme="minorHAnsi"/>
          <w:lang w:val="en-GB"/>
        </w:rPr>
        <w:t>.0</w:t>
      </w:r>
    </w:p>
    <w:p w14:paraId="1CDD8A5D" w14:textId="0CF82B22" w:rsidR="003A3C09" w:rsidRDefault="003A3C09" w:rsidP="003A3C09">
      <w:pPr>
        <w:pStyle w:val="11BodyText"/>
        <w:numPr>
          <w:ilvl w:val="0"/>
          <w:numId w:val="46"/>
        </w:numPr>
        <w:tabs>
          <w:tab w:val="left" w:pos="1080"/>
        </w:tabs>
        <w:overflowPunct w:val="0"/>
        <w:autoSpaceDE w:val="0"/>
        <w:autoSpaceDN w:val="0"/>
        <w:adjustRightInd w:val="0"/>
        <w:spacing w:after="0"/>
        <w:rPr>
          <w:rFonts w:asciiTheme="minorHAnsi" w:hAnsiTheme="minorHAnsi" w:cstheme="minorHAnsi"/>
          <w:bCs/>
        </w:rPr>
      </w:pPr>
      <w:bookmarkStart w:id="22" w:name="_Hlk67904960"/>
      <w:r w:rsidRPr="002B2CF7">
        <w:rPr>
          <w:rFonts w:asciiTheme="minorHAnsi" w:hAnsiTheme="minorHAnsi" w:cstheme="minorHAnsi"/>
          <w:bCs/>
        </w:rPr>
        <w:t>R4-210</w:t>
      </w:r>
      <w:r w:rsidR="005B46E8">
        <w:rPr>
          <w:rFonts w:asciiTheme="minorHAnsi" w:hAnsiTheme="minorHAnsi" w:cstheme="minorHAnsi"/>
          <w:bCs/>
        </w:rPr>
        <w:t>7112</w:t>
      </w:r>
      <w:r w:rsidRPr="002B2CF7">
        <w:rPr>
          <w:rFonts w:asciiTheme="minorHAnsi" w:hAnsiTheme="minorHAnsi" w:cstheme="minorHAnsi"/>
          <w:bCs/>
        </w:rPr>
        <w:t xml:space="preserve">, </w:t>
      </w:r>
      <w:r>
        <w:rPr>
          <w:rFonts w:asciiTheme="minorHAnsi" w:hAnsiTheme="minorHAnsi" w:cstheme="minorHAnsi"/>
          <w:bCs/>
        </w:rPr>
        <w:t>‘</w:t>
      </w:r>
      <w:r w:rsidRPr="003A3C09">
        <w:rPr>
          <w:rFonts w:asciiTheme="minorHAnsi" w:hAnsiTheme="minorHAnsi" w:cstheme="minorHAnsi"/>
          <w:bCs/>
        </w:rPr>
        <w:t>Discussion on FR1 Tx Diversity EVM measurement</w:t>
      </w:r>
      <w:r>
        <w:rPr>
          <w:rFonts w:asciiTheme="minorHAnsi" w:hAnsiTheme="minorHAnsi" w:cstheme="minorHAnsi"/>
          <w:bCs/>
        </w:rPr>
        <w:t>s</w:t>
      </w:r>
      <w:r w:rsidRPr="002B2CF7">
        <w:rPr>
          <w:rFonts w:asciiTheme="minorHAnsi" w:hAnsiTheme="minorHAnsi" w:cstheme="minorHAnsi"/>
          <w:bCs/>
        </w:rPr>
        <w:t xml:space="preserve">’, </w:t>
      </w:r>
      <w:r>
        <w:rPr>
          <w:rFonts w:asciiTheme="minorHAnsi" w:hAnsiTheme="minorHAnsi" w:cstheme="minorHAnsi"/>
          <w:bCs/>
        </w:rPr>
        <w:t>Rohde &amp; Schwarz</w:t>
      </w:r>
      <w:r w:rsidRPr="002B2CF7">
        <w:rPr>
          <w:rFonts w:asciiTheme="minorHAnsi" w:hAnsiTheme="minorHAnsi" w:cstheme="minorHAnsi"/>
          <w:bCs/>
        </w:rPr>
        <w:t>, RAN4#98</w:t>
      </w:r>
      <w:r>
        <w:rPr>
          <w:rFonts w:asciiTheme="minorHAnsi" w:hAnsiTheme="minorHAnsi" w:cstheme="minorHAnsi"/>
          <w:bCs/>
        </w:rPr>
        <w:t>e-bis</w:t>
      </w:r>
      <w:r w:rsidRPr="002B2CF7">
        <w:rPr>
          <w:rFonts w:asciiTheme="minorHAnsi" w:hAnsiTheme="minorHAnsi" w:cstheme="minorHAnsi"/>
          <w:bCs/>
        </w:rPr>
        <w:t xml:space="preserve">, </w:t>
      </w:r>
      <w:r>
        <w:rPr>
          <w:rFonts w:asciiTheme="minorHAnsi" w:hAnsiTheme="minorHAnsi" w:cstheme="minorHAnsi"/>
          <w:bCs/>
        </w:rPr>
        <w:t>April</w:t>
      </w:r>
      <w:r w:rsidRPr="002B2CF7">
        <w:rPr>
          <w:rFonts w:asciiTheme="minorHAnsi" w:hAnsiTheme="minorHAnsi" w:cstheme="minorHAnsi"/>
          <w:bCs/>
        </w:rPr>
        <w:t xml:space="preserve"> 2021</w:t>
      </w:r>
    </w:p>
    <w:bookmarkEnd w:id="22"/>
    <w:p w14:paraId="0F918194" w14:textId="2B4F10EC" w:rsidR="003A3C09" w:rsidRDefault="003A3C09" w:rsidP="003A3C09">
      <w:pPr>
        <w:pStyle w:val="11BodyText"/>
        <w:numPr>
          <w:ilvl w:val="0"/>
          <w:numId w:val="46"/>
        </w:numPr>
        <w:tabs>
          <w:tab w:val="left" w:pos="1080"/>
        </w:tabs>
        <w:overflowPunct w:val="0"/>
        <w:autoSpaceDE w:val="0"/>
        <w:autoSpaceDN w:val="0"/>
        <w:adjustRightInd w:val="0"/>
        <w:spacing w:after="0"/>
        <w:rPr>
          <w:rFonts w:asciiTheme="minorHAnsi" w:hAnsiTheme="minorHAnsi" w:cstheme="minorHAnsi"/>
          <w:bCs/>
        </w:rPr>
      </w:pPr>
      <w:r w:rsidRPr="002B2CF7">
        <w:rPr>
          <w:rFonts w:asciiTheme="minorHAnsi" w:hAnsiTheme="minorHAnsi" w:cstheme="minorHAnsi"/>
          <w:bCs/>
        </w:rPr>
        <w:t>R4-210</w:t>
      </w:r>
      <w:r w:rsidR="007D56E4">
        <w:rPr>
          <w:rFonts w:asciiTheme="minorHAnsi" w:hAnsiTheme="minorHAnsi" w:cstheme="minorHAnsi"/>
          <w:bCs/>
        </w:rPr>
        <w:t>7111</w:t>
      </w:r>
      <w:r w:rsidRPr="002B2CF7">
        <w:rPr>
          <w:rFonts w:asciiTheme="minorHAnsi" w:hAnsiTheme="minorHAnsi" w:cstheme="minorHAnsi"/>
          <w:bCs/>
        </w:rPr>
        <w:t xml:space="preserve">, </w:t>
      </w:r>
      <w:r>
        <w:rPr>
          <w:rFonts w:asciiTheme="minorHAnsi" w:hAnsiTheme="minorHAnsi" w:cstheme="minorHAnsi"/>
          <w:bCs/>
        </w:rPr>
        <w:t>‘</w:t>
      </w:r>
      <w:r w:rsidR="00793178" w:rsidRPr="00793178">
        <w:rPr>
          <w:rFonts w:asciiTheme="minorHAnsi" w:hAnsiTheme="minorHAnsi" w:cstheme="minorHAnsi"/>
          <w:bCs/>
        </w:rPr>
        <w:t>Text proposal to TR38.884: FR2 UL EVM measurements</w:t>
      </w:r>
      <w:r w:rsidRPr="002B2CF7">
        <w:rPr>
          <w:rFonts w:asciiTheme="minorHAnsi" w:hAnsiTheme="minorHAnsi" w:cstheme="minorHAnsi"/>
          <w:bCs/>
        </w:rPr>
        <w:t xml:space="preserve">’, </w:t>
      </w:r>
      <w:r>
        <w:rPr>
          <w:rFonts w:asciiTheme="minorHAnsi" w:hAnsiTheme="minorHAnsi" w:cstheme="minorHAnsi"/>
          <w:bCs/>
        </w:rPr>
        <w:t>Rohde &amp; Schwarz</w:t>
      </w:r>
      <w:r w:rsidRPr="002B2CF7">
        <w:rPr>
          <w:rFonts w:asciiTheme="minorHAnsi" w:hAnsiTheme="minorHAnsi" w:cstheme="minorHAnsi"/>
          <w:bCs/>
        </w:rPr>
        <w:t>, RAN4#98</w:t>
      </w:r>
      <w:r>
        <w:rPr>
          <w:rFonts w:asciiTheme="minorHAnsi" w:hAnsiTheme="minorHAnsi" w:cstheme="minorHAnsi"/>
          <w:bCs/>
        </w:rPr>
        <w:t>e-bis</w:t>
      </w:r>
      <w:r w:rsidRPr="002B2CF7">
        <w:rPr>
          <w:rFonts w:asciiTheme="minorHAnsi" w:hAnsiTheme="minorHAnsi" w:cstheme="minorHAnsi"/>
          <w:bCs/>
        </w:rPr>
        <w:t xml:space="preserve">, </w:t>
      </w:r>
      <w:r>
        <w:rPr>
          <w:rFonts w:asciiTheme="minorHAnsi" w:hAnsiTheme="minorHAnsi" w:cstheme="minorHAnsi"/>
          <w:bCs/>
        </w:rPr>
        <w:t>April</w:t>
      </w:r>
      <w:r w:rsidRPr="002B2CF7">
        <w:rPr>
          <w:rFonts w:asciiTheme="minorHAnsi" w:hAnsiTheme="minorHAnsi" w:cstheme="minorHAnsi"/>
          <w:bCs/>
        </w:rPr>
        <w:t xml:space="preserve"> 2021</w:t>
      </w:r>
    </w:p>
    <w:p w14:paraId="13490434" w14:textId="1786C304" w:rsidR="00466707" w:rsidRDefault="00466707" w:rsidP="003A3C09">
      <w:pPr>
        <w:pStyle w:val="11BodyText"/>
        <w:numPr>
          <w:ilvl w:val="0"/>
          <w:numId w:val="46"/>
        </w:numPr>
        <w:tabs>
          <w:tab w:val="left" w:pos="1080"/>
        </w:tabs>
        <w:overflowPunct w:val="0"/>
        <w:autoSpaceDE w:val="0"/>
        <w:autoSpaceDN w:val="0"/>
        <w:adjustRightInd w:val="0"/>
        <w:spacing w:after="0"/>
        <w:rPr>
          <w:rFonts w:asciiTheme="minorHAnsi" w:hAnsiTheme="minorHAnsi" w:cstheme="minorHAnsi"/>
          <w:bCs/>
        </w:rPr>
      </w:pPr>
      <w:r>
        <w:rPr>
          <w:rFonts w:asciiTheme="minorHAnsi" w:hAnsiTheme="minorHAnsi" w:cstheme="minorHAnsi"/>
          <w:bCs/>
        </w:rPr>
        <w:t>R4-210xxxx, ’</w:t>
      </w:r>
      <w:r w:rsidRPr="00466707">
        <w:rPr>
          <w:rFonts w:asciiTheme="minorHAnsi" w:hAnsiTheme="minorHAnsi" w:cstheme="minorHAnsi"/>
          <w:bCs/>
        </w:rPr>
        <w:t>Discussion and TP on FR2 UL transmit signal quality measurements</w:t>
      </w:r>
      <w:r>
        <w:rPr>
          <w:rFonts w:asciiTheme="minorHAnsi" w:hAnsiTheme="minorHAnsi" w:cstheme="minorHAnsi"/>
          <w:bCs/>
        </w:rPr>
        <w:t>’, Rohde &amp; Schwarz, RAN4#99e, May 2021</w:t>
      </w:r>
    </w:p>
    <w:p w14:paraId="1C1B9EE4" w14:textId="57343FF7" w:rsidR="00847261" w:rsidRDefault="00847261" w:rsidP="002B2CF7">
      <w:pPr>
        <w:spacing w:after="0" w:line="240" w:lineRule="auto"/>
        <w:rPr>
          <w:lang w:val="en-GB"/>
        </w:rPr>
      </w:pPr>
    </w:p>
    <w:sectPr w:rsidR="00847261"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224AD" w14:textId="77777777" w:rsidR="00520337" w:rsidRDefault="00520337" w:rsidP="00371D7D">
      <w:r>
        <w:separator/>
      </w:r>
    </w:p>
  </w:endnote>
  <w:endnote w:type="continuationSeparator" w:id="0">
    <w:p w14:paraId="51E16BF1" w14:textId="77777777" w:rsidR="00520337" w:rsidRDefault="0052033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764940" w:rsidRDefault="007649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764940" w:rsidRPr="000E7B1E" w:rsidRDefault="0076494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764940" w:rsidRDefault="007649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C91AF" w14:textId="77777777" w:rsidR="00520337" w:rsidRDefault="00520337" w:rsidP="00371D7D">
      <w:r>
        <w:separator/>
      </w:r>
    </w:p>
  </w:footnote>
  <w:footnote w:type="continuationSeparator" w:id="0">
    <w:p w14:paraId="41B08201" w14:textId="77777777" w:rsidR="00520337" w:rsidRDefault="0052033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764940" w:rsidRDefault="0076494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764940" w:rsidRDefault="0076494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764940" w:rsidRDefault="0076494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C62402"/>
    <w:multiLevelType w:val="hybridMultilevel"/>
    <w:tmpl w:val="0E2E4F2C"/>
    <w:lvl w:ilvl="0" w:tplc="A368629E">
      <w:start w:val="1"/>
      <w:numFmt w:val="bullet"/>
      <w:lvlText w:val="•"/>
      <w:lvlJc w:val="left"/>
      <w:pPr>
        <w:tabs>
          <w:tab w:val="num" w:pos="720"/>
        </w:tabs>
        <w:ind w:left="720" w:hanging="360"/>
      </w:pPr>
      <w:rPr>
        <w:rFonts w:ascii="Arial" w:hAnsi="Arial" w:hint="default"/>
      </w:rPr>
    </w:lvl>
    <w:lvl w:ilvl="1" w:tplc="C372746C">
      <w:start w:val="1"/>
      <w:numFmt w:val="bullet"/>
      <w:lvlText w:val="•"/>
      <w:lvlJc w:val="left"/>
      <w:pPr>
        <w:tabs>
          <w:tab w:val="num" w:pos="1440"/>
        </w:tabs>
        <w:ind w:left="1440" w:hanging="360"/>
      </w:pPr>
      <w:rPr>
        <w:rFonts w:ascii="Arial" w:hAnsi="Arial" w:hint="default"/>
      </w:rPr>
    </w:lvl>
    <w:lvl w:ilvl="2" w:tplc="F75A01B6">
      <w:start w:val="78"/>
      <w:numFmt w:val="bullet"/>
      <w:lvlText w:val="•"/>
      <w:lvlJc w:val="left"/>
      <w:pPr>
        <w:tabs>
          <w:tab w:val="num" w:pos="2160"/>
        </w:tabs>
        <w:ind w:left="2160" w:hanging="360"/>
      </w:pPr>
      <w:rPr>
        <w:rFonts w:ascii="Arial" w:hAnsi="Arial" w:hint="default"/>
      </w:rPr>
    </w:lvl>
    <w:lvl w:ilvl="3" w:tplc="DE8ADE86">
      <w:start w:val="78"/>
      <w:numFmt w:val="bullet"/>
      <w:lvlText w:val="•"/>
      <w:lvlJc w:val="left"/>
      <w:pPr>
        <w:tabs>
          <w:tab w:val="num" w:pos="2880"/>
        </w:tabs>
        <w:ind w:left="2880" w:hanging="360"/>
      </w:pPr>
      <w:rPr>
        <w:rFonts w:ascii="Arial" w:hAnsi="Arial" w:hint="default"/>
      </w:rPr>
    </w:lvl>
    <w:lvl w:ilvl="4" w:tplc="55925832" w:tentative="1">
      <w:start w:val="1"/>
      <w:numFmt w:val="bullet"/>
      <w:lvlText w:val="•"/>
      <w:lvlJc w:val="left"/>
      <w:pPr>
        <w:tabs>
          <w:tab w:val="num" w:pos="3600"/>
        </w:tabs>
        <w:ind w:left="3600" w:hanging="360"/>
      </w:pPr>
      <w:rPr>
        <w:rFonts w:ascii="Arial" w:hAnsi="Arial" w:hint="default"/>
      </w:rPr>
    </w:lvl>
    <w:lvl w:ilvl="5" w:tplc="F04AC768" w:tentative="1">
      <w:start w:val="1"/>
      <w:numFmt w:val="bullet"/>
      <w:lvlText w:val="•"/>
      <w:lvlJc w:val="left"/>
      <w:pPr>
        <w:tabs>
          <w:tab w:val="num" w:pos="4320"/>
        </w:tabs>
        <w:ind w:left="4320" w:hanging="360"/>
      </w:pPr>
      <w:rPr>
        <w:rFonts w:ascii="Arial" w:hAnsi="Arial" w:hint="default"/>
      </w:rPr>
    </w:lvl>
    <w:lvl w:ilvl="6" w:tplc="7C54387C" w:tentative="1">
      <w:start w:val="1"/>
      <w:numFmt w:val="bullet"/>
      <w:lvlText w:val="•"/>
      <w:lvlJc w:val="left"/>
      <w:pPr>
        <w:tabs>
          <w:tab w:val="num" w:pos="5040"/>
        </w:tabs>
        <w:ind w:left="5040" w:hanging="360"/>
      </w:pPr>
      <w:rPr>
        <w:rFonts w:ascii="Arial" w:hAnsi="Arial" w:hint="default"/>
      </w:rPr>
    </w:lvl>
    <w:lvl w:ilvl="7" w:tplc="558E91BA" w:tentative="1">
      <w:start w:val="1"/>
      <w:numFmt w:val="bullet"/>
      <w:lvlText w:val="•"/>
      <w:lvlJc w:val="left"/>
      <w:pPr>
        <w:tabs>
          <w:tab w:val="num" w:pos="5760"/>
        </w:tabs>
        <w:ind w:left="5760" w:hanging="360"/>
      </w:pPr>
      <w:rPr>
        <w:rFonts w:ascii="Arial" w:hAnsi="Arial" w:hint="default"/>
      </w:rPr>
    </w:lvl>
    <w:lvl w:ilvl="8" w:tplc="29B0C73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B94BAA"/>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4"/>
  </w:num>
  <w:num w:numId="3">
    <w:abstractNumId w:val="19"/>
  </w:num>
  <w:num w:numId="4">
    <w:abstractNumId w:val="33"/>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6"/>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4"/>
  </w:num>
  <w:num w:numId="23">
    <w:abstractNumId w:val="19"/>
  </w:num>
  <w:num w:numId="24">
    <w:abstractNumId w:val="11"/>
  </w:num>
  <w:num w:numId="25">
    <w:abstractNumId w:val="12"/>
  </w:num>
  <w:num w:numId="26">
    <w:abstractNumId w:val="19"/>
  </w:num>
  <w:num w:numId="27">
    <w:abstractNumId w:val="21"/>
  </w:num>
  <w:num w:numId="28">
    <w:abstractNumId w:val="3"/>
  </w:num>
  <w:num w:numId="29">
    <w:abstractNumId w:val="25"/>
  </w:num>
  <w:num w:numId="30">
    <w:abstractNumId w:val="31"/>
  </w:num>
  <w:num w:numId="31">
    <w:abstractNumId w:val="30"/>
  </w:num>
  <w:num w:numId="32">
    <w:abstractNumId w:val="8"/>
  </w:num>
  <w:num w:numId="33">
    <w:abstractNumId w:val="39"/>
  </w:num>
  <w:num w:numId="34">
    <w:abstractNumId w:val="2"/>
  </w:num>
  <w:num w:numId="35">
    <w:abstractNumId w:val="15"/>
  </w:num>
  <w:num w:numId="36">
    <w:abstractNumId w:val="28"/>
  </w:num>
  <w:num w:numId="37">
    <w:abstractNumId w:val="23"/>
  </w:num>
  <w:num w:numId="38">
    <w:abstractNumId w:val="37"/>
  </w:num>
  <w:num w:numId="39">
    <w:abstractNumId w:val="26"/>
  </w:num>
  <w:num w:numId="40">
    <w:abstractNumId w:val="35"/>
  </w:num>
  <w:num w:numId="41">
    <w:abstractNumId w:val="24"/>
  </w:num>
  <w:num w:numId="42">
    <w:abstractNumId w:val="19"/>
  </w:num>
  <w:num w:numId="43">
    <w:abstractNumId w:val="19"/>
  </w:num>
  <w:num w:numId="44">
    <w:abstractNumId w:val="1"/>
  </w:num>
  <w:num w:numId="45">
    <w:abstractNumId w:val="6"/>
  </w:num>
  <w:num w:numId="46">
    <w:abstractNumId w:val="9"/>
  </w:num>
  <w:num w:numId="47">
    <w:abstractNumId w:val="38"/>
  </w:num>
  <w:num w:numId="48">
    <w:abstractNumId w:val="32"/>
  </w:num>
  <w:num w:numId="49">
    <w:abstractNumId w:val="29"/>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2CF5"/>
    <w:rsid w:val="00075135"/>
    <w:rsid w:val="000762B7"/>
    <w:rsid w:val="00076F79"/>
    <w:rsid w:val="000814E4"/>
    <w:rsid w:val="00081C35"/>
    <w:rsid w:val="000828B5"/>
    <w:rsid w:val="00082A5B"/>
    <w:rsid w:val="00092C97"/>
    <w:rsid w:val="00094AEE"/>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61"/>
    <w:rsid w:val="000D0E8E"/>
    <w:rsid w:val="000D0EAF"/>
    <w:rsid w:val="000D347D"/>
    <w:rsid w:val="000D68AB"/>
    <w:rsid w:val="000D79F1"/>
    <w:rsid w:val="000E00AB"/>
    <w:rsid w:val="000E26EF"/>
    <w:rsid w:val="000E75B0"/>
    <w:rsid w:val="000E7B1E"/>
    <w:rsid w:val="000F2169"/>
    <w:rsid w:val="00100D39"/>
    <w:rsid w:val="00103750"/>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2E2F"/>
    <w:rsid w:val="001530C0"/>
    <w:rsid w:val="00153604"/>
    <w:rsid w:val="00153AC1"/>
    <w:rsid w:val="001553DE"/>
    <w:rsid w:val="0015692F"/>
    <w:rsid w:val="0016379A"/>
    <w:rsid w:val="00164040"/>
    <w:rsid w:val="00166A43"/>
    <w:rsid w:val="00167CAD"/>
    <w:rsid w:val="00167FB4"/>
    <w:rsid w:val="0017275D"/>
    <w:rsid w:val="00172D17"/>
    <w:rsid w:val="001747B0"/>
    <w:rsid w:val="00174ED5"/>
    <w:rsid w:val="00176658"/>
    <w:rsid w:val="00176791"/>
    <w:rsid w:val="00180494"/>
    <w:rsid w:val="001810A2"/>
    <w:rsid w:val="00184003"/>
    <w:rsid w:val="00193A32"/>
    <w:rsid w:val="0019626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A71"/>
    <w:rsid w:val="001E0A0B"/>
    <w:rsid w:val="001E190C"/>
    <w:rsid w:val="001E23B3"/>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0E40"/>
    <w:rsid w:val="0027130C"/>
    <w:rsid w:val="002759B6"/>
    <w:rsid w:val="00276F00"/>
    <w:rsid w:val="00282191"/>
    <w:rsid w:val="00284170"/>
    <w:rsid w:val="00286031"/>
    <w:rsid w:val="00286413"/>
    <w:rsid w:val="002866C4"/>
    <w:rsid w:val="00287444"/>
    <w:rsid w:val="00290859"/>
    <w:rsid w:val="002947A5"/>
    <w:rsid w:val="002965D4"/>
    <w:rsid w:val="00296747"/>
    <w:rsid w:val="002971B6"/>
    <w:rsid w:val="00297831"/>
    <w:rsid w:val="002A02DF"/>
    <w:rsid w:val="002A06EC"/>
    <w:rsid w:val="002A134F"/>
    <w:rsid w:val="002A2AB2"/>
    <w:rsid w:val="002A5BF3"/>
    <w:rsid w:val="002A659B"/>
    <w:rsid w:val="002B111A"/>
    <w:rsid w:val="002B2CF7"/>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134B"/>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1E2C"/>
    <w:rsid w:val="0031299F"/>
    <w:rsid w:val="00315F9F"/>
    <w:rsid w:val="00316376"/>
    <w:rsid w:val="00316F3F"/>
    <w:rsid w:val="003200D8"/>
    <w:rsid w:val="003226CF"/>
    <w:rsid w:val="003236F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5AA1"/>
    <w:rsid w:val="00393777"/>
    <w:rsid w:val="003A16D1"/>
    <w:rsid w:val="003A1A60"/>
    <w:rsid w:val="003A1D27"/>
    <w:rsid w:val="003A3C09"/>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30F2"/>
    <w:rsid w:val="003D51E6"/>
    <w:rsid w:val="003D602B"/>
    <w:rsid w:val="003D7784"/>
    <w:rsid w:val="003D7B2C"/>
    <w:rsid w:val="003E12B0"/>
    <w:rsid w:val="003E1A65"/>
    <w:rsid w:val="003E22B9"/>
    <w:rsid w:val="003E2565"/>
    <w:rsid w:val="003E5779"/>
    <w:rsid w:val="003E7836"/>
    <w:rsid w:val="003F0E6E"/>
    <w:rsid w:val="003F1A78"/>
    <w:rsid w:val="003F426A"/>
    <w:rsid w:val="004002C9"/>
    <w:rsid w:val="004033E9"/>
    <w:rsid w:val="00411EE3"/>
    <w:rsid w:val="004120AE"/>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670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337"/>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46DA3"/>
    <w:rsid w:val="00551E7D"/>
    <w:rsid w:val="00552E60"/>
    <w:rsid w:val="005535D7"/>
    <w:rsid w:val="0055483C"/>
    <w:rsid w:val="00557539"/>
    <w:rsid w:val="00557EFB"/>
    <w:rsid w:val="00564786"/>
    <w:rsid w:val="00564BF0"/>
    <w:rsid w:val="00565D1E"/>
    <w:rsid w:val="00565E03"/>
    <w:rsid w:val="00566B4A"/>
    <w:rsid w:val="005678D2"/>
    <w:rsid w:val="00570805"/>
    <w:rsid w:val="005718E4"/>
    <w:rsid w:val="00571AAB"/>
    <w:rsid w:val="00571E93"/>
    <w:rsid w:val="005823BA"/>
    <w:rsid w:val="00583905"/>
    <w:rsid w:val="00586465"/>
    <w:rsid w:val="00590023"/>
    <w:rsid w:val="00590497"/>
    <w:rsid w:val="00594B54"/>
    <w:rsid w:val="005964E4"/>
    <w:rsid w:val="005A04AB"/>
    <w:rsid w:val="005A3BC6"/>
    <w:rsid w:val="005B46E8"/>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27B10"/>
    <w:rsid w:val="00630334"/>
    <w:rsid w:val="0063332F"/>
    <w:rsid w:val="00633773"/>
    <w:rsid w:val="0063395B"/>
    <w:rsid w:val="00635940"/>
    <w:rsid w:val="006366AD"/>
    <w:rsid w:val="00640E01"/>
    <w:rsid w:val="00641EC6"/>
    <w:rsid w:val="00645237"/>
    <w:rsid w:val="006466C9"/>
    <w:rsid w:val="00654178"/>
    <w:rsid w:val="006554F2"/>
    <w:rsid w:val="0066196E"/>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6BE"/>
    <w:rsid w:val="006C6ACE"/>
    <w:rsid w:val="006C74FF"/>
    <w:rsid w:val="006D3FD0"/>
    <w:rsid w:val="006D46B5"/>
    <w:rsid w:val="006D636C"/>
    <w:rsid w:val="006E1A7C"/>
    <w:rsid w:val="006E1D64"/>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2FAF"/>
    <w:rsid w:val="00744D61"/>
    <w:rsid w:val="00746B62"/>
    <w:rsid w:val="007477D2"/>
    <w:rsid w:val="00747FFE"/>
    <w:rsid w:val="007510C4"/>
    <w:rsid w:val="00755987"/>
    <w:rsid w:val="00757245"/>
    <w:rsid w:val="0075744E"/>
    <w:rsid w:val="00757D7D"/>
    <w:rsid w:val="00761AED"/>
    <w:rsid w:val="007636DE"/>
    <w:rsid w:val="00764940"/>
    <w:rsid w:val="00765F55"/>
    <w:rsid w:val="007706D0"/>
    <w:rsid w:val="00773BDA"/>
    <w:rsid w:val="00773C96"/>
    <w:rsid w:val="00773DCA"/>
    <w:rsid w:val="007742E7"/>
    <w:rsid w:val="00776D6B"/>
    <w:rsid w:val="007770F0"/>
    <w:rsid w:val="00781A60"/>
    <w:rsid w:val="007827F7"/>
    <w:rsid w:val="00783931"/>
    <w:rsid w:val="007842C7"/>
    <w:rsid w:val="00791330"/>
    <w:rsid w:val="007927C1"/>
    <w:rsid w:val="00793178"/>
    <w:rsid w:val="00793EA4"/>
    <w:rsid w:val="007944C3"/>
    <w:rsid w:val="00797969"/>
    <w:rsid w:val="007A422E"/>
    <w:rsid w:val="007A68E2"/>
    <w:rsid w:val="007A7270"/>
    <w:rsid w:val="007B0569"/>
    <w:rsid w:val="007B1E81"/>
    <w:rsid w:val="007B2BB0"/>
    <w:rsid w:val="007B36E6"/>
    <w:rsid w:val="007B49AC"/>
    <w:rsid w:val="007B6733"/>
    <w:rsid w:val="007B6ADB"/>
    <w:rsid w:val="007C0E2A"/>
    <w:rsid w:val="007C221F"/>
    <w:rsid w:val="007C2DB0"/>
    <w:rsid w:val="007C6CC6"/>
    <w:rsid w:val="007C7077"/>
    <w:rsid w:val="007C7AEC"/>
    <w:rsid w:val="007D15F5"/>
    <w:rsid w:val="007D24CC"/>
    <w:rsid w:val="007D35D4"/>
    <w:rsid w:val="007D4BD9"/>
    <w:rsid w:val="007D56E4"/>
    <w:rsid w:val="007D632A"/>
    <w:rsid w:val="007E144D"/>
    <w:rsid w:val="007E1A21"/>
    <w:rsid w:val="007E29DD"/>
    <w:rsid w:val="007E3C20"/>
    <w:rsid w:val="007E47C9"/>
    <w:rsid w:val="007E542F"/>
    <w:rsid w:val="007E6D3C"/>
    <w:rsid w:val="007E74D3"/>
    <w:rsid w:val="007E75B3"/>
    <w:rsid w:val="007F63B8"/>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54F"/>
    <w:rsid w:val="00824BF1"/>
    <w:rsid w:val="00825E45"/>
    <w:rsid w:val="00831E58"/>
    <w:rsid w:val="0083554F"/>
    <w:rsid w:val="00836315"/>
    <w:rsid w:val="00837DB8"/>
    <w:rsid w:val="00844428"/>
    <w:rsid w:val="008457F2"/>
    <w:rsid w:val="00846CBA"/>
    <w:rsid w:val="00847261"/>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CCD"/>
    <w:rsid w:val="008A4F4D"/>
    <w:rsid w:val="008A5259"/>
    <w:rsid w:val="008A581D"/>
    <w:rsid w:val="008A585A"/>
    <w:rsid w:val="008B0514"/>
    <w:rsid w:val="008B12D0"/>
    <w:rsid w:val="008B3E44"/>
    <w:rsid w:val="008B4257"/>
    <w:rsid w:val="008B563F"/>
    <w:rsid w:val="008B7827"/>
    <w:rsid w:val="008B7853"/>
    <w:rsid w:val="008C2395"/>
    <w:rsid w:val="008C291E"/>
    <w:rsid w:val="008C2C73"/>
    <w:rsid w:val="008C43E0"/>
    <w:rsid w:val="008C77C6"/>
    <w:rsid w:val="008D0A86"/>
    <w:rsid w:val="008D2D94"/>
    <w:rsid w:val="008D49FB"/>
    <w:rsid w:val="008D552A"/>
    <w:rsid w:val="008D6EF1"/>
    <w:rsid w:val="008D7189"/>
    <w:rsid w:val="008D797C"/>
    <w:rsid w:val="008D7BA0"/>
    <w:rsid w:val="008E0FC4"/>
    <w:rsid w:val="008E1A2B"/>
    <w:rsid w:val="008E29D3"/>
    <w:rsid w:val="008E5CC2"/>
    <w:rsid w:val="008E790D"/>
    <w:rsid w:val="008F28BE"/>
    <w:rsid w:val="008F3E4A"/>
    <w:rsid w:val="008F4F09"/>
    <w:rsid w:val="008F55AA"/>
    <w:rsid w:val="008F5836"/>
    <w:rsid w:val="008F6239"/>
    <w:rsid w:val="008F6BB4"/>
    <w:rsid w:val="00911FD9"/>
    <w:rsid w:val="00912CC8"/>
    <w:rsid w:val="00914141"/>
    <w:rsid w:val="00916784"/>
    <w:rsid w:val="00916934"/>
    <w:rsid w:val="009228BE"/>
    <w:rsid w:val="009247D4"/>
    <w:rsid w:val="00930456"/>
    <w:rsid w:val="00931A88"/>
    <w:rsid w:val="0093237D"/>
    <w:rsid w:val="00933A16"/>
    <w:rsid w:val="00933C7C"/>
    <w:rsid w:val="00933CE4"/>
    <w:rsid w:val="00933F3F"/>
    <w:rsid w:val="0093416F"/>
    <w:rsid w:val="009347AA"/>
    <w:rsid w:val="00935C3D"/>
    <w:rsid w:val="00936FA1"/>
    <w:rsid w:val="00937DE4"/>
    <w:rsid w:val="009420AE"/>
    <w:rsid w:val="00942148"/>
    <w:rsid w:val="00943082"/>
    <w:rsid w:val="009437F6"/>
    <w:rsid w:val="009447F9"/>
    <w:rsid w:val="00944D07"/>
    <w:rsid w:val="00944E1A"/>
    <w:rsid w:val="0094526C"/>
    <w:rsid w:val="00946920"/>
    <w:rsid w:val="00946BBC"/>
    <w:rsid w:val="00950962"/>
    <w:rsid w:val="00952B8A"/>
    <w:rsid w:val="0095468A"/>
    <w:rsid w:val="0095562A"/>
    <w:rsid w:val="00962E59"/>
    <w:rsid w:val="00965D58"/>
    <w:rsid w:val="00966E9B"/>
    <w:rsid w:val="00971759"/>
    <w:rsid w:val="009750F0"/>
    <w:rsid w:val="0097543A"/>
    <w:rsid w:val="00975F20"/>
    <w:rsid w:val="00976B03"/>
    <w:rsid w:val="00984C8B"/>
    <w:rsid w:val="009863CE"/>
    <w:rsid w:val="00987740"/>
    <w:rsid w:val="009879A0"/>
    <w:rsid w:val="00987C1F"/>
    <w:rsid w:val="009926B6"/>
    <w:rsid w:val="0099496E"/>
    <w:rsid w:val="00997680"/>
    <w:rsid w:val="009A1270"/>
    <w:rsid w:val="009A4CC9"/>
    <w:rsid w:val="009B1044"/>
    <w:rsid w:val="009B5E2B"/>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E7AB5"/>
    <w:rsid w:val="009F0573"/>
    <w:rsid w:val="009F0831"/>
    <w:rsid w:val="009F0941"/>
    <w:rsid w:val="009F116B"/>
    <w:rsid w:val="009F1522"/>
    <w:rsid w:val="009F1E5D"/>
    <w:rsid w:val="009F31B9"/>
    <w:rsid w:val="009F3408"/>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3FEB"/>
    <w:rsid w:val="00A44C02"/>
    <w:rsid w:val="00A4537F"/>
    <w:rsid w:val="00A55AF2"/>
    <w:rsid w:val="00A57C7C"/>
    <w:rsid w:val="00A60934"/>
    <w:rsid w:val="00A62362"/>
    <w:rsid w:val="00A63A28"/>
    <w:rsid w:val="00A64C86"/>
    <w:rsid w:val="00A67985"/>
    <w:rsid w:val="00A6798F"/>
    <w:rsid w:val="00A7325E"/>
    <w:rsid w:val="00A7325F"/>
    <w:rsid w:val="00A76DBE"/>
    <w:rsid w:val="00A777EC"/>
    <w:rsid w:val="00A82F84"/>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5878"/>
    <w:rsid w:val="00AC6AC9"/>
    <w:rsid w:val="00AC78CA"/>
    <w:rsid w:val="00AC7A82"/>
    <w:rsid w:val="00AD026F"/>
    <w:rsid w:val="00AD1373"/>
    <w:rsid w:val="00AD143E"/>
    <w:rsid w:val="00AD2B85"/>
    <w:rsid w:val="00AE068E"/>
    <w:rsid w:val="00AE18A0"/>
    <w:rsid w:val="00AE376A"/>
    <w:rsid w:val="00AE4566"/>
    <w:rsid w:val="00AF0048"/>
    <w:rsid w:val="00AF4D77"/>
    <w:rsid w:val="00AF5CE7"/>
    <w:rsid w:val="00AF60AE"/>
    <w:rsid w:val="00AF6DBB"/>
    <w:rsid w:val="00B050D3"/>
    <w:rsid w:val="00B05ACB"/>
    <w:rsid w:val="00B05B25"/>
    <w:rsid w:val="00B114B0"/>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B68"/>
    <w:rsid w:val="00C37D91"/>
    <w:rsid w:val="00C412AC"/>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A0B"/>
    <w:rsid w:val="00C75C55"/>
    <w:rsid w:val="00C7683E"/>
    <w:rsid w:val="00C76AF6"/>
    <w:rsid w:val="00C77B2F"/>
    <w:rsid w:val="00C802EE"/>
    <w:rsid w:val="00C8107C"/>
    <w:rsid w:val="00C829FB"/>
    <w:rsid w:val="00C8381D"/>
    <w:rsid w:val="00C83A62"/>
    <w:rsid w:val="00C85E97"/>
    <w:rsid w:val="00C91897"/>
    <w:rsid w:val="00C94068"/>
    <w:rsid w:val="00C97B69"/>
    <w:rsid w:val="00CA1045"/>
    <w:rsid w:val="00CA2954"/>
    <w:rsid w:val="00CA42E6"/>
    <w:rsid w:val="00CA4CB3"/>
    <w:rsid w:val="00CA5316"/>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2270"/>
    <w:rsid w:val="00D04FCA"/>
    <w:rsid w:val="00D05BE4"/>
    <w:rsid w:val="00D071B9"/>
    <w:rsid w:val="00D121AD"/>
    <w:rsid w:val="00D132ED"/>
    <w:rsid w:val="00D15EF0"/>
    <w:rsid w:val="00D16982"/>
    <w:rsid w:val="00D1738E"/>
    <w:rsid w:val="00D176E5"/>
    <w:rsid w:val="00D20074"/>
    <w:rsid w:val="00D204DC"/>
    <w:rsid w:val="00D23A0A"/>
    <w:rsid w:val="00D23B99"/>
    <w:rsid w:val="00D23C94"/>
    <w:rsid w:val="00D24042"/>
    <w:rsid w:val="00D27579"/>
    <w:rsid w:val="00D3301A"/>
    <w:rsid w:val="00D33E05"/>
    <w:rsid w:val="00D34A16"/>
    <w:rsid w:val="00D36BEA"/>
    <w:rsid w:val="00D4043B"/>
    <w:rsid w:val="00D4068F"/>
    <w:rsid w:val="00D40BF2"/>
    <w:rsid w:val="00D424E3"/>
    <w:rsid w:val="00D42662"/>
    <w:rsid w:val="00D42AF3"/>
    <w:rsid w:val="00D512B6"/>
    <w:rsid w:val="00D52C2F"/>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8B7"/>
    <w:rsid w:val="00D85F03"/>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C78D2"/>
    <w:rsid w:val="00DD1B9D"/>
    <w:rsid w:val="00DD44FC"/>
    <w:rsid w:val="00DD6E41"/>
    <w:rsid w:val="00DD74FF"/>
    <w:rsid w:val="00DE1186"/>
    <w:rsid w:val="00DE3025"/>
    <w:rsid w:val="00DE4417"/>
    <w:rsid w:val="00DE4E25"/>
    <w:rsid w:val="00DE5E87"/>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D1B"/>
    <w:rsid w:val="00E5457D"/>
    <w:rsid w:val="00E617F3"/>
    <w:rsid w:val="00E61903"/>
    <w:rsid w:val="00E66596"/>
    <w:rsid w:val="00E72F0A"/>
    <w:rsid w:val="00E735F1"/>
    <w:rsid w:val="00E736DC"/>
    <w:rsid w:val="00E740C8"/>
    <w:rsid w:val="00E74300"/>
    <w:rsid w:val="00E74332"/>
    <w:rsid w:val="00E74BB0"/>
    <w:rsid w:val="00E74BBE"/>
    <w:rsid w:val="00E76211"/>
    <w:rsid w:val="00E762B1"/>
    <w:rsid w:val="00E77363"/>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930"/>
    <w:rsid w:val="00EC5F39"/>
    <w:rsid w:val="00ED533B"/>
    <w:rsid w:val="00ED5892"/>
    <w:rsid w:val="00EE0AC3"/>
    <w:rsid w:val="00EE17A9"/>
    <w:rsid w:val="00EE17D7"/>
    <w:rsid w:val="00EE1D21"/>
    <w:rsid w:val="00EE33CE"/>
    <w:rsid w:val="00EE42C5"/>
    <w:rsid w:val="00EE4801"/>
    <w:rsid w:val="00EE49E6"/>
    <w:rsid w:val="00EE555F"/>
    <w:rsid w:val="00EE6715"/>
    <w:rsid w:val="00EF0BCA"/>
    <w:rsid w:val="00EF1BF6"/>
    <w:rsid w:val="00EF7949"/>
    <w:rsid w:val="00F012A7"/>
    <w:rsid w:val="00F01B24"/>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26B29"/>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4730"/>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3702"/>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66707"/>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customStyle="1" w:styleId="11BodyText">
    <w:name w:val="11 BodyText"/>
    <w:basedOn w:val="Standard"/>
    <w:rsid w:val="002B2CF7"/>
    <w:pPr>
      <w:spacing w:after="220" w:line="240" w:lineRule="auto"/>
      <w:ind w:left="1298"/>
    </w:pPr>
    <w:rPr>
      <w:rFonts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D72E0-1446-439D-92C7-A389B80F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1260</Words>
  <Characters>7942</Characters>
  <Application>Microsoft Office Word</Application>
  <DocSecurity>0</DocSecurity>
  <Lines>66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Petrovic Niels 1SC3</cp:lastModifiedBy>
  <cp:revision>8</cp:revision>
  <cp:lastPrinted>2018-08-10T06:24:00Z</cp:lastPrinted>
  <dcterms:created xsi:type="dcterms:W3CDTF">2021-05-05T11:45:00Z</dcterms:created>
  <dcterms:modified xsi:type="dcterms:W3CDTF">2021-05-11T11:49:00Z</dcterms:modified>
  <cp:category/>
</cp:coreProperties>
</file>