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6AF9DD7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380D2F">
        <w:rPr>
          <w:rFonts w:cs="Arial"/>
          <w:sz w:val="24"/>
          <w:szCs w:val="24"/>
          <w:lang w:val="de-DE"/>
        </w:rPr>
        <w:t>2416</w:t>
      </w:r>
      <w:bookmarkStart w:id="0" w:name="_GoBack"/>
      <w:bookmarkEnd w:id="0"/>
    </w:p>
    <w:p w14:paraId="5A5E9D28" w14:textId="4C5CDFF3" w:rsidR="00A40206" w:rsidRPr="00DB3907" w:rsidRDefault="00EE2E39" w:rsidP="00A40206">
      <w:pPr>
        <w:pStyle w:val="Header"/>
        <w:tabs>
          <w:tab w:val="left" w:pos="6521"/>
        </w:tabs>
        <w:rPr>
          <w:rFonts w:cs="Arial"/>
          <w:sz w:val="24"/>
          <w:szCs w:val="24"/>
        </w:rPr>
      </w:pPr>
      <w:r>
        <w:rPr>
          <w:rFonts w:cs="Arial"/>
          <w:sz w:val="24"/>
          <w:szCs w:val="24"/>
        </w:rPr>
        <w:t>January</w:t>
      </w:r>
      <w:r w:rsidR="00A40206">
        <w:rPr>
          <w:rFonts w:cs="Arial"/>
          <w:sz w:val="24"/>
          <w:szCs w:val="24"/>
        </w:rPr>
        <w:t xml:space="preserve"> 25</w:t>
      </w:r>
      <w:r w:rsidR="00A40206">
        <w:rPr>
          <w:rFonts w:cs="Arial"/>
          <w:sz w:val="24"/>
          <w:szCs w:val="24"/>
          <w:vertAlign w:val="superscript"/>
        </w:rPr>
        <w:t>th</w:t>
      </w:r>
      <w:r w:rsidR="00A40206">
        <w:rPr>
          <w:rFonts w:cs="Arial"/>
          <w:sz w:val="24"/>
          <w:szCs w:val="24"/>
        </w:rPr>
        <w:t xml:space="preserve"> ‒ </w:t>
      </w:r>
      <w:r>
        <w:rPr>
          <w:rFonts w:cs="Arial"/>
          <w:sz w:val="24"/>
          <w:szCs w:val="24"/>
        </w:rPr>
        <w:t>February</w:t>
      </w:r>
      <w:r w:rsidR="00A40206">
        <w:rPr>
          <w:rFonts w:cs="Arial"/>
          <w:sz w:val="24"/>
          <w:szCs w:val="24"/>
        </w:rPr>
        <w:t xml:space="preserve"> 5</w:t>
      </w:r>
      <w:r w:rsidR="00A40206">
        <w:rPr>
          <w:rFonts w:cs="Arial"/>
          <w:sz w:val="24"/>
          <w:szCs w:val="24"/>
          <w:vertAlign w:val="superscript"/>
        </w:rPr>
        <w:t>th</w:t>
      </w:r>
      <w:r w:rsidR="00A40206">
        <w:rPr>
          <w:rFonts w:cs="Arial"/>
          <w:sz w:val="24"/>
          <w:szCs w:val="24"/>
        </w:rPr>
        <w:t>, 202</w:t>
      </w:r>
      <w:r>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B58ABB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E2E39">
        <w:rPr>
          <w:rFonts w:ascii="Arial" w:hAnsi="Arial"/>
          <w:sz w:val="24"/>
          <w:lang w:val="en-US"/>
        </w:rPr>
        <w:t>9.35.2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9DE23D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E2E39">
        <w:rPr>
          <w:rFonts w:ascii="Arial" w:hAnsi="Arial"/>
          <w:sz w:val="24"/>
          <w:lang w:val="en-US"/>
        </w:rPr>
        <w:t>UE requirements for EU NR-U 6 GHz band</w:t>
      </w:r>
    </w:p>
    <w:p w14:paraId="013F978F" w14:textId="09EF420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EF1E7E">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2287A6E9" w:rsidR="00EE2E39" w:rsidRDefault="00EE2E39" w:rsidP="00676DCA">
      <w:pPr>
        <w:rPr>
          <w:lang w:val="en-US"/>
        </w:rPr>
      </w:pPr>
      <w:r>
        <w:rPr>
          <w:lang w:val="en-US"/>
        </w:rPr>
        <w:t>ECC has published a decision [1] for rules governing the unlicensed usage of the frequency band 5945 – 6425 MHz available for mobile service, fixed serv</w:t>
      </w:r>
      <w:r w:rsidR="00B10E1D">
        <w:rPr>
          <w:lang w:val="en-US"/>
        </w:rPr>
        <w:t>i</w:t>
      </w:r>
      <w:r>
        <w:rPr>
          <w:lang w:val="en-US"/>
        </w:rPr>
        <w:t>ce, and fixed-satellite service in Europe.  It was agreed [2] that technical work to define tech</w:t>
      </w:r>
      <w:r w:rsidR="000234BB">
        <w:rPr>
          <w:lang w:val="en-US"/>
        </w:rPr>
        <w:t>n</w:t>
      </w:r>
      <w:r>
        <w:rPr>
          <w:lang w:val="en-US"/>
        </w:rPr>
        <w:t xml:space="preserve">ical requirements for a new band covering this spectrum should commence in RAN4.  This contribution evaluates the requirements in [1] and discusses how they may be implemented in 38.101-1 as the requirements for a </w:t>
      </w:r>
      <w:r w:rsidRPr="00C54901">
        <w:rPr>
          <w:lang w:val="en-US"/>
        </w:rPr>
        <w:t>new NR-U band.</w:t>
      </w:r>
      <w:r w:rsidR="00EF4263" w:rsidRPr="00C54901">
        <w:rPr>
          <w:lang w:val="en-US"/>
        </w:rPr>
        <w:t xml:space="preserve">  Another possibility </w:t>
      </w:r>
      <w:r w:rsidR="00C54901" w:rsidRPr="00C54901">
        <w:rPr>
          <w:lang w:val="en-US"/>
        </w:rPr>
        <w:t>not discussed in this contribution</w:t>
      </w:r>
      <w:r w:rsidR="00EF4263" w:rsidRPr="00C54901">
        <w:rPr>
          <w:lang w:val="en-US"/>
        </w:rPr>
        <w:t xml:space="preserve"> is to enhance the existing Band n96 to cover this band since there is overlap in </w:t>
      </w:r>
      <w:r w:rsidR="003E41ED" w:rsidRPr="00C54901">
        <w:rPr>
          <w:lang w:val="en-US"/>
        </w:rPr>
        <w:t xml:space="preserve">the </w:t>
      </w:r>
      <w:r w:rsidR="00EF4263" w:rsidRPr="00C54901">
        <w:rPr>
          <w:lang w:val="en-US"/>
        </w:rPr>
        <w:t>frequency range.</w:t>
      </w:r>
    </w:p>
    <w:p w14:paraId="10F6602E" w14:textId="52665EA5" w:rsidR="007E1E78" w:rsidRDefault="007E1E78" w:rsidP="0099327E">
      <w:pPr>
        <w:pStyle w:val="Heading1"/>
        <w:tabs>
          <w:tab w:val="clear" w:pos="432"/>
          <w:tab w:val="num" w:pos="522"/>
        </w:tabs>
        <w:ind w:left="522" w:hanging="522"/>
        <w:rPr>
          <w:lang w:val="en-US"/>
        </w:rPr>
      </w:pPr>
      <w:r>
        <w:rPr>
          <w:lang w:val="en-US"/>
        </w:rPr>
        <w:t>Discussion</w:t>
      </w:r>
    </w:p>
    <w:p w14:paraId="33FD9C18" w14:textId="5336371D" w:rsidR="00C21C3A" w:rsidRDefault="00C21C3A" w:rsidP="00C21C3A">
      <w:pPr>
        <w:pStyle w:val="Heading2"/>
        <w:rPr>
          <w:lang w:val="en-US"/>
        </w:rPr>
      </w:pPr>
      <w:r>
        <w:rPr>
          <w:lang w:val="en-US"/>
        </w:rPr>
        <w:t>ECC technical conditions</w:t>
      </w:r>
    </w:p>
    <w:p w14:paraId="3C49B31D" w14:textId="78161DB8" w:rsidR="00EE2E39" w:rsidRDefault="00EE2E39" w:rsidP="00EE2E39">
      <w:pPr>
        <w:rPr>
          <w:lang w:val="en-US"/>
        </w:rPr>
      </w:pPr>
      <w:r>
        <w:rPr>
          <w:lang w:val="en-US"/>
        </w:rPr>
        <w:t>The general requirements for NR-U have already been specified in 38.101-1 [</w:t>
      </w:r>
      <w:r w:rsidR="00C54901">
        <w:rPr>
          <w:lang w:val="en-US"/>
        </w:rPr>
        <w:t>3</w:t>
      </w:r>
      <w:r>
        <w:rPr>
          <w:lang w:val="en-US"/>
        </w:rPr>
        <w:t xml:space="preserve">].  Therefore, </w:t>
      </w:r>
      <w:r w:rsidR="001735A3">
        <w:rPr>
          <w:lang w:val="en-US"/>
        </w:rPr>
        <w:t>the band-specific requirements only need to be addressed to add a new NR-U band into the specification.  Significantly, the regulatory requirements should be captured.  From [1], two categories of devices are considered:  LPI (low power indoor) and VLP (very low power) with technical conditions as shown below</w:t>
      </w:r>
    </w:p>
    <w:tbl>
      <w:tblPr>
        <w:tblStyle w:val="TableGrid"/>
        <w:tblW w:w="0" w:type="auto"/>
        <w:tblLook w:val="04A0" w:firstRow="1" w:lastRow="0" w:firstColumn="1" w:lastColumn="0" w:noHBand="0" w:noVBand="1"/>
      </w:tblPr>
      <w:tblGrid>
        <w:gridCol w:w="2734"/>
        <w:gridCol w:w="3556"/>
        <w:gridCol w:w="3331"/>
      </w:tblGrid>
      <w:tr w:rsidR="001735A3" w14:paraId="721EF171" w14:textId="3CF5361C" w:rsidTr="00F82A27">
        <w:tc>
          <w:tcPr>
            <w:tcW w:w="2734" w:type="dxa"/>
            <w:vMerge w:val="restart"/>
          </w:tcPr>
          <w:p w14:paraId="17890B22" w14:textId="55F4F529" w:rsidR="001735A3" w:rsidRPr="00C21C3A" w:rsidRDefault="001735A3" w:rsidP="00EE2E39">
            <w:pPr>
              <w:rPr>
                <w:b/>
                <w:bCs/>
                <w:lang w:val="en-US"/>
              </w:rPr>
            </w:pPr>
            <w:r w:rsidRPr="00C21C3A">
              <w:rPr>
                <w:b/>
                <w:bCs/>
                <w:lang w:val="en-US"/>
              </w:rPr>
              <w:t>Parameter</w:t>
            </w:r>
          </w:p>
        </w:tc>
        <w:tc>
          <w:tcPr>
            <w:tcW w:w="6887" w:type="dxa"/>
            <w:gridSpan w:val="2"/>
          </w:tcPr>
          <w:p w14:paraId="2629A84A" w14:textId="5FC769F1" w:rsidR="001735A3" w:rsidRPr="00C21C3A" w:rsidRDefault="001735A3" w:rsidP="001735A3">
            <w:pPr>
              <w:jc w:val="center"/>
              <w:rPr>
                <w:b/>
                <w:bCs/>
                <w:lang w:val="en-US"/>
              </w:rPr>
            </w:pPr>
            <w:r w:rsidRPr="00C21C3A">
              <w:rPr>
                <w:b/>
                <w:bCs/>
                <w:lang w:val="en-US"/>
              </w:rPr>
              <w:t>Technical conditions</w:t>
            </w:r>
          </w:p>
        </w:tc>
      </w:tr>
      <w:tr w:rsidR="001735A3" w14:paraId="41E9036F" w14:textId="77777777" w:rsidTr="001735A3">
        <w:tc>
          <w:tcPr>
            <w:tcW w:w="2734" w:type="dxa"/>
            <w:vMerge/>
          </w:tcPr>
          <w:p w14:paraId="7F15C5D5" w14:textId="77777777" w:rsidR="001735A3" w:rsidRPr="00C21C3A" w:rsidRDefault="001735A3" w:rsidP="00EE2E39">
            <w:pPr>
              <w:rPr>
                <w:b/>
                <w:bCs/>
                <w:lang w:val="en-US"/>
              </w:rPr>
            </w:pPr>
          </w:p>
        </w:tc>
        <w:tc>
          <w:tcPr>
            <w:tcW w:w="3556" w:type="dxa"/>
          </w:tcPr>
          <w:p w14:paraId="01536BF4" w14:textId="4C17DFB2" w:rsidR="001735A3" w:rsidRPr="00C21C3A" w:rsidRDefault="001735A3" w:rsidP="00C21C3A">
            <w:pPr>
              <w:jc w:val="center"/>
              <w:rPr>
                <w:b/>
                <w:bCs/>
                <w:lang w:val="en-US"/>
              </w:rPr>
            </w:pPr>
            <w:r w:rsidRPr="00C21C3A">
              <w:rPr>
                <w:b/>
                <w:bCs/>
                <w:lang w:val="en-US"/>
              </w:rPr>
              <w:t>LPI</w:t>
            </w:r>
          </w:p>
        </w:tc>
        <w:tc>
          <w:tcPr>
            <w:tcW w:w="3331" w:type="dxa"/>
          </w:tcPr>
          <w:p w14:paraId="78612583" w14:textId="0C2291B2" w:rsidR="001735A3" w:rsidRPr="00C21C3A" w:rsidRDefault="001735A3" w:rsidP="00C21C3A">
            <w:pPr>
              <w:jc w:val="center"/>
              <w:rPr>
                <w:b/>
                <w:bCs/>
                <w:lang w:val="en-US"/>
              </w:rPr>
            </w:pPr>
            <w:r w:rsidRPr="00C21C3A">
              <w:rPr>
                <w:b/>
                <w:bCs/>
                <w:lang w:val="en-US"/>
              </w:rPr>
              <w:t>VLP</w:t>
            </w:r>
          </w:p>
        </w:tc>
      </w:tr>
      <w:tr w:rsidR="001735A3" w14:paraId="5F100217" w14:textId="2729E9BD" w:rsidTr="001735A3">
        <w:tc>
          <w:tcPr>
            <w:tcW w:w="2734" w:type="dxa"/>
          </w:tcPr>
          <w:p w14:paraId="28217B5B" w14:textId="2F48BFAF" w:rsidR="001735A3" w:rsidRDefault="001735A3" w:rsidP="00EE2E39">
            <w:pPr>
              <w:rPr>
                <w:lang w:val="en-US"/>
              </w:rPr>
            </w:pPr>
            <w:r w:rsidRPr="001735A3">
              <w:rPr>
                <w:lang w:val="en-US"/>
              </w:rPr>
              <w:t>Permissible operation</w:t>
            </w:r>
          </w:p>
        </w:tc>
        <w:tc>
          <w:tcPr>
            <w:tcW w:w="3556" w:type="dxa"/>
          </w:tcPr>
          <w:p w14:paraId="6E0E1632" w14:textId="77777777" w:rsidR="001735A3" w:rsidRPr="001735A3" w:rsidRDefault="001735A3" w:rsidP="001735A3">
            <w:pPr>
              <w:rPr>
                <w:lang w:val="en-US"/>
              </w:rPr>
            </w:pPr>
            <w:r w:rsidRPr="001735A3">
              <w:rPr>
                <w:lang w:val="en-US"/>
              </w:rPr>
              <w:t>Restricted to indoor use only</w:t>
            </w:r>
          </w:p>
          <w:p w14:paraId="2D76606B" w14:textId="77777777" w:rsidR="001735A3" w:rsidRPr="001735A3" w:rsidRDefault="001735A3" w:rsidP="001735A3">
            <w:pPr>
              <w:rPr>
                <w:lang w:val="en-US"/>
              </w:rPr>
            </w:pPr>
            <w:r w:rsidRPr="001735A3">
              <w:rPr>
                <w:lang w:val="en-US"/>
              </w:rPr>
              <w:t>(including trains where metal coated windows (note 1) are fitted and aircraft)</w:t>
            </w:r>
          </w:p>
          <w:p w14:paraId="27861CEA" w14:textId="315DC436" w:rsidR="001735A3" w:rsidRDefault="001735A3" w:rsidP="001735A3">
            <w:pPr>
              <w:rPr>
                <w:lang w:val="en-US"/>
              </w:rPr>
            </w:pPr>
            <w:r w:rsidRPr="001735A3">
              <w:rPr>
                <w:lang w:val="en-US"/>
              </w:rPr>
              <w:t>Outdoor use (including in road vehicles) is not permitted.</w:t>
            </w:r>
          </w:p>
        </w:tc>
        <w:tc>
          <w:tcPr>
            <w:tcW w:w="3331" w:type="dxa"/>
          </w:tcPr>
          <w:p w14:paraId="7430EE0B" w14:textId="77777777" w:rsidR="001735A3" w:rsidRPr="001735A3" w:rsidRDefault="001735A3" w:rsidP="001735A3">
            <w:pPr>
              <w:rPr>
                <w:lang w:val="en-US"/>
              </w:rPr>
            </w:pPr>
            <w:r w:rsidRPr="001735A3">
              <w:rPr>
                <w:lang w:val="en-US"/>
              </w:rPr>
              <w:t>Indoors and outdoors</w:t>
            </w:r>
          </w:p>
          <w:p w14:paraId="0DF8BCBF" w14:textId="14291C20" w:rsidR="001735A3" w:rsidRPr="001735A3" w:rsidRDefault="001735A3" w:rsidP="001735A3">
            <w:pPr>
              <w:rPr>
                <w:lang w:val="en-US"/>
              </w:rPr>
            </w:pPr>
            <w:r w:rsidRPr="001735A3">
              <w:rPr>
                <w:lang w:val="en-US"/>
              </w:rPr>
              <w:t>Use on drones is prohibited</w:t>
            </w:r>
          </w:p>
        </w:tc>
      </w:tr>
      <w:tr w:rsidR="001735A3" w14:paraId="329F6DAC" w14:textId="1A6DB0FF" w:rsidTr="001735A3">
        <w:tc>
          <w:tcPr>
            <w:tcW w:w="2734" w:type="dxa"/>
          </w:tcPr>
          <w:p w14:paraId="042D1855" w14:textId="4A9C5068" w:rsidR="001735A3" w:rsidRDefault="001735A3" w:rsidP="00EE2E39">
            <w:pPr>
              <w:rPr>
                <w:lang w:val="en-US"/>
              </w:rPr>
            </w:pPr>
            <w:r w:rsidRPr="001735A3">
              <w:rPr>
                <w:lang w:val="en-US"/>
              </w:rPr>
              <w:t>Category of device</w:t>
            </w:r>
          </w:p>
        </w:tc>
        <w:tc>
          <w:tcPr>
            <w:tcW w:w="3556" w:type="dxa"/>
          </w:tcPr>
          <w:p w14:paraId="1D85ACDC" w14:textId="77777777" w:rsidR="001735A3" w:rsidRPr="001735A3" w:rsidRDefault="001735A3" w:rsidP="001735A3">
            <w:pPr>
              <w:rPr>
                <w:lang w:val="en-US"/>
              </w:rPr>
            </w:pPr>
            <w:r w:rsidRPr="001735A3">
              <w:rPr>
                <w:lang w:val="en-US"/>
              </w:rPr>
              <w:t>An LPI access point or bridge that is supplied power from a wired connection, has an integrated antenna and is not battery powered.</w:t>
            </w:r>
          </w:p>
          <w:p w14:paraId="510B1E8A" w14:textId="2C452D78" w:rsidR="001735A3" w:rsidRDefault="001735A3" w:rsidP="001735A3">
            <w:pPr>
              <w:rPr>
                <w:lang w:val="en-US"/>
              </w:rPr>
            </w:pPr>
            <w:r w:rsidRPr="001735A3">
              <w:rPr>
                <w:lang w:val="en-US"/>
              </w:rPr>
              <w:t>An LPI client device is a device that is connected to an LPI access point or another LPI client device and may or may not be battery powered.</w:t>
            </w:r>
          </w:p>
        </w:tc>
        <w:tc>
          <w:tcPr>
            <w:tcW w:w="3331" w:type="dxa"/>
          </w:tcPr>
          <w:p w14:paraId="7D2BF6A8" w14:textId="38F3697A" w:rsidR="001735A3" w:rsidRPr="001735A3" w:rsidRDefault="001735A3" w:rsidP="001735A3">
            <w:pPr>
              <w:rPr>
                <w:lang w:val="en-US"/>
              </w:rPr>
            </w:pPr>
            <w:r w:rsidRPr="001735A3">
              <w:rPr>
                <w:lang w:val="en-US"/>
              </w:rPr>
              <w:t>The VLP device is a portable device</w:t>
            </w:r>
          </w:p>
        </w:tc>
      </w:tr>
      <w:tr w:rsidR="001735A3" w14:paraId="243EA8A8" w14:textId="1AA28AF0" w:rsidTr="001735A3">
        <w:tc>
          <w:tcPr>
            <w:tcW w:w="2734" w:type="dxa"/>
          </w:tcPr>
          <w:p w14:paraId="293F3BA6" w14:textId="780EAE60" w:rsidR="001735A3" w:rsidRDefault="001735A3" w:rsidP="001735A3">
            <w:pPr>
              <w:rPr>
                <w:lang w:val="en-US"/>
              </w:rPr>
            </w:pPr>
            <w:r w:rsidRPr="001735A3">
              <w:rPr>
                <w:lang w:val="en-US"/>
              </w:rPr>
              <w:t>Frequency band</w:t>
            </w:r>
          </w:p>
        </w:tc>
        <w:tc>
          <w:tcPr>
            <w:tcW w:w="3556" w:type="dxa"/>
          </w:tcPr>
          <w:p w14:paraId="79E012D0" w14:textId="29CF36C1" w:rsidR="001735A3" w:rsidRDefault="001735A3" w:rsidP="001735A3">
            <w:pPr>
              <w:rPr>
                <w:lang w:val="en-US"/>
              </w:rPr>
            </w:pPr>
            <w:r w:rsidRPr="001735A3">
              <w:rPr>
                <w:lang w:val="en-US"/>
              </w:rPr>
              <w:t>5945-6425 MHz</w:t>
            </w:r>
          </w:p>
        </w:tc>
        <w:tc>
          <w:tcPr>
            <w:tcW w:w="3331" w:type="dxa"/>
          </w:tcPr>
          <w:p w14:paraId="68B8CF0F" w14:textId="0EB31F6C" w:rsidR="001735A3" w:rsidRPr="001735A3" w:rsidRDefault="001735A3" w:rsidP="001735A3">
            <w:pPr>
              <w:rPr>
                <w:lang w:val="en-US"/>
              </w:rPr>
            </w:pPr>
            <w:r w:rsidRPr="001735A3">
              <w:rPr>
                <w:lang w:val="en-US"/>
              </w:rPr>
              <w:t>5945-6425 MHz</w:t>
            </w:r>
          </w:p>
        </w:tc>
      </w:tr>
      <w:tr w:rsidR="001735A3" w14:paraId="48C914F2" w14:textId="14EC634B" w:rsidTr="001735A3">
        <w:tc>
          <w:tcPr>
            <w:tcW w:w="2734" w:type="dxa"/>
          </w:tcPr>
          <w:p w14:paraId="12D8E883" w14:textId="29D551D7" w:rsidR="001735A3" w:rsidRDefault="001735A3" w:rsidP="001735A3">
            <w:pPr>
              <w:rPr>
                <w:lang w:val="en-US"/>
              </w:rPr>
            </w:pPr>
            <w:r w:rsidRPr="001735A3">
              <w:rPr>
                <w:lang w:val="en-US"/>
              </w:rPr>
              <w:t>Channel access and occupation rules</w:t>
            </w:r>
          </w:p>
        </w:tc>
        <w:tc>
          <w:tcPr>
            <w:tcW w:w="3556" w:type="dxa"/>
          </w:tcPr>
          <w:p w14:paraId="265C94E6" w14:textId="4209D140" w:rsidR="001735A3" w:rsidRDefault="001735A3" w:rsidP="001735A3">
            <w:pPr>
              <w:rPr>
                <w:lang w:val="en-US"/>
              </w:rPr>
            </w:pPr>
            <w:r w:rsidRPr="001735A3">
              <w:rPr>
                <w:lang w:val="en-US"/>
              </w:rPr>
              <w:t>An adequate spectrum sharing mechanism shall be implemented.</w:t>
            </w:r>
          </w:p>
        </w:tc>
        <w:tc>
          <w:tcPr>
            <w:tcW w:w="3331" w:type="dxa"/>
          </w:tcPr>
          <w:p w14:paraId="4BA9FCDA" w14:textId="263A39FE" w:rsidR="001735A3" w:rsidRPr="001735A3" w:rsidRDefault="001735A3" w:rsidP="001735A3">
            <w:pPr>
              <w:rPr>
                <w:lang w:val="en-US"/>
              </w:rPr>
            </w:pPr>
            <w:r w:rsidRPr="001735A3">
              <w:rPr>
                <w:lang w:val="en-US"/>
              </w:rPr>
              <w:t>An adequate spectrum sharing mechanism shall be implemented.</w:t>
            </w:r>
          </w:p>
        </w:tc>
      </w:tr>
      <w:tr w:rsidR="001735A3" w14:paraId="2546AD5C" w14:textId="53561168" w:rsidTr="001735A3">
        <w:tc>
          <w:tcPr>
            <w:tcW w:w="2734" w:type="dxa"/>
          </w:tcPr>
          <w:p w14:paraId="65355623" w14:textId="7653F47C" w:rsidR="001735A3" w:rsidRDefault="001735A3" w:rsidP="001735A3">
            <w:pPr>
              <w:rPr>
                <w:lang w:val="en-US"/>
              </w:rPr>
            </w:pPr>
            <w:r w:rsidRPr="001735A3">
              <w:rPr>
                <w:lang w:val="en-US"/>
              </w:rPr>
              <w:t>Maximum mean e.i.r.p. for in-band emissions (note 2)</w:t>
            </w:r>
          </w:p>
        </w:tc>
        <w:tc>
          <w:tcPr>
            <w:tcW w:w="3556" w:type="dxa"/>
          </w:tcPr>
          <w:p w14:paraId="4A366ED5" w14:textId="309E06FD" w:rsidR="001735A3" w:rsidRDefault="001735A3" w:rsidP="001735A3">
            <w:pPr>
              <w:rPr>
                <w:lang w:val="en-US"/>
              </w:rPr>
            </w:pPr>
            <w:r>
              <w:rPr>
                <w:lang w:val="en-US"/>
              </w:rPr>
              <w:t>23 dBm</w:t>
            </w:r>
          </w:p>
        </w:tc>
        <w:tc>
          <w:tcPr>
            <w:tcW w:w="3331" w:type="dxa"/>
          </w:tcPr>
          <w:p w14:paraId="27E6B74C" w14:textId="26F17883" w:rsidR="001735A3" w:rsidRDefault="001735A3" w:rsidP="001735A3">
            <w:pPr>
              <w:rPr>
                <w:lang w:val="en-US"/>
              </w:rPr>
            </w:pPr>
            <w:r>
              <w:rPr>
                <w:lang w:val="en-US"/>
              </w:rPr>
              <w:t>14 dBm</w:t>
            </w:r>
          </w:p>
        </w:tc>
      </w:tr>
      <w:tr w:rsidR="001735A3" w14:paraId="4DEF7E26" w14:textId="5912A364" w:rsidTr="001735A3">
        <w:tc>
          <w:tcPr>
            <w:tcW w:w="2734" w:type="dxa"/>
          </w:tcPr>
          <w:p w14:paraId="12610B78" w14:textId="66CA519E" w:rsidR="001735A3" w:rsidRPr="001735A3" w:rsidRDefault="001735A3" w:rsidP="001735A3">
            <w:pPr>
              <w:rPr>
                <w:lang w:val="en-US"/>
              </w:rPr>
            </w:pPr>
            <w:r w:rsidRPr="001735A3">
              <w:rPr>
                <w:lang w:val="en-US"/>
              </w:rPr>
              <w:lastRenderedPageBreak/>
              <w:t>Maximum mean e.i.r.p. density for in-band emissions (note 2)</w:t>
            </w:r>
          </w:p>
        </w:tc>
        <w:tc>
          <w:tcPr>
            <w:tcW w:w="3556" w:type="dxa"/>
          </w:tcPr>
          <w:p w14:paraId="3001BE55" w14:textId="58B90B1D" w:rsidR="001735A3" w:rsidRDefault="001735A3" w:rsidP="001735A3">
            <w:pPr>
              <w:rPr>
                <w:lang w:val="en-US"/>
              </w:rPr>
            </w:pPr>
            <w:r w:rsidRPr="001735A3">
              <w:rPr>
                <w:lang w:val="en-US"/>
              </w:rPr>
              <w:t>10 dBm/MHz</w:t>
            </w:r>
          </w:p>
        </w:tc>
        <w:tc>
          <w:tcPr>
            <w:tcW w:w="3331" w:type="dxa"/>
          </w:tcPr>
          <w:p w14:paraId="3B1329CA" w14:textId="64B4BB5B" w:rsidR="001735A3" w:rsidRPr="001735A3" w:rsidRDefault="001735A3" w:rsidP="001735A3">
            <w:pPr>
              <w:rPr>
                <w:lang w:val="en-US"/>
              </w:rPr>
            </w:pPr>
            <w:r>
              <w:rPr>
                <w:lang w:val="en-US"/>
              </w:rPr>
              <w:t>1 dBm/MHz</w:t>
            </w:r>
          </w:p>
        </w:tc>
      </w:tr>
      <w:tr w:rsidR="001735A3" w14:paraId="3192D45E" w14:textId="77777777" w:rsidTr="001735A3">
        <w:tc>
          <w:tcPr>
            <w:tcW w:w="2734" w:type="dxa"/>
          </w:tcPr>
          <w:p w14:paraId="2A79DF53" w14:textId="599A0160" w:rsidR="001735A3" w:rsidRPr="001735A3" w:rsidRDefault="001735A3" w:rsidP="001735A3">
            <w:pPr>
              <w:rPr>
                <w:lang w:val="en-US"/>
              </w:rPr>
            </w:pPr>
            <w:r w:rsidRPr="001735A3">
              <w:rPr>
                <w:lang w:val="en-US"/>
              </w:rPr>
              <w:t xml:space="preserve">Narrowband usage maximum mean e.i.r.p. density for in-band emissions (note </w:t>
            </w:r>
            <w:r w:rsidR="00C21C3A">
              <w:rPr>
                <w:lang w:val="en-US"/>
              </w:rPr>
              <w:t>2</w:t>
            </w:r>
            <w:r w:rsidRPr="001735A3">
              <w:rPr>
                <w:lang w:val="en-US"/>
              </w:rPr>
              <w:t xml:space="preserve">) (note </w:t>
            </w:r>
            <w:r w:rsidR="00C21C3A">
              <w:rPr>
                <w:lang w:val="en-US"/>
              </w:rPr>
              <w:t>3</w:t>
            </w:r>
            <w:r w:rsidRPr="001735A3">
              <w:rPr>
                <w:lang w:val="en-US"/>
              </w:rPr>
              <w:t>)</w:t>
            </w:r>
          </w:p>
        </w:tc>
        <w:tc>
          <w:tcPr>
            <w:tcW w:w="3556" w:type="dxa"/>
          </w:tcPr>
          <w:p w14:paraId="20792ECC" w14:textId="6A733152" w:rsidR="001735A3" w:rsidRPr="001735A3" w:rsidRDefault="00C21C3A" w:rsidP="001735A3">
            <w:pPr>
              <w:rPr>
                <w:lang w:val="en-US"/>
              </w:rPr>
            </w:pPr>
            <w:r>
              <w:rPr>
                <w:lang w:val="en-US"/>
              </w:rPr>
              <w:t>N/A</w:t>
            </w:r>
          </w:p>
        </w:tc>
        <w:tc>
          <w:tcPr>
            <w:tcW w:w="3331" w:type="dxa"/>
          </w:tcPr>
          <w:p w14:paraId="64051210" w14:textId="40D391A7" w:rsidR="001735A3" w:rsidRPr="00C21C3A" w:rsidRDefault="00C21C3A" w:rsidP="001735A3">
            <w:pPr>
              <w:rPr>
                <w:lang w:val="en-US"/>
              </w:rPr>
            </w:pPr>
            <w:r w:rsidRPr="00C21C3A">
              <w:rPr>
                <w:rFonts w:eastAsia="SimSun"/>
                <w:color w:val="000000"/>
                <w:lang w:val="en-US"/>
              </w:rPr>
              <w:t>10 dBm/MHz</w:t>
            </w:r>
          </w:p>
        </w:tc>
      </w:tr>
      <w:tr w:rsidR="001735A3" w14:paraId="1853388B" w14:textId="69370AE3" w:rsidTr="001735A3">
        <w:tc>
          <w:tcPr>
            <w:tcW w:w="2734" w:type="dxa"/>
          </w:tcPr>
          <w:p w14:paraId="77C74547" w14:textId="026D0EF6" w:rsidR="001735A3" w:rsidRPr="001735A3" w:rsidRDefault="001735A3" w:rsidP="001735A3">
            <w:pPr>
              <w:rPr>
                <w:lang w:val="en-US"/>
              </w:rPr>
            </w:pPr>
            <w:r w:rsidRPr="001735A3">
              <w:rPr>
                <w:lang w:val="en-US"/>
              </w:rPr>
              <w:t>Maximum mean e.i.r.p. density for out-of-band emissions below 5935 MHz (note 2)</w:t>
            </w:r>
          </w:p>
        </w:tc>
        <w:tc>
          <w:tcPr>
            <w:tcW w:w="3556" w:type="dxa"/>
          </w:tcPr>
          <w:p w14:paraId="32B9ADF4" w14:textId="3B17F0AD" w:rsidR="001735A3" w:rsidRDefault="001735A3" w:rsidP="001735A3">
            <w:pPr>
              <w:rPr>
                <w:lang w:val="en-US"/>
              </w:rPr>
            </w:pPr>
            <w:r>
              <w:rPr>
                <w:lang w:val="en-US"/>
              </w:rPr>
              <w:t>-22 dBm/MHz</w:t>
            </w:r>
          </w:p>
        </w:tc>
        <w:tc>
          <w:tcPr>
            <w:tcW w:w="3331" w:type="dxa"/>
          </w:tcPr>
          <w:p w14:paraId="7FA9A4DE" w14:textId="62A071E4" w:rsidR="001735A3" w:rsidRDefault="00C21C3A" w:rsidP="001735A3">
            <w:pPr>
              <w:rPr>
                <w:lang w:val="en-US"/>
              </w:rPr>
            </w:pPr>
            <w:r>
              <w:rPr>
                <w:lang w:val="en-US"/>
              </w:rPr>
              <w:t>-45 dBm/MHz (note 4)</w:t>
            </w:r>
          </w:p>
        </w:tc>
      </w:tr>
      <w:tr w:rsidR="001735A3" w14:paraId="0896F014" w14:textId="2A26C2E6" w:rsidTr="000D58F8">
        <w:tc>
          <w:tcPr>
            <w:tcW w:w="9621" w:type="dxa"/>
            <w:gridSpan w:val="3"/>
          </w:tcPr>
          <w:p w14:paraId="5B6457FB" w14:textId="77777777" w:rsidR="001735A3" w:rsidRPr="001735A3" w:rsidRDefault="001735A3" w:rsidP="001735A3">
            <w:pPr>
              <w:rPr>
                <w:lang w:val="en-US"/>
              </w:rPr>
            </w:pPr>
            <w:r w:rsidRPr="001735A3">
              <w:rPr>
                <w:lang w:val="en-US"/>
              </w:rPr>
              <w:t>Note 1: Or similar structures made of material with comparable attenuation characteristics.</w:t>
            </w:r>
          </w:p>
          <w:p w14:paraId="5E6F0458" w14:textId="77777777" w:rsidR="001735A3" w:rsidRDefault="001735A3" w:rsidP="001735A3">
            <w:pPr>
              <w:rPr>
                <w:lang w:val="en-US"/>
              </w:rPr>
            </w:pPr>
            <w:r w:rsidRPr="001735A3">
              <w:rPr>
                <w:lang w:val="en-US"/>
              </w:rPr>
              <w:t>Note 2: The "mean e.i.r.p." refers to the e.i.r.p. during the transmission burst, which corresponds to the highest power, if power control is implemented.</w:t>
            </w:r>
          </w:p>
          <w:p w14:paraId="2CD329C5" w14:textId="77777777" w:rsidR="00C21C3A" w:rsidRDefault="00C21C3A" w:rsidP="001735A3">
            <w:pPr>
              <w:rPr>
                <w:lang w:val="en-US"/>
              </w:rPr>
            </w:pPr>
            <w:r w:rsidRPr="00C21C3A">
              <w:rPr>
                <w:lang w:val="en-US"/>
              </w:rPr>
              <w:t xml:space="preserve">Note </w:t>
            </w:r>
            <w:r>
              <w:rPr>
                <w:lang w:val="en-US"/>
              </w:rPr>
              <w:t>3</w:t>
            </w:r>
            <w:r w:rsidRPr="00C21C3A">
              <w:rPr>
                <w:lang w:val="en-US"/>
              </w:rPr>
              <w:t>: Narrowband (NB) devices are devices that operate in channels bandwidths below 20 MHz. Narrowband devices also require a frequency hopping mechanism based on at least 15 hop channels to operate at a PSD value above 1 dBm/MHz.</w:t>
            </w:r>
          </w:p>
          <w:p w14:paraId="2C0FBAE9" w14:textId="7EBD5267" w:rsidR="00C21C3A" w:rsidRPr="001735A3" w:rsidRDefault="00C21C3A" w:rsidP="001735A3">
            <w:pPr>
              <w:rPr>
                <w:lang w:val="en-US"/>
              </w:rPr>
            </w:pPr>
            <w:r w:rsidRPr="00C21C3A">
              <w:rPr>
                <w:lang w:val="en-US"/>
              </w:rPr>
              <w:t xml:space="preserve">Note </w:t>
            </w:r>
            <w:r w:rsidR="008C7E65">
              <w:rPr>
                <w:lang w:val="en-US"/>
              </w:rPr>
              <w:t>4</w:t>
            </w:r>
            <w:r w:rsidRPr="00C21C3A">
              <w:rPr>
                <w:lang w:val="en-US"/>
              </w:rPr>
              <w:t>: ECC will study the appropriateness of this level of OOBE by 31/12/2024. In absence of the justified evidence, a value of -37 dBm/MHz will be adopted from 1 January 2025.</w:t>
            </w:r>
          </w:p>
        </w:tc>
      </w:tr>
    </w:tbl>
    <w:p w14:paraId="4DC36368" w14:textId="07CBCE68" w:rsidR="00E23813" w:rsidRDefault="00E23813" w:rsidP="00E23813">
      <w:pPr>
        <w:pStyle w:val="Heading2"/>
        <w:rPr>
          <w:lang w:val="en-US"/>
        </w:rPr>
      </w:pPr>
      <w:r>
        <w:rPr>
          <w:lang w:val="en-US"/>
        </w:rPr>
        <w:t>Device category</w:t>
      </w:r>
    </w:p>
    <w:p w14:paraId="30BA31B1" w14:textId="2AD94465" w:rsidR="00E23813" w:rsidRDefault="00E23813" w:rsidP="00FD46F5">
      <w:pPr>
        <w:rPr>
          <w:lang w:val="en-US"/>
        </w:rPr>
      </w:pPr>
      <w:r>
        <w:rPr>
          <w:lang w:val="en-US"/>
        </w:rPr>
        <w:t xml:space="preserve">ECC defines two device categories:  LPI and VLP.  </w:t>
      </w:r>
      <w:r w:rsidR="00FD46F5">
        <w:rPr>
          <w:lang w:val="en-US"/>
        </w:rPr>
        <w:t xml:space="preserve">The LPI client is intended to be operated indoors connected to an LPI access point that is fixed.  The VLP client is permitted to operate both indoors and outdoors.  </w:t>
      </w:r>
      <w:r>
        <w:rPr>
          <w:lang w:val="en-US"/>
        </w:rPr>
        <w:t xml:space="preserve">To </w:t>
      </w:r>
      <w:r w:rsidR="00166BBB">
        <w:rPr>
          <w:lang w:val="en-US"/>
        </w:rPr>
        <w:t xml:space="preserve">minimize interference caused to </w:t>
      </w:r>
      <w:r>
        <w:rPr>
          <w:lang w:val="en-US"/>
        </w:rPr>
        <w:t>other services</w:t>
      </w:r>
      <w:r w:rsidR="00FD46F5">
        <w:rPr>
          <w:lang w:val="en-US"/>
        </w:rPr>
        <w:t xml:space="preserve"> without the benefit of indoor confinement </w:t>
      </w:r>
      <w:r w:rsidR="00166BBB">
        <w:rPr>
          <w:lang w:val="en-US"/>
        </w:rPr>
        <w:t>of</w:t>
      </w:r>
      <w:r w:rsidR="00FD46F5">
        <w:rPr>
          <w:lang w:val="en-US"/>
        </w:rPr>
        <w:t xml:space="preserve"> radio waves</w:t>
      </w:r>
      <w:r>
        <w:rPr>
          <w:lang w:val="en-US"/>
        </w:rPr>
        <w:t xml:space="preserve">, the VLP devices are </w:t>
      </w:r>
      <w:r w:rsidR="00166BBB">
        <w:rPr>
          <w:lang w:val="en-US"/>
        </w:rPr>
        <w:t>instead</w:t>
      </w:r>
      <w:r>
        <w:rPr>
          <w:lang w:val="en-US"/>
        </w:rPr>
        <w:t xml:space="preserve"> limited in output power</w:t>
      </w:r>
      <w:r w:rsidR="00166BBB">
        <w:rPr>
          <w:lang w:val="en-US"/>
        </w:rPr>
        <w:t xml:space="preserve">, </w:t>
      </w:r>
      <w:r>
        <w:rPr>
          <w:lang w:val="en-US"/>
        </w:rPr>
        <w:t>PSD</w:t>
      </w:r>
      <w:r w:rsidR="00166BBB">
        <w:rPr>
          <w:lang w:val="en-US"/>
        </w:rPr>
        <w:t>, and spurious emissions</w:t>
      </w:r>
      <w:r>
        <w:rPr>
          <w:lang w:val="en-US"/>
        </w:rPr>
        <w:t xml:space="preserve">.  </w:t>
      </w:r>
      <w:r w:rsidR="00FD46F5">
        <w:rPr>
          <w:lang w:val="en-US"/>
        </w:rPr>
        <w:t xml:space="preserve">Thus, the categories for devices are distinguished by the network in which they operate and in their allowed </w:t>
      </w:r>
      <w:r w:rsidR="00166BBB">
        <w:rPr>
          <w:lang w:val="en-US"/>
        </w:rPr>
        <w:t xml:space="preserve">maximum </w:t>
      </w:r>
      <w:r w:rsidR="008C7E65">
        <w:rPr>
          <w:lang w:val="en-US"/>
        </w:rPr>
        <w:t>output</w:t>
      </w:r>
      <w:r w:rsidR="00FD46F5">
        <w:rPr>
          <w:lang w:val="en-US"/>
        </w:rPr>
        <w:t xml:space="preserve"> power</w:t>
      </w:r>
      <w:r w:rsidR="008C7E65">
        <w:rPr>
          <w:lang w:val="en-US"/>
        </w:rPr>
        <w:t xml:space="preserve"> (MOP)</w:t>
      </w:r>
      <w:r w:rsidR="00166BBB">
        <w:rPr>
          <w:lang w:val="en-US"/>
        </w:rPr>
        <w:t xml:space="preserve">, </w:t>
      </w:r>
      <w:r w:rsidR="008C7E65">
        <w:rPr>
          <w:lang w:val="en-US"/>
        </w:rPr>
        <w:t>maximum power spectral density (</w:t>
      </w:r>
      <w:r w:rsidR="00166BBB">
        <w:rPr>
          <w:lang w:val="en-US"/>
        </w:rPr>
        <w:t>PSD</w:t>
      </w:r>
      <w:r w:rsidR="008C7E65">
        <w:rPr>
          <w:lang w:val="en-US"/>
        </w:rPr>
        <w:t>)</w:t>
      </w:r>
      <w:r w:rsidR="00166BBB">
        <w:rPr>
          <w:lang w:val="en-US"/>
        </w:rPr>
        <w:t xml:space="preserve">, and </w:t>
      </w:r>
      <w:r w:rsidR="008C7E65">
        <w:rPr>
          <w:lang w:val="en-US"/>
        </w:rPr>
        <w:t xml:space="preserve">additional </w:t>
      </w:r>
      <w:r w:rsidR="00166BBB">
        <w:rPr>
          <w:lang w:val="en-US"/>
        </w:rPr>
        <w:t>spurious emissions</w:t>
      </w:r>
      <w:r w:rsidR="008C7E65">
        <w:rPr>
          <w:lang w:val="en-US"/>
        </w:rPr>
        <w:t xml:space="preserve"> (ASE)</w:t>
      </w:r>
      <w:r w:rsidR="00166BBB">
        <w:rPr>
          <w:lang w:val="en-US"/>
        </w:rPr>
        <w:t xml:space="preserve">.  </w:t>
      </w:r>
      <w:r>
        <w:rPr>
          <w:lang w:val="en-US"/>
        </w:rPr>
        <w:t xml:space="preserve">From a 3GPP perspective, the specifications </w:t>
      </w:r>
      <w:r w:rsidR="00166BBB">
        <w:rPr>
          <w:lang w:val="en-US"/>
        </w:rPr>
        <w:t xml:space="preserve">are not defined according to device type.  The same UE RF specification applies to all device types regardless of their end product form factor.  </w:t>
      </w:r>
      <w:r w:rsidR="00B35A09">
        <w:rPr>
          <w:lang w:val="en-US"/>
        </w:rPr>
        <w:t xml:space="preserve">However, </w:t>
      </w:r>
      <w:r w:rsidR="00166BBB">
        <w:rPr>
          <w:lang w:val="en-US"/>
        </w:rPr>
        <w:t>the characteristics associated with the LPI and VLP device categories can be reflected in the 3GPP requirements.  T</w:t>
      </w:r>
      <w:r w:rsidR="00B35A09">
        <w:rPr>
          <w:lang w:val="en-US"/>
        </w:rPr>
        <w:t xml:space="preserve">he requirements on </w:t>
      </w:r>
      <w:r w:rsidR="008C7E65">
        <w:rPr>
          <w:lang w:val="en-US"/>
        </w:rPr>
        <w:t>MOP, PSD, and ASE</w:t>
      </w:r>
      <w:r w:rsidR="00B35A09">
        <w:rPr>
          <w:lang w:val="en-US"/>
        </w:rPr>
        <w:t xml:space="preserve"> can be signaled to the UE</w:t>
      </w:r>
      <w:r w:rsidR="00166BBB">
        <w:rPr>
          <w:lang w:val="en-US"/>
        </w:rPr>
        <w:t xml:space="preserve"> by the access point/basestation under which it operates</w:t>
      </w:r>
      <w:r w:rsidR="00B35A09">
        <w:rPr>
          <w:lang w:val="en-US"/>
        </w:rPr>
        <w:t>.  For example, an NS can be defined with requirements consistent with LPI operation and another NS with requirements consistent with VLP.  The basestation depending upon its installation</w:t>
      </w:r>
      <w:r w:rsidR="00166BBB">
        <w:rPr>
          <w:lang w:val="en-US"/>
        </w:rPr>
        <w:t xml:space="preserve"> and network operational mode (whether it is LPI or VLP)</w:t>
      </w:r>
      <w:r w:rsidR="00B35A09">
        <w:rPr>
          <w:lang w:val="en-US"/>
        </w:rPr>
        <w:t xml:space="preserve"> then </w:t>
      </w:r>
      <w:r w:rsidR="00166BBB">
        <w:rPr>
          <w:lang w:val="en-US"/>
        </w:rPr>
        <w:t>broadcasts</w:t>
      </w:r>
      <w:r w:rsidR="00B35A09">
        <w:rPr>
          <w:lang w:val="en-US"/>
        </w:rPr>
        <w:t xml:space="preserve"> the appropriate NS</w:t>
      </w:r>
      <w:r w:rsidR="00166BBB">
        <w:rPr>
          <w:lang w:val="en-US"/>
        </w:rPr>
        <w:t xml:space="preserve"> cell-wide.  All UE’s connecting to this cell are then obligated to fulfill the </w:t>
      </w:r>
      <w:r w:rsidR="008C7E65">
        <w:rPr>
          <w:lang w:val="en-US"/>
        </w:rPr>
        <w:t>MOP, PSD, and ASE</w:t>
      </w:r>
      <w:r w:rsidR="00166BBB">
        <w:rPr>
          <w:lang w:val="en-US"/>
        </w:rPr>
        <w:t xml:space="preserve"> requirements indicated by the network signaling.</w:t>
      </w:r>
    </w:p>
    <w:p w14:paraId="1CB4AFF0" w14:textId="3E865A02" w:rsidR="00B35A09" w:rsidRPr="00B35A09" w:rsidRDefault="00B35A09" w:rsidP="00E23813">
      <w:pPr>
        <w:rPr>
          <w:b/>
          <w:bCs/>
          <w:lang w:val="en-US"/>
        </w:rPr>
      </w:pPr>
      <w:r w:rsidRPr="00B35A09">
        <w:rPr>
          <w:b/>
          <w:bCs/>
          <w:lang w:val="en-US"/>
        </w:rPr>
        <w:t xml:space="preserve">Proposal:  It is proposed to define two NS values for the new band:  NS_XX for LPI and NS_YY for VLP.  </w:t>
      </w:r>
    </w:p>
    <w:p w14:paraId="4CE54CA8" w14:textId="47EBB84B" w:rsidR="00B35A09" w:rsidRDefault="00B35A09" w:rsidP="00E23813">
      <w:pPr>
        <w:rPr>
          <w:lang w:val="en-US"/>
        </w:rPr>
      </w:pPr>
      <w:r>
        <w:rPr>
          <w:lang w:val="en-US"/>
        </w:rPr>
        <w:t xml:space="preserve">A potential problem exists if a UE operating outdoors connects to an indoor basestation.  In this case, the UE will receive the NS_XX indication from the </w:t>
      </w:r>
      <w:r w:rsidR="008C7E65">
        <w:rPr>
          <w:lang w:val="en-US"/>
        </w:rPr>
        <w:t>LPI</w:t>
      </w:r>
      <w:r>
        <w:rPr>
          <w:lang w:val="en-US"/>
        </w:rPr>
        <w:t xml:space="preserve"> basestation and potentially transmit</w:t>
      </w:r>
      <w:r w:rsidR="008C7E65">
        <w:rPr>
          <w:lang w:val="en-US"/>
        </w:rPr>
        <w:t>s</w:t>
      </w:r>
      <w:r>
        <w:rPr>
          <w:lang w:val="en-US"/>
        </w:rPr>
        <w:t xml:space="preserve"> </w:t>
      </w:r>
      <w:r w:rsidR="008C7E65">
        <w:rPr>
          <w:lang w:val="en-US"/>
        </w:rPr>
        <w:t xml:space="preserve">in violation of VLP MOP, PSD, and </w:t>
      </w:r>
      <w:r w:rsidR="008C7E65" w:rsidRPr="000234BB">
        <w:rPr>
          <w:lang w:val="en-US"/>
        </w:rPr>
        <w:t xml:space="preserve">ASE. </w:t>
      </w:r>
      <w:r w:rsidRPr="000234BB">
        <w:rPr>
          <w:lang w:val="en-US"/>
        </w:rPr>
        <w:t xml:space="preserve"> Solutions for this problem </w:t>
      </w:r>
      <w:r w:rsidR="000234BB" w:rsidRPr="000234BB">
        <w:rPr>
          <w:lang w:val="en-US"/>
        </w:rPr>
        <w:t xml:space="preserve">if needed </w:t>
      </w:r>
      <w:r w:rsidRPr="000234BB">
        <w:rPr>
          <w:lang w:val="en-US"/>
        </w:rPr>
        <w:t>are beyond the scope of UE RF specifications.</w:t>
      </w:r>
    </w:p>
    <w:p w14:paraId="2E4B89B6" w14:textId="2562F092" w:rsidR="008B6C12" w:rsidRDefault="008B6C12" w:rsidP="008B6C12">
      <w:pPr>
        <w:pStyle w:val="Heading2"/>
        <w:rPr>
          <w:lang w:val="en-US"/>
        </w:rPr>
      </w:pPr>
      <w:r>
        <w:rPr>
          <w:lang w:val="en-US"/>
        </w:rPr>
        <w:t>Output power</w:t>
      </w:r>
      <w:r w:rsidR="008C7E65">
        <w:rPr>
          <w:lang w:val="en-US"/>
        </w:rPr>
        <w:t>, PSD, and additional spurious emissions</w:t>
      </w:r>
    </w:p>
    <w:p w14:paraId="75DEE99F" w14:textId="47B00F6F" w:rsidR="008C7E65" w:rsidRDefault="002B59E9" w:rsidP="00EE2E39">
      <w:pPr>
        <w:rPr>
          <w:lang w:val="en-US"/>
        </w:rPr>
      </w:pPr>
      <w:r>
        <w:rPr>
          <w:lang w:val="en-US"/>
        </w:rPr>
        <w:t xml:space="preserve">As described above, </w:t>
      </w:r>
      <w:r w:rsidR="008C7E65">
        <w:rPr>
          <w:lang w:val="en-US"/>
        </w:rPr>
        <w:t>the NS mechanism is proposed to be utilized to indicate the LPI or VLP requirements on MOP, PSD, and ASE.  In the event that neither NS_XX nor NS_YY is indicated by the network for this band, the UE shall not connect to the cell.  It is noted the maximum output power can also be signaled by the Pemax IE from the basestation.  An ambiguity may result if the Pemax is different than the allowed maximum output power associated with the signaled NS.  It should be specified that the allowable maximum output power for the UE is the minimum of the NS specified power and the Pemax if signaled.  In this way, the UE will never transmit at a power higher than allowed by either the NS or the Pemax.</w:t>
      </w:r>
    </w:p>
    <w:p w14:paraId="484CE280" w14:textId="69DACF42" w:rsidR="00677165" w:rsidRDefault="00677165" w:rsidP="00EE2E39">
      <w:pPr>
        <w:rPr>
          <w:lang w:val="en-US"/>
        </w:rPr>
      </w:pPr>
      <w:r>
        <w:rPr>
          <w:lang w:val="en-US"/>
        </w:rPr>
        <w:t xml:space="preserve">The MOP, PSD, and ASE requirements are specified in terms of EIRP in the ECC decision.  On the other hand, 3GPP requirements specified in 38.101-1 are conducted requirements at the antenna port.  To convert between regulatory radiated requirements and 3GPP specified conducted requirements, it is customarily assumed that a ≤ 0 dBi omni-directional antenna is used in the UE.  Thus, the radiated requirements are directly mapped to conducted requirements with 0 dB conversion.  Of course, it is the responsibility of the OEM to ensure that the end product is ultimately </w:t>
      </w:r>
      <w:r>
        <w:rPr>
          <w:lang w:val="en-US"/>
        </w:rPr>
        <w:lastRenderedPageBreak/>
        <w:t xml:space="preserve">compliant with </w:t>
      </w:r>
      <w:r w:rsidR="00F73E24">
        <w:rPr>
          <w:lang w:val="en-US"/>
        </w:rPr>
        <w:t>the radiated regulatory requirements, regardless of whether it complies with 3GPP conducted requirements.</w:t>
      </w:r>
    </w:p>
    <w:p w14:paraId="0A4E0A38" w14:textId="15C248A3" w:rsidR="00F73E24" w:rsidRDefault="00F73E24" w:rsidP="00EE2E39">
      <w:pPr>
        <w:rPr>
          <w:b/>
          <w:bCs/>
          <w:lang w:val="en-US"/>
        </w:rPr>
      </w:pPr>
      <w:r w:rsidRPr="00F73E24">
        <w:rPr>
          <w:b/>
          <w:bCs/>
          <w:lang w:val="en-US"/>
        </w:rPr>
        <w:t>Proposal:  0 dBi antenna gain is assumed for the purpose of deriving 3GPP specifications</w:t>
      </w:r>
      <w:r>
        <w:rPr>
          <w:b/>
          <w:bCs/>
          <w:lang w:val="en-US"/>
        </w:rPr>
        <w:t xml:space="preserve"> on MOP, PSD, and ASE</w:t>
      </w:r>
      <w:r w:rsidRPr="00F73E24">
        <w:rPr>
          <w:b/>
          <w:bCs/>
          <w:lang w:val="en-US"/>
        </w:rPr>
        <w:t>.</w:t>
      </w:r>
    </w:p>
    <w:p w14:paraId="59696084" w14:textId="4F601F44" w:rsidR="00F80953" w:rsidRDefault="00F80953" w:rsidP="00EE2E39">
      <w:pPr>
        <w:rPr>
          <w:lang w:val="en-US"/>
        </w:rPr>
      </w:pPr>
      <w:r w:rsidRPr="00F80953">
        <w:rPr>
          <w:lang w:val="en-US"/>
        </w:rPr>
        <w:t>The maximum output power for LPI is 23 dBm by regulation so PC5 and PC3 for NR-U can be considered.  However, the maximum output power for VLP is only 14 dBm.  Thus a new power class is possibly needed for VLP.</w:t>
      </w:r>
    </w:p>
    <w:p w14:paraId="359C4753" w14:textId="6FE55742" w:rsidR="00F80953" w:rsidRPr="00F80953" w:rsidRDefault="00F80953" w:rsidP="00EE2E39">
      <w:pPr>
        <w:rPr>
          <w:b/>
          <w:bCs/>
          <w:lang w:val="en-US"/>
        </w:rPr>
      </w:pPr>
      <w:r w:rsidRPr="00F80953">
        <w:rPr>
          <w:b/>
          <w:bCs/>
          <w:lang w:val="en-US"/>
        </w:rPr>
        <w:t>Observation:  A new power class may be needed for VLP.</w:t>
      </w:r>
    </w:p>
    <w:p w14:paraId="6620606E" w14:textId="3DB4265F" w:rsidR="00677165" w:rsidRDefault="00677165" w:rsidP="00677165">
      <w:pPr>
        <w:pStyle w:val="Heading2"/>
        <w:rPr>
          <w:lang w:val="en-US"/>
        </w:rPr>
      </w:pPr>
      <w:r>
        <w:rPr>
          <w:lang w:val="en-US"/>
        </w:rPr>
        <w:t>Future modification of additional spurious emission</w:t>
      </w:r>
    </w:p>
    <w:p w14:paraId="6F5933AB" w14:textId="21EE716E" w:rsidR="008C7E65" w:rsidRDefault="008C7E65" w:rsidP="00EE2E39">
      <w:pPr>
        <w:rPr>
          <w:lang w:val="en-US"/>
        </w:rPr>
      </w:pPr>
      <w:r>
        <w:rPr>
          <w:lang w:val="en-US"/>
        </w:rPr>
        <w:t>One other noteworthy aspect of the additional spurious emission requirement is that for VLP, the limit may be adjusted after further study by ECC.  The current limit is -45 dBm/MHz, but may be modified after further study.  The default value</w:t>
      </w:r>
      <w:r w:rsidR="00D12D39">
        <w:rPr>
          <w:lang w:val="en-US"/>
        </w:rPr>
        <w:t xml:space="preserve"> unless shown otherwise is -37 dBm/MHz to be taken into effect after January 1, 2025.  3GPP specifications do not currently accommodate time dependent requirements, and even if they were modified to do so, the requirement itself will not be known until after ECC study at some future time.  </w:t>
      </w:r>
      <w:r w:rsidR="00BF0F2A">
        <w:rPr>
          <w:lang w:val="en-US"/>
        </w:rPr>
        <w:t xml:space="preserve">In the meantime, 3GPP specifications need to be made available to enable device development presently.  </w:t>
      </w:r>
      <w:r w:rsidR="004E0B2A">
        <w:rPr>
          <w:lang w:val="en-US"/>
        </w:rPr>
        <w:t>Two</w:t>
      </w:r>
      <w:r w:rsidR="00BF0F2A">
        <w:rPr>
          <w:lang w:val="en-US"/>
        </w:rPr>
        <w:t xml:space="preserve"> options are listed for consideration</w:t>
      </w:r>
    </w:p>
    <w:p w14:paraId="20DFA4A5" w14:textId="623A43F7" w:rsidR="00BF0F2A" w:rsidRDefault="00BF0F2A" w:rsidP="00BF0F2A">
      <w:pPr>
        <w:pStyle w:val="ListParagraph"/>
        <w:numPr>
          <w:ilvl w:val="0"/>
          <w:numId w:val="23"/>
        </w:numPr>
        <w:rPr>
          <w:lang w:val="en-US"/>
        </w:rPr>
      </w:pPr>
      <w:r>
        <w:rPr>
          <w:lang w:val="en-US"/>
        </w:rPr>
        <w:t>Define only the requirements that are known today</w:t>
      </w:r>
      <w:r w:rsidR="004E0B2A">
        <w:rPr>
          <w:lang w:val="en-US"/>
        </w:rPr>
        <w:t>, i.e., -45 dBm/MHz, and revisit the requirement if and when it is changed in the future.  Existing UE’s will continue to comply with -45 dBm/MHz and will not violate the emission requirement assuming the modification is a relaxation to the requirement.  However, the existing UE’s to meet -45 dBm/MHz will likely transmit at lower power than they otherwise could</w:t>
      </w:r>
      <w:r w:rsidR="009F21BC">
        <w:rPr>
          <w:lang w:val="en-US"/>
        </w:rPr>
        <w:t xml:space="preserve"> assuming that ASE limits the maximum output power rather than the limit on MOP or PSD</w:t>
      </w:r>
      <w:r w:rsidR="004E0B2A">
        <w:rPr>
          <w:lang w:val="en-US"/>
        </w:rPr>
        <w:t>.</w:t>
      </w:r>
    </w:p>
    <w:p w14:paraId="493EBDD4" w14:textId="53825FBA" w:rsidR="004E0B2A" w:rsidRDefault="004E0B2A" w:rsidP="00BF0F2A">
      <w:pPr>
        <w:pStyle w:val="ListParagraph"/>
        <w:numPr>
          <w:ilvl w:val="0"/>
          <w:numId w:val="23"/>
        </w:numPr>
        <w:rPr>
          <w:lang w:val="en-US"/>
        </w:rPr>
      </w:pPr>
      <w:r>
        <w:rPr>
          <w:lang w:val="en-US"/>
        </w:rPr>
        <w:t>Define both -45 dBm/MHz and -37 dBm/MHz in different NS values today.  Networks should only enable the second NS after 2025.  The benefit of this approach is that UE’s designed even today will be capable of supporting the new requirement immediately when it comes into effect.  The detriment is in case the new requirement is different from -37 dBm/MHz, the UE’s will not be correctly designed.</w:t>
      </w:r>
    </w:p>
    <w:p w14:paraId="0187BAE8" w14:textId="4F1A1093" w:rsidR="004E0B2A" w:rsidRDefault="004E0B2A" w:rsidP="004E0B2A">
      <w:pPr>
        <w:pStyle w:val="ListParagraph"/>
        <w:rPr>
          <w:lang w:val="en-US"/>
        </w:rPr>
      </w:pPr>
    </w:p>
    <w:p w14:paraId="35FABD62" w14:textId="1DB6F0B2" w:rsidR="004E0B2A" w:rsidRDefault="004E0B2A" w:rsidP="004E0B2A">
      <w:pPr>
        <w:pStyle w:val="ListParagraph"/>
        <w:ind w:left="0"/>
        <w:rPr>
          <w:lang w:val="en-US"/>
        </w:rPr>
      </w:pPr>
      <w:r>
        <w:rPr>
          <w:lang w:val="en-US"/>
        </w:rPr>
        <w:t xml:space="preserve">In the future, when the new requirement comes into effect, a new NS will be signaled by the network.  Newer UE’s will be designed to this new NS and will comply to the new emission requirement likely with higher transmit power (smaller A-MPR).  On the other hand, legacy UE’s unless they can be upgraded will not comprehend the new NS and therefore should not connect to the cell.  To enable the legacy UE’s to continue to operate after the new requirement </w:t>
      </w:r>
      <w:r w:rsidR="00652A41">
        <w:rPr>
          <w:lang w:val="en-US"/>
        </w:rPr>
        <w:t>becomes effective</w:t>
      </w:r>
      <w:r>
        <w:rPr>
          <w:lang w:val="en-US"/>
        </w:rPr>
        <w:t xml:space="preserve">, the </w:t>
      </w:r>
      <w:r w:rsidR="009F21BC">
        <w:rPr>
          <w:lang w:val="en-US"/>
        </w:rPr>
        <w:t>network should utilize the “multiple NS signaling” approach.  With this approach, the legacy NS is signaled by the network so that legacy UE’s can still connect.  However, the new NS is also signaled in a secondary field so that newer UE’s can connect to the cell and take advantage of the higher transmit power, if available.</w:t>
      </w:r>
    </w:p>
    <w:p w14:paraId="368136C3" w14:textId="425E5972" w:rsidR="009F21BC" w:rsidRDefault="009F21BC" w:rsidP="004E0B2A">
      <w:pPr>
        <w:pStyle w:val="ListParagraph"/>
        <w:ind w:left="0"/>
        <w:rPr>
          <w:lang w:val="en-US"/>
        </w:rPr>
      </w:pPr>
    </w:p>
    <w:p w14:paraId="389A3B90" w14:textId="1AD5E936" w:rsidR="009F21BC" w:rsidRDefault="009F21BC" w:rsidP="00180631">
      <w:pPr>
        <w:pStyle w:val="ListParagraph"/>
        <w:ind w:left="0"/>
        <w:rPr>
          <w:lang w:val="en-US"/>
        </w:rPr>
      </w:pPr>
      <w:r>
        <w:rPr>
          <w:lang w:val="en-US"/>
        </w:rPr>
        <w:t>The future requirement is not yet known and 3GPP does not generally define specifications until regulatory requirements are known with certainty (in fact, it was agreed that the technical work for this band could not be started until regulations were finalized for at least one country).  Moreover, the ECC decision implies that a future modi</w:t>
      </w:r>
      <w:r w:rsidR="00EF4263">
        <w:rPr>
          <w:lang w:val="en-US"/>
        </w:rPr>
        <w:t>fi</w:t>
      </w:r>
      <w:r>
        <w:rPr>
          <w:lang w:val="en-US"/>
        </w:rPr>
        <w:t xml:space="preserve">cation of the requirement is likely to be a relaxation; hence, there is no risk that legacy UE’s meeting -45 dBm/MHz will </w:t>
      </w:r>
      <w:r w:rsidRPr="00180631">
        <w:rPr>
          <w:lang w:val="en-US"/>
        </w:rPr>
        <w:t xml:space="preserve">generate more interference than allowed by the new requirement.  Lastly, the potential benefit in adopting the new requirement in the ability to transmit with higher power </w:t>
      </w:r>
      <w:r w:rsidR="00180631" w:rsidRPr="00180631">
        <w:rPr>
          <w:lang w:val="en-US"/>
        </w:rPr>
        <w:t xml:space="preserve">should be quantified by A-MPR study with the actual benefit highly dependent upon the particular PA implementation.  </w:t>
      </w:r>
      <w:r w:rsidR="00677165" w:rsidRPr="00180631">
        <w:rPr>
          <w:lang w:val="en-US"/>
        </w:rPr>
        <w:t>Any benefit of being able to use a lower cost filter to meet the relaxed ASE is also dubious since legacy UE’s will not be able to change hardware front-end circuitry.  Therefore, it is proposed to adopt option 1 above.</w:t>
      </w:r>
    </w:p>
    <w:p w14:paraId="69A37C39" w14:textId="77777777" w:rsidR="009F21BC" w:rsidRDefault="009F21BC" w:rsidP="004E0B2A">
      <w:pPr>
        <w:pStyle w:val="ListParagraph"/>
        <w:ind w:left="0"/>
        <w:rPr>
          <w:lang w:val="en-US"/>
        </w:rPr>
      </w:pPr>
    </w:p>
    <w:p w14:paraId="76B1B737" w14:textId="351D5EB4" w:rsidR="009F21BC" w:rsidRPr="00677165" w:rsidRDefault="009F21BC" w:rsidP="004E0B2A">
      <w:pPr>
        <w:pStyle w:val="ListParagraph"/>
        <w:ind w:left="0"/>
        <w:rPr>
          <w:b/>
          <w:bCs/>
          <w:lang w:val="en-US"/>
        </w:rPr>
      </w:pPr>
      <w:r w:rsidRPr="00677165">
        <w:rPr>
          <w:b/>
          <w:bCs/>
          <w:lang w:val="en-US"/>
        </w:rPr>
        <w:t xml:space="preserve">Proposal:  Adopt option 1 whereby only the known requirement of -45 dBm/MHz additional spurious emission for VLP is adopted today.  If the requirement is modified in the future, specification changes can be </w:t>
      </w:r>
      <w:r w:rsidR="00677165" w:rsidRPr="00677165">
        <w:rPr>
          <w:b/>
          <w:bCs/>
          <w:lang w:val="en-US"/>
        </w:rPr>
        <w:t>evaluated</w:t>
      </w:r>
      <w:r w:rsidRPr="00677165">
        <w:rPr>
          <w:b/>
          <w:bCs/>
          <w:lang w:val="en-US"/>
        </w:rPr>
        <w:t xml:space="preserve"> at that time </w:t>
      </w:r>
      <w:r w:rsidR="00677165" w:rsidRPr="00677165">
        <w:rPr>
          <w:b/>
          <w:bCs/>
          <w:lang w:val="en-US"/>
        </w:rPr>
        <w:t>after</w:t>
      </w:r>
      <w:r w:rsidRPr="00677165">
        <w:rPr>
          <w:b/>
          <w:bCs/>
          <w:lang w:val="en-US"/>
        </w:rPr>
        <w:t xml:space="preserve"> there is certainty</w:t>
      </w:r>
      <w:r w:rsidR="00677165" w:rsidRPr="00677165">
        <w:rPr>
          <w:b/>
          <w:bCs/>
          <w:lang w:val="en-US"/>
        </w:rPr>
        <w:t xml:space="preserve"> in the requirement</w:t>
      </w:r>
      <w:r w:rsidRPr="00677165">
        <w:rPr>
          <w:b/>
          <w:bCs/>
          <w:lang w:val="en-US"/>
        </w:rPr>
        <w:t>.</w:t>
      </w:r>
    </w:p>
    <w:p w14:paraId="007E2192" w14:textId="6A2984D1" w:rsidR="00F73E24" w:rsidRDefault="00F73E24" w:rsidP="00F73E24">
      <w:pPr>
        <w:pStyle w:val="Heading2"/>
        <w:rPr>
          <w:lang w:val="en-US"/>
        </w:rPr>
      </w:pPr>
      <w:r>
        <w:rPr>
          <w:lang w:val="en-US"/>
        </w:rPr>
        <w:t>Channel access</w:t>
      </w:r>
    </w:p>
    <w:p w14:paraId="55D92E73" w14:textId="539E79C1" w:rsidR="00F73E24" w:rsidRDefault="00F73E24" w:rsidP="00F73E24">
      <w:pPr>
        <w:rPr>
          <w:lang w:val="en-US"/>
        </w:rPr>
      </w:pPr>
      <w:r>
        <w:rPr>
          <w:lang w:val="en-US"/>
        </w:rPr>
        <w:t>NR-U incorporates listen-before-talk (LBT) channel access which fulfills the ECC requirement “</w:t>
      </w:r>
      <w:r w:rsidRPr="001735A3">
        <w:rPr>
          <w:lang w:val="en-US"/>
        </w:rPr>
        <w:t>An adequate spectrum sharing mechanism shall be implemented.</w:t>
      </w:r>
      <w:r>
        <w:rPr>
          <w:lang w:val="en-US"/>
        </w:rPr>
        <w:t>”</w:t>
      </w:r>
    </w:p>
    <w:p w14:paraId="12211E51" w14:textId="216FC865" w:rsidR="00F73E24" w:rsidRDefault="00F73E24" w:rsidP="00F73E24">
      <w:pPr>
        <w:pStyle w:val="Heading2"/>
        <w:rPr>
          <w:lang w:val="en-US"/>
        </w:rPr>
      </w:pPr>
      <w:r>
        <w:rPr>
          <w:lang w:val="en-US"/>
        </w:rPr>
        <w:t>Narrowband usage</w:t>
      </w:r>
    </w:p>
    <w:p w14:paraId="586793AC" w14:textId="5CEC8291" w:rsidR="00D2775C" w:rsidRPr="00D2775C" w:rsidRDefault="00D2775C" w:rsidP="00D2775C">
      <w:pPr>
        <w:rPr>
          <w:lang w:val="en-US"/>
        </w:rPr>
      </w:pPr>
      <w:r>
        <w:rPr>
          <w:lang w:val="en-US"/>
        </w:rPr>
        <w:t xml:space="preserve">The ECC decision allows a higher PSD (10 dBm/MHz compared to 1 dBm/MHz) for VLP operating in a channel smaller than 20 MHz when frequency hopping with at least 15 hop channels is employed.  The ECC decision does not provide details on the required hopping dwell time, hop frequency span, etc.  Presumably, LBT </w:t>
      </w:r>
      <w:r w:rsidR="00623CCC">
        <w:rPr>
          <w:lang w:val="en-US"/>
        </w:rPr>
        <w:t>could be avoided</w:t>
      </w:r>
      <w:r>
        <w:rPr>
          <w:lang w:val="en-US"/>
        </w:rPr>
        <w:t xml:space="preserve"> for </w:t>
      </w:r>
      <w:r>
        <w:rPr>
          <w:lang w:val="en-US"/>
        </w:rPr>
        <w:lastRenderedPageBreak/>
        <w:t xml:space="preserve">narrowband usage since the frequency hopping itself </w:t>
      </w:r>
      <w:r w:rsidR="00623CCC">
        <w:rPr>
          <w:lang w:val="en-US"/>
        </w:rPr>
        <w:t>might</w:t>
      </w:r>
      <w:r>
        <w:rPr>
          <w:lang w:val="en-US"/>
        </w:rPr>
        <w:t xml:space="preserve"> be regarded as a spectrum sharing mechanism. </w:t>
      </w:r>
      <w:r w:rsidR="00623CCC">
        <w:rPr>
          <w:lang w:val="en-US"/>
        </w:rPr>
        <w:t xml:space="preserve"> </w:t>
      </w:r>
      <w:r>
        <w:rPr>
          <w:lang w:val="en-US"/>
        </w:rPr>
        <w:t xml:space="preserve">Nonetheless, NR-U is not currently designed with such mechanisms in place and channel bandwidths are envisioned to be 20 MHz and larger.  Therefore, the allowance of higher PSD for narrowband usage is not </w:t>
      </w:r>
      <w:r w:rsidR="00623CCC">
        <w:rPr>
          <w:lang w:val="en-US"/>
        </w:rPr>
        <w:t xml:space="preserve">expected to be </w:t>
      </w:r>
      <w:r>
        <w:rPr>
          <w:lang w:val="en-US"/>
        </w:rPr>
        <w:t>available for NR-U.</w:t>
      </w:r>
    </w:p>
    <w:p w14:paraId="5F769428" w14:textId="6EAD2D9B" w:rsidR="00F73E24" w:rsidRDefault="00F73E24" w:rsidP="00F73E24">
      <w:pPr>
        <w:pStyle w:val="Heading2"/>
        <w:rPr>
          <w:lang w:val="en-US"/>
        </w:rPr>
      </w:pPr>
      <w:r>
        <w:rPr>
          <w:lang w:val="en-US"/>
        </w:rPr>
        <w:t>A-MPR assumptions</w:t>
      </w:r>
    </w:p>
    <w:p w14:paraId="1446D249" w14:textId="55AC4786" w:rsidR="007D7E70" w:rsidRDefault="007D7E70" w:rsidP="00F73E24">
      <w:pPr>
        <w:rPr>
          <w:lang w:val="en-US"/>
        </w:rPr>
      </w:pPr>
      <w:r w:rsidRPr="007D7E70">
        <w:rPr>
          <w:lang w:val="en-US"/>
        </w:rPr>
        <w:t>A-MPR</w:t>
      </w:r>
      <w:r>
        <w:rPr>
          <w:lang w:val="en-US"/>
        </w:rPr>
        <w:t xml:space="preserve"> is anticipated for this band.  </w:t>
      </w:r>
      <w:r w:rsidR="00180631">
        <w:rPr>
          <w:lang w:val="en-US"/>
        </w:rPr>
        <w:t xml:space="preserve">An emission requirement of -22 dBm/MHz for LPI or -45 dBm/MHz for VLP applies 10 MHz below the lower band edge.  Compared to an in-band PSD of 10 dBm/MHz and 1 dBm/MHz, respectively, the required attenuation is 32 dB and 46 dB.  It is expected that channels near the low edge of the band will require A-MPR to meet these emission requirements.  In conducting the A-MPR studies, it is proposed that filter attenuation is not assumed at 10 MHz offset.  At relatively small offset, the filter rejection is not expected to be significant.  Moreover, it is likely that the filter may be shared between this band and other 6 GHz bands, namely Band n96.  </w:t>
      </w:r>
      <w:r w:rsidR="00075AFE">
        <w:rPr>
          <w:lang w:val="en-US"/>
        </w:rPr>
        <w:t xml:space="preserve">The emission requirement for this band at 5935 MHz lies within the passband of the Band n96 filter, so no rejection will be available.  For the </w:t>
      </w:r>
      <w:r w:rsidR="00C54901">
        <w:rPr>
          <w:lang w:val="en-US"/>
        </w:rPr>
        <w:t xml:space="preserve">PC5 </w:t>
      </w:r>
      <w:r w:rsidR="00075AFE">
        <w:rPr>
          <w:lang w:val="en-US"/>
        </w:rPr>
        <w:t>PA model, it is proposed to reuse the same PA model and calibration setpoint as for agreed for Band n96 [</w:t>
      </w:r>
      <w:r w:rsidR="00C54901">
        <w:rPr>
          <w:lang w:val="en-US"/>
        </w:rPr>
        <w:t>4</w:t>
      </w:r>
      <w:r w:rsidR="00075AFE">
        <w:rPr>
          <w:lang w:val="en-US"/>
        </w:rPr>
        <w:t>].</w:t>
      </w:r>
      <w:r w:rsidR="00F80953">
        <w:rPr>
          <w:lang w:val="en-US"/>
        </w:rPr>
        <w:t xml:space="preserve">  For PC3 and for VLP, the PA model should be discussed.  Especially for VLP, it should be discussed whether a new PA model should be assumed or whether a single device should be allowed to support both LPI and VLP with the same PA, but with reduced power and lower efficiency at VLP power levels.  Alternatively, a purpose-built PA for VLP may also be considered for higher power efficiency and longer battery life, but probably requiring more power backoff to meet emissions since it will be operating near saturation.</w:t>
      </w:r>
    </w:p>
    <w:p w14:paraId="0120439F" w14:textId="5B2DD782" w:rsidR="00075AFE" w:rsidRPr="00075AFE" w:rsidRDefault="00075AFE" w:rsidP="00F73E24">
      <w:pPr>
        <w:rPr>
          <w:b/>
          <w:bCs/>
          <w:lang w:val="en-US"/>
        </w:rPr>
      </w:pPr>
      <w:r w:rsidRPr="00075AFE">
        <w:rPr>
          <w:b/>
          <w:bCs/>
          <w:lang w:val="en-US"/>
        </w:rPr>
        <w:t>Proposal:  Filter rejection is not assumed in deriving A-MPR to meet the spurious emission requirement at 5935 MHz.</w:t>
      </w:r>
    </w:p>
    <w:p w14:paraId="08B18B45" w14:textId="3F5BA0B2" w:rsidR="00075AFE" w:rsidRDefault="00075AFE" w:rsidP="00F73E24">
      <w:pPr>
        <w:rPr>
          <w:b/>
          <w:bCs/>
          <w:lang w:val="en-US"/>
        </w:rPr>
      </w:pPr>
      <w:r w:rsidRPr="00075AFE">
        <w:rPr>
          <w:b/>
          <w:bCs/>
          <w:lang w:val="en-US"/>
        </w:rPr>
        <w:t xml:space="preserve">Proposal:  The same PA model and calibration setpoint from Band n96 studies is used in the evaluation of </w:t>
      </w:r>
      <w:r>
        <w:rPr>
          <w:b/>
          <w:bCs/>
          <w:lang w:val="en-US"/>
        </w:rPr>
        <w:t xml:space="preserve">A-MPR for </w:t>
      </w:r>
      <w:r w:rsidRPr="00075AFE">
        <w:rPr>
          <w:b/>
          <w:bCs/>
          <w:lang w:val="en-US"/>
        </w:rPr>
        <w:t>this band</w:t>
      </w:r>
      <w:r w:rsidR="00F80953">
        <w:rPr>
          <w:b/>
          <w:bCs/>
          <w:lang w:val="en-US"/>
        </w:rPr>
        <w:t xml:space="preserve"> for PC5</w:t>
      </w:r>
      <w:r w:rsidRPr="00075AFE">
        <w:rPr>
          <w:b/>
          <w:bCs/>
          <w:lang w:val="en-US"/>
        </w:rPr>
        <w:t>.</w:t>
      </w:r>
      <w:r w:rsidR="00F80953">
        <w:rPr>
          <w:b/>
          <w:bCs/>
          <w:lang w:val="en-US"/>
        </w:rPr>
        <w:t xml:space="preserve">  PA model for other power classes to be further discussed.</w:t>
      </w:r>
    </w:p>
    <w:p w14:paraId="4A8B0EAB" w14:textId="6FC3550A" w:rsidR="000234BB" w:rsidRPr="000234BB" w:rsidRDefault="000234BB" w:rsidP="00F73E24">
      <w:pPr>
        <w:rPr>
          <w:lang w:val="en-US"/>
        </w:rPr>
      </w:pPr>
      <w:r>
        <w:rPr>
          <w:lang w:val="en-US"/>
        </w:rPr>
        <w:t>Simulation results were not available at the time of this writing and will be presented in future contributions.</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7CC3A0D" w14:textId="1520A632" w:rsidR="00075AFE" w:rsidRDefault="00FA01C7" w:rsidP="00A0551F">
      <w:pPr>
        <w:rPr>
          <w:lang w:val="en-US"/>
        </w:rPr>
      </w:pPr>
      <w:r>
        <w:rPr>
          <w:lang w:val="en-US"/>
        </w:rPr>
        <w:t xml:space="preserve">This contribution </w:t>
      </w:r>
      <w:r w:rsidR="00984DF4">
        <w:rPr>
          <w:lang w:val="en-US"/>
        </w:rPr>
        <w:t>summarizes the</w:t>
      </w:r>
      <w:r w:rsidR="00075AFE">
        <w:rPr>
          <w:lang w:val="en-US"/>
        </w:rPr>
        <w:t xml:space="preserve"> UE RF requirements needed to meet the ECC decision for the 6 GHz unlicensed band in Europe.  The proposals provided in this contribution are summarized below.</w:t>
      </w:r>
      <w:r w:rsidR="00C54901">
        <w:rPr>
          <w:lang w:val="en-US"/>
        </w:rPr>
        <w:t xml:space="preserve">  The contribution describes the definition of a new band for this spectrum, but another possibility is to enhance the existing Band n96.  In either case, the following principles and proposals equally apply.</w:t>
      </w:r>
    </w:p>
    <w:p w14:paraId="694DCC41" w14:textId="77777777" w:rsidR="00075AFE" w:rsidRPr="00B35A09" w:rsidRDefault="00075AFE" w:rsidP="00075AFE">
      <w:pPr>
        <w:rPr>
          <w:b/>
          <w:bCs/>
          <w:lang w:val="en-US"/>
        </w:rPr>
      </w:pPr>
      <w:r w:rsidRPr="00B35A09">
        <w:rPr>
          <w:b/>
          <w:bCs/>
          <w:lang w:val="en-US"/>
        </w:rPr>
        <w:t xml:space="preserve">Proposal:  It is proposed to define two NS values for the new band:  NS_XX for LPI and NS_YY for VLP.  </w:t>
      </w:r>
    </w:p>
    <w:p w14:paraId="1F76AEEB" w14:textId="3D912F85" w:rsidR="00075AFE" w:rsidRDefault="00075AFE" w:rsidP="00075AFE">
      <w:pPr>
        <w:rPr>
          <w:b/>
          <w:bCs/>
          <w:lang w:val="en-US"/>
        </w:rPr>
      </w:pPr>
      <w:r w:rsidRPr="00F73E24">
        <w:rPr>
          <w:b/>
          <w:bCs/>
          <w:lang w:val="en-US"/>
        </w:rPr>
        <w:t>Proposal:  0 dBi antenna gain is assumed for the purpose of deriving 3GPP specifications</w:t>
      </w:r>
      <w:r>
        <w:rPr>
          <w:b/>
          <w:bCs/>
          <w:lang w:val="en-US"/>
        </w:rPr>
        <w:t xml:space="preserve"> on MOP, PSD, and ASE</w:t>
      </w:r>
      <w:r w:rsidRPr="00F73E24">
        <w:rPr>
          <w:b/>
          <w:bCs/>
          <w:lang w:val="en-US"/>
        </w:rPr>
        <w:t>.</w:t>
      </w:r>
    </w:p>
    <w:p w14:paraId="6C7052C9" w14:textId="77777777" w:rsidR="00075AFE" w:rsidRPr="00677165" w:rsidRDefault="00075AFE" w:rsidP="00075AFE">
      <w:pPr>
        <w:pStyle w:val="ListParagraph"/>
        <w:ind w:left="0"/>
        <w:rPr>
          <w:b/>
          <w:bCs/>
          <w:lang w:val="en-US"/>
        </w:rPr>
      </w:pPr>
      <w:r w:rsidRPr="00677165">
        <w:rPr>
          <w:b/>
          <w:bCs/>
          <w:lang w:val="en-US"/>
        </w:rPr>
        <w:t>Proposal:  Adopt option 1 whereby only the known requirement of -45 dBm/MHz additional spurious emission for VLP is adopted today.  If the requirement is modified in the future, specification changes can be evaluated at that time after there is certainty in the requirement.</w:t>
      </w:r>
    </w:p>
    <w:p w14:paraId="5BDFF5A6" w14:textId="77777777" w:rsidR="00075AFE" w:rsidRPr="00075AFE" w:rsidRDefault="00075AFE" w:rsidP="00075AFE">
      <w:pPr>
        <w:rPr>
          <w:b/>
          <w:bCs/>
          <w:lang w:val="en-US"/>
        </w:rPr>
      </w:pPr>
      <w:r w:rsidRPr="00075AFE">
        <w:rPr>
          <w:b/>
          <w:bCs/>
          <w:lang w:val="en-US"/>
        </w:rPr>
        <w:t>Proposal:  Filter rejection is not assumed in deriving A-MPR to meet the spurious emission requirement at 5935 MHz.</w:t>
      </w:r>
    </w:p>
    <w:p w14:paraId="017A3928" w14:textId="77777777" w:rsidR="00F80953" w:rsidRDefault="00F80953" w:rsidP="00F80953">
      <w:pPr>
        <w:rPr>
          <w:b/>
          <w:bCs/>
          <w:lang w:val="en-US"/>
        </w:rPr>
      </w:pPr>
      <w:r w:rsidRPr="00075AFE">
        <w:rPr>
          <w:b/>
          <w:bCs/>
          <w:lang w:val="en-US"/>
        </w:rPr>
        <w:t xml:space="preserve">Proposal:  The same PA model and calibration setpoint from Band n96 studies is used in the evaluation of </w:t>
      </w:r>
      <w:r>
        <w:rPr>
          <w:b/>
          <w:bCs/>
          <w:lang w:val="en-US"/>
        </w:rPr>
        <w:t xml:space="preserve">A-MPR for </w:t>
      </w:r>
      <w:r w:rsidRPr="00075AFE">
        <w:rPr>
          <w:b/>
          <w:bCs/>
          <w:lang w:val="en-US"/>
        </w:rPr>
        <w:t>this band</w:t>
      </w:r>
      <w:r>
        <w:rPr>
          <w:b/>
          <w:bCs/>
          <w:lang w:val="en-US"/>
        </w:rPr>
        <w:t xml:space="preserve"> for PC5</w:t>
      </w:r>
      <w:r w:rsidRPr="00075AFE">
        <w:rPr>
          <w:b/>
          <w:bCs/>
          <w:lang w:val="en-US"/>
        </w:rPr>
        <w:t>.</w:t>
      </w:r>
      <w:r>
        <w:rPr>
          <w:b/>
          <w:bCs/>
          <w:lang w:val="en-US"/>
        </w:rPr>
        <w:t xml:space="preserve">  PA model for other power classes to be further discussed.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9FF990C" w14:textId="4D9F37AD" w:rsidR="00EA27DA" w:rsidRDefault="00EA27DA" w:rsidP="001219FC">
      <w:pPr>
        <w:numPr>
          <w:ilvl w:val="0"/>
          <w:numId w:val="2"/>
        </w:numPr>
        <w:tabs>
          <w:tab w:val="left" w:pos="1080"/>
        </w:tabs>
        <w:rPr>
          <w:lang w:val="en-US" w:eastAsia="x-none"/>
        </w:rPr>
      </w:pPr>
      <w:bookmarkStart w:id="1" w:name="_Hlk859252"/>
      <w:r>
        <w:rPr>
          <w:lang w:val="en-US" w:eastAsia="x-none"/>
        </w:rPr>
        <w:t>ECC Decision (20)01</w:t>
      </w:r>
      <w:r w:rsidR="00483E05">
        <w:rPr>
          <w:lang w:val="en-US" w:eastAsia="x-none"/>
        </w:rPr>
        <w:t>,</w:t>
      </w:r>
      <w:bookmarkEnd w:id="1"/>
      <w:r>
        <w:rPr>
          <w:lang w:val="en-US" w:eastAsia="x-none"/>
        </w:rPr>
        <w:t xml:space="preserve">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0FCAC9BC" w14:textId="037F08B9" w:rsidR="00483E05" w:rsidRDefault="00C54901" w:rsidP="001219FC">
      <w:pPr>
        <w:numPr>
          <w:ilvl w:val="0"/>
          <w:numId w:val="2"/>
        </w:numPr>
        <w:tabs>
          <w:tab w:val="left" w:pos="1080"/>
        </w:tabs>
        <w:rPr>
          <w:lang w:val="en-US" w:eastAsia="x-none"/>
        </w:rPr>
      </w:pPr>
      <w:r>
        <w:rPr>
          <w:lang w:val="en-US" w:eastAsia="x-none"/>
        </w:rPr>
        <w:t>RP-202592, “WID on introduction of lower 6GHz NR unlicensed operation for Europe,” Nokia, Nokia Shanghai Bell</w:t>
      </w:r>
    </w:p>
    <w:p w14:paraId="3B7E4267" w14:textId="3D6C3F63" w:rsidR="00C54901" w:rsidRDefault="00C54901" w:rsidP="001219FC">
      <w:pPr>
        <w:numPr>
          <w:ilvl w:val="0"/>
          <w:numId w:val="2"/>
        </w:numPr>
        <w:tabs>
          <w:tab w:val="left" w:pos="1080"/>
        </w:tabs>
        <w:rPr>
          <w:lang w:val="en-US" w:eastAsia="x-none"/>
        </w:rPr>
      </w:pPr>
      <w:r>
        <w:rPr>
          <w:lang w:val="en-US" w:eastAsia="x-none"/>
        </w:rPr>
        <w:t>R4-2017837, “Removal of square brackets for 38.101-1 NR-U,” Qualcomm Incorporated</w:t>
      </w:r>
    </w:p>
    <w:p w14:paraId="356FBD9D" w14:textId="77777777" w:rsidR="00C54901" w:rsidRDefault="00C54901" w:rsidP="00C54901">
      <w:pPr>
        <w:numPr>
          <w:ilvl w:val="0"/>
          <w:numId w:val="2"/>
        </w:numPr>
        <w:tabs>
          <w:tab w:val="left" w:pos="1080"/>
        </w:tabs>
        <w:rPr>
          <w:lang w:val="en-US" w:eastAsia="x-none"/>
        </w:rPr>
      </w:pPr>
      <w:r>
        <w:rPr>
          <w:lang w:val="en-US" w:eastAsia="x-none"/>
        </w:rPr>
        <w:t>R4-2005221, “WF on NR-U UE Tx Requirement,” Skyworks Solutions, Inc., Nokia, Ericsson</w:t>
      </w:r>
    </w:p>
    <w:p w14:paraId="7CC89101" w14:textId="77777777" w:rsidR="00C54901" w:rsidRDefault="00C54901" w:rsidP="00C54901">
      <w:pPr>
        <w:tabs>
          <w:tab w:val="left" w:pos="1080"/>
        </w:tabs>
        <w:ind w:left="720"/>
        <w:rPr>
          <w:lang w:val="en-US" w:eastAsia="x-none"/>
        </w:rPr>
      </w:pPr>
    </w:p>
    <w:sectPr w:rsidR="00C5490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A074C" w14:textId="77777777" w:rsidR="005C13C8" w:rsidRDefault="005C13C8">
      <w:r>
        <w:separator/>
      </w:r>
    </w:p>
  </w:endnote>
  <w:endnote w:type="continuationSeparator" w:id="0">
    <w:p w14:paraId="725D4EE8" w14:textId="77777777" w:rsidR="005C13C8" w:rsidRDefault="005C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CD1EB" w14:textId="77777777" w:rsidR="005C13C8" w:rsidRDefault="005C13C8">
      <w:r>
        <w:separator/>
      </w:r>
    </w:p>
  </w:footnote>
  <w:footnote w:type="continuationSeparator" w:id="0">
    <w:p w14:paraId="1643BF46" w14:textId="77777777" w:rsidR="005C13C8" w:rsidRDefault="005C1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19"/>
  </w:num>
  <w:num w:numId="5">
    <w:abstractNumId w:val="15"/>
  </w:num>
  <w:num w:numId="6">
    <w:abstractNumId w:val="5"/>
  </w:num>
  <w:num w:numId="7">
    <w:abstractNumId w:val="1"/>
  </w:num>
  <w:num w:numId="8">
    <w:abstractNumId w:val="17"/>
  </w:num>
  <w:num w:numId="9">
    <w:abstractNumId w:val="6"/>
  </w:num>
  <w:num w:numId="10">
    <w:abstractNumId w:val="13"/>
  </w:num>
  <w:num w:numId="11">
    <w:abstractNumId w:val="21"/>
  </w:num>
  <w:num w:numId="12">
    <w:abstractNumId w:val="4"/>
  </w:num>
  <w:num w:numId="13">
    <w:abstractNumId w:val="12"/>
  </w:num>
  <w:num w:numId="14">
    <w:abstractNumId w:val="2"/>
  </w:num>
  <w:num w:numId="15">
    <w:abstractNumId w:val="11"/>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4BB"/>
    <w:rsid w:val="000237A1"/>
    <w:rsid w:val="000246F5"/>
    <w:rsid w:val="000248EA"/>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2DD7"/>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2F"/>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41ED"/>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B2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3C8"/>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1EC"/>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A41"/>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B5B"/>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061"/>
    <w:rsid w:val="00AF2A89"/>
    <w:rsid w:val="00AF37CB"/>
    <w:rsid w:val="00AF3988"/>
    <w:rsid w:val="00AF4983"/>
    <w:rsid w:val="00AF4A1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0E1D"/>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01"/>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915"/>
    <w:rsid w:val="00E95B39"/>
    <w:rsid w:val="00E95C6B"/>
    <w:rsid w:val="00E96A09"/>
    <w:rsid w:val="00E96E7D"/>
    <w:rsid w:val="00E974EB"/>
    <w:rsid w:val="00E9766A"/>
    <w:rsid w:val="00E978BC"/>
    <w:rsid w:val="00EA06F1"/>
    <w:rsid w:val="00EA1781"/>
    <w:rsid w:val="00EA1929"/>
    <w:rsid w:val="00EA22B3"/>
    <w:rsid w:val="00EA27DA"/>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1E7E"/>
    <w:rsid w:val="00EF261A"/>
    <w:rsid w:val="00EF2E5C"/>
    <w:rsid w:val="00EF33ED"/>
    <w:rsid w:val="00EF366C"/>
    <w:rsid w:val="00EF40A5"/>
    <w:rsid w:val="00EF4263"/>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953"/>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CDCF9-5A21-4E97-865D-40765570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2241</Words>
  <Characters>12778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2021-01-15T17:15:00Z</dcterms:created>
  <dcterms:modified xsi:type="dcterms:W3CDTF">2021-01-15T17:15:00Z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