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53F42" w14:textId="1ACC2E31" w:rsidR="00F714A7" w:rsidRPr="00714064" w:rsidRDefault="00F714A7" w:rsidP="00F714A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w:t>
      </w:r>
      <w:r>
        <w:rPr>
          <w:rFonts w:ascii="Arial" w:hAnsi="Arial" w:cs="Arial"/>
          <w:b/>
          <w:sz w:val="24"/>
          <w:szCs w:val="24"/>
          <w:lang w:val="en-US"/>
        </w:rPr>
        <w:t>6</w:t>
      </w:r>
      <w:r w:rsidRPr="00714064">
        <w:rPr>
          <w:rFonts w:ascii="Arial" w:hAnsi="Arial" w:cs="Arial"/>
          <w:b/>
          <w:sz w:val="24"/>
          <w:szCs w:val="24"/>
          <w:lang w:val="en-US"/>
        </w:rPr>
        <w:t>-e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2C3930" w:rsidRPr="002C3930">
        <w:rPr>
          <w:rFonts w:ascii="Arial" w:hAnsi="Arial" w:cs="Arial"/>
          <w:b/>
          <w:sz w:val="24"/>
          <w:szCs w:val="24"/>
          <w:lang w:val="en-US"/>
        </w:rPr>
        <w:t>R4-2011083</w:t>
      </w:r>
      <w:bookmarkStart w:id="2" w:name="_GoBack"/>
      <w:bookmarkEnd w:id="2"/>
    </w:p>
    <w:p w14:paraId="55489AE5" w14:textId="77777777" w:rsidR="00F714A7" w:rsidRPr="00714064" w:rsidRDefault="00F714A7" w:rsidP="00F714A7">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 xml:space="preserve">Electronic Meeting, </w:t>
      </w:r>
      <w:r>
        <w:rPr>
          <w:rFonts w:ascii="Arial" w:eastAsia="宋体" w:hAnsi="Arial"/>
          <w:b/>
          <w:sz w:val="24"/>
          <w:szCs w:val="24"/>
          <w:lang w:val="en-US" w:eastAsia="zh-CN"/>
        </w:rPr>
        <w:t>17</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Pr>
          <w:rFonts w:ascii="Arial" w:eastAsia="宋体" w:hAnsi="Arial"/>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Pr>
          <w:rFonts w:ascii="Arial" w:eastAsia="宋体" w:hAnsi="Arial"/>
          <w:b/>
          <w:sz w:val="24"/>
          <w:szCs w:val="24"/>
          <w:lang w:val="en-US" w:eastAsia="zh-CN"/>
        </w:rPr>
        <w:t>28</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sidRPr="00714064">
        <w:rPr>
          <w:rFonts w:ascii="Arial" w:eastAsia="宋体" w:hAnsi="Arial"/>
          <w:b/>
          <w:sz w:val="24"/>
          <w:szCs w:val="24"/>
          <w:lang w:val="en-US" w:eastAsia="zh-CN"/>
        </w:rPr>
        <w:t>, 2020</w:t>
      </w:r>
    </w:p>
    <w:p w14:paraId="63686C3E" w14:textId="77777777" w:rsidR="00DF0231" w:rsidRPr="00F714A7" w:rsidRDefault="00DF0231" w:rsidP="00DF0231">
      <w:pPr>
        <w:pStyle w:val="a3"/>
        <w:rPr>
          <w:rFonts w:eastAsia="宋体"/>
          <w:noProof w:val="0"/>
          <w:sz w:val="24"/>
          <w:szCs w:val="24"/>
          <w:lang w:eastAsia="zh-CN"/>
        </w:rPr>
      </w:pP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60D8C64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06B71">
        <w:rPr>
          <w:rFonts w:ascii="Arial" w:hAnsi="Arial"/>
          <w:sz w:val="24"/>
          <w:lang w:val="en-US"/>
        </w:rPr>
        <w:t>7.1.5.</w:t>
      </w:r>
      <w:r w:rsidR="000121CC">
        <w:rPr>
          <w:rFonts w:ascii="Arial" w:hAnsi="Arial"/>
          <w:sz w:val="24"/>
          <w:lang w:val="en-US"/>
        </w:rPr>
        <w:t>10</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5D4C045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53A4A" w:rsidRPr="00D53A4A">
        <w:rPr>
          <w:rFonts w:ascii="Arial" w:hAnsi="Arial"/>
          <w:sz w:val="24"/>
          <w:lang w:val="en-US"/>
        </w:rPr>
        <w:t xml:space="preserve">Discussion on </w:t>
      </w:r>
      <w:r w:rsidR="00F15C9D" w:rsidRPr="00F15C9D">
        <w:rPr>
          <w:rFonts w:ascii="Arial" w:hAnsi="Arial" w:hint="eastAsia"/>
          <w:sz w:val="24"/>
          <w:lang w:val="en-US"/>
        </w:rPr>
        <w:t>measurement</w:t>
      </w:r>
      <w:r w:rsidR="00D53A4A" w:rsidRPr="00D53A4A">
        <w:rPr>
          <w:rFonts w:ascii="Arial" w:hAnsi="Arial"/>
          <w:sz w:val="24"/>
          <w:lang w:val="en-US"/>
        </w:rPr>
        <w:t xml:space="preserve"> for NR-U</w:t>
      </w:r>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ED3D701" w14:textId="77777777" w:rsidR="00DF0231" w:rsidRPr="002D2977" w:rsidRDefault="00DF0231" w:rsidP="00DF0231">
      <w:pPr>
        <w:pStyle w:val="1"/>
        <w:numPr>
          <w:ilvl w:val="0"/>
          <w:numId w:val="1"/>
        </w:numPr>
        <w:rPr>
          <w:lang w:val="en-US"/>
        </w:rPr>
      </w:pPr>
      <w:r w:rsidRPr="002D2977">
        <w:rPr>
          <w:lang w:val="en-US"/>
        </w:rPr>
        <w:t>Introduction</w:t>
      </w:r>
    </w:p>
    <w:p w14:paraId="5AC28BFD" w14:textId="68A79A24" w:rsidR="00E775B2" w:rsidRDefault="00F10653" w:rsidP="00DF0231">
      <w:pPr>
        <w:rPr>
          <w:rFonts w:eastAsiaTheme="minorEastAsia"/>
          <w:lang w:val="en-US" w:eastAsia="zh-CN"/>
        </w:rPr>
      </w:pPr>
      <w:r>
        <w:rPr>
          <w:rFonts w:eastAsiaTheme="minorEastAsia"/>
          <w:lang w:val="en-US" w:eastAsia="zh-CN"/>
        </w:rPr>
        <w:t>In last RAN</w:t>
      </w:r>
      <w:r w:rsidR="003139FE">
        <w:rPr>
          <w:rFonts w:eastAsiaTheme="minorEastAsia"/>
          <w:lang w:val="en-US" w:eastAsia="zh-CN"/>
        </w:rPr>
        <w:t>#9</w:t>
      </w:r>
      <w:r w:rsidR="00F714A7">
        <w:rPr>
          <w:rFonts w:eastAsiaTheme="minorEastAsia"/>
          <w:lang w:val="en-US" w:eastAsia="zh-CN"/>
        </w:rPr>
        <w:t>5e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the RRM requirements</w:t>
      </w:r>
      <w:r w:rsidR="00E775B2">
        <w:rPr>
          <w:rFonts w:eastAsiaTheme="minorEastAsia"/>
          <w:lang w:val="en-US" w:eastAsia="zh-CN"/>
        </w:rPr>
        <w:t xml:space="preserve"> for </w:t>
      </w:r>
      <w:r w:rsidR="00F15C9D">
        <w:rPr>
          <w:rFonts w:eastAsiaTheme="minorEastAsia" w:hint="eastAsia"/>
          <w:lang w:val="en-US" w:eastAsia="zh-CN"/>
        </w:rPr>
        <w:t>measurement</w:t>
      </w:r>
      <w:r w:rsidR="00D53A4A">
        <w:rPr>
          <w:rFonts w:eastAsiaTheme="minorEastAsia"/>
          <w:lang w:val="en-US" w:eastAsia="zh-CN"/>
        </w:rPr>
        <w:t xml:space="preserve"> in NR-U</w:t>
      </w:r>
      <w:r w:rsidR="00E775B2">
        <w:rPr>
          <w:rFonts w:eastAsiaTheme="minorEastAsia"/>
          <w:lang w:val="en-US" w:eastAsia="zh-CN"/>
        </w:rPr>
        <w:t xml:space="preserve"> were discussed</w:t>
      </w:r>
      <w:r w:rsidR="00D53A4A">
        <w:rPr>
          <w:rFonts w:eastAsiaTheme="minorEastAsia"/>
          <w:lang w:val="en-US" w:eastAsia="zh-CN"/>
        </w:rPr>
        <w:t xml:space="preserve"> with agreements captured in</w:t>
      </w:r>
      <w:r w:rsidR="00FD345B">
        <w:rPr>
          <w:rFonts w:eastAsiaTheme="minorEastAsia"/>
          <w:lang w:val="en-US" w:eastAsia="zh-CN"/>
        </w:rPr>
        <w:t xml:space="preserve"> [1]</w:t>
      </w:r>
      <w:r w:rsidR="00E775B2">
        <w:rPr>
          <w:rFonts w:eastAsiaTheme="minorEastAsia"/>
          <w:lang w:val="en-US" w:eastAsia="zh-CN"/>
        </w:rPr>
        <w:t>. In this paper, we further present our views on the remaining issue</w:t>
      </w:r>
      <w:r w:rsidR="00D53A4A">
        <w:rPr>
          <w:rFonts w:eastAsiaTheme="minorEastAsia"/>
          <w:lang w:val="en-US" w:eastAsia="zh-CN"/>
        </w:rPr>
        <w:t>s</w:t>
      </w:r>
      <w:r w:rsidR="00E775B2">
        <w:rPr>
          <w:rFonts w:eastAsiaTheme="minorEastAsia"/>
          <w:lang w:val="en-US" w:eastAsia="zh-CN"/>
        </w:rPr>
        <w:t>.</w:t>
      </w:r>
      <w:r w:rsidR="007200C7">
        <w:rPr>
          <w:rFonts w:eastAsiaTheme="minorEastAsia"/>
          <w:lang w:val="en-US" w:eastAsia="zh-CN"/>
        </w:rPr>
        <w:t xml:space="preserve"> </w:t>
      </w:r>
    </w:p>
    <w:p w14:paraId="6D78271B" w14:textId="77777777" w:rsidR="00DF0231" w:rsidRDefault="00DF0231" w:rsidP="00DF0231">
      <w:pPr>
        <w:pStyle w:val="1"/>
        <w:numPr>
          <w:ilvl w:val="0"/>
          <w:numId w:val="1"/>
        </w:numPr>
        <w:rPr>
          <w:lang w:val="en-US"/>
        </w:rPr>
      </w:pPr>
      <w:r w:rsidRPr="002D2977">
        <w:rPr>
          <w:lang w:val="en-US"/>
        </w:rPr>
        <w:t>Discussion</w:t>
      </w:r>
    </w:p>
    <w:p w14:paraId="06613949" w14:textId="66D4E3F2" w:rsidR="008215C5" w:rsidRPr="008215C5" w:rsidRDefault="008215C5" w:rsidP="008215C5">
      <w:pPr>
        <w:pStyle w:val="2"/>
        <w:rPr>
          <w:lang w:val="en-US" w:eastAsia="zh-CN"/>
        </w:rPr>
      </w:pPr>
      <w:r>
        <w:rPr>
          <w:rFonts w:hint="eastAsia"/>
          <w:lang w:val="en-US" w:eastAsia="zh-CN"/>
        </w:rPr>
        <w:t>I</w:t>
      </w:r>
      <w:r>
        <w:rPr>
          <w:lang w:val="en-US" w:eastAsia="zh-CN"/>
        </w:rPr>
        <w:t>ntra-frequency and inter-frequency measurement</w:t>
      </w:r>
    </w:p>
    <w:p w14:paraId="58863B41" w14:textId="53711B34" w:rsidR="00D53A4A" w:rsidRDefault="00C42942" w:rsidP="00D53A4A">
      <w:pPr>
        <w:rPr>
          <w:rFonts w:eastAsiaTheme="minorEastAsia"/>
          <w:lang w:val="en-US" w:eastAsia="zh-CN"/>
        </w:rPr>
      </w:pPr>
      <w:r>
        <w:rPr>
          <w:rFonts w:eastAsiaTheme="minorEastAsia"/>
          <w:lang w:val="en-US" w:eastAsia="zh-CN"/>
        </w:rPr>
        <w:t xml:space="preserve">Based on the discussion in the last RAN4#95e meeting, </w:t>
      </w:r>
      <w:r w:rsidR="00D53A4A">
        <w:rPr>
          <w:rFonts w:eastAsiaTheme="minorEastAsia"/>
          <w:lang w:val="en-US" w:eastAsia="zh-CN"/>
        </w:rPr>
        <w:t>the agreements and remaining issues are listed as follows:</w:t>
      </w:r>
    </w:p>
    <w:tbl>
      <w:tblPr>
        <w:tblStyle w:val="a7"/>
        <w:tblW w:w="0" w:type="auto"/>
        <w:tblLook w:val="04A0" w:firstRow="1" w:lastRow="0" w:firstColumn="1" w:lastColumn="0" w:noHBand="0" w:noVBand="1"/>
      </w:tblPr>
      <w:tblGrid>
        <w:gridCol w:w="9562"/>
      </w:tblGrid>
      <w:tr w:rsidR="00D53A4A" w14:paraId="7A71782E" w14:textId="77777777" w:rsidTr="00D53A4A">
        <w:tc>
          <w:tcPr>
            <w:tcW w:w="9562" w:type="dxa"/>
          </w:tcPr>
          <w:p w14:paraId="22704F60" w14:textId="77777777" w:rsidR="00FC2E44" w:rsidRPr="00F15C9D" w:rsidRDefault="00E83537" w:rsidP="00F15C9D">
            <w:pPr>
              <w:numPr>
                <w:ilvl w:val="0"/>
                <w:numId w:val="27"/>
              </w:numPr>
              <w:overflowPunct w:val="0"/>
              <w:spacing w:after="0"/>
              <w:rPr>
                <w:rFonts w:eastAsia="宋体"/>
                <w:sz w:val="22"/>
                <w:szCs w:val="22"/>
                <w:lang w:val="en-US" w:eastAsia="zh-CN"/>
              </w:rPr>
            </w:pPr>
            <w:r w:rsidRPr="00F15C9D">
              <w:rPr>
                <w:rFonts w:eastAsia="宋体"/>
                <w:b/>
                <w:bCs/>
                <w:i/>
                <w:iCs/>
                <w:sz w:val="22"/>
                <w:szCs w:val="22"/>
                <w:lang w:val="en-US" w:eastAsia="zh-CN"/>
              </w:rPr>
              <w:t xml:space="preserve">Issue 2-3-1: </w:t>
            </w:r>
            <w:r w:rsidRPr="00F15C9D">
              <w:rPr>
                <w:rFonts w:eastAsia="宋体"/>
                <w:b/>
                <w:bCs/>
                <w:i/>
                <w:iCs/>
                <w:sz w:val="22"/>
                <w:szCs w:val="22"/>
                <w:lang w:eastAsia="zh-CN"/>
              </w:rPr>
              <w:t>Assumption of Q in PBCH reading</w:t>
            </w:r>
          </w:p>
          <w:p w14:paraId="49A1E6DF" w14:textId="77777777" w:rsidR="00FC2E44" w:rsidRPr="00F15C9D" w:rsidRDefault="00E83537" w:rsidP="00F15C9D">
            <w:pPr>
              <w:numPr>
                <w:ilvl w:val="0"/>
                <w:numId w:val="27"/>
              </w:numPr>
              <w:overflowPunct w:val="0"/>
              <w:spacing w:after="0"/>
              <w:rPr>
                <w:rFonts w:eastAsia="宋体"/>
                <w:sz w:val="22"/>
                <w:szCs w:val="22"/>
                <w:lang w:val="en-US" w:eastAsia="zh-CN"/>
              </w:rPr>
            </w:pPr>
            <w:r w:rsidRPr="00F15C9D">
              <w:rPr>
                <w:rFonts w:eastAsia="宋体"/>
                <w:i/>
                <w:iCs/>
                <w:sz w:val="22"/>
                <w:szCs w:val="22"/>
                <w:u w:val="single"/>
                <w:lang w:val="en-US" w:eastAsia="zh-CN"/>
              </w:rPr>
              <w:t>Except for initial access</w:t>
            </w:r>
            <w:r w:rsidRPr="00F15C9D">
              <w:rPr>
                <w:rFonts w:eastAsia="宋体"/>
                <w:i/>
                <w:iCs/>
                <w:sz w:val="22"/>
                <w:szCs w:val="22"/>
                <w:lang w:val="en-US" w:eastAsia="zh-CN"/>
              </w:rPr>
              <w:t>, Q can be assumed to be always known at the UE</w:t>
            </w:r>
          </w:p>
          <w:p w14:paraId="39D98846" w14:textId="77777777" w:rsidR="00FC2E44" w:rsidRPr="00F15C9D" w:rsidRDefault="00E83537" w:rsidP="00F15C9D">
            <w:pPr>
              <w:numPr>
                <w:ilvl w:val="0"/>
                <w:numId w:val="27"/>
              </w:numPr>
              <w:overflowPunct w:val="0"/>
              <w:spacing w:after="0"/>
              <w:rPr>
                <w:rFonts w:eastAsia="宋体"/>
                <w:sz w:val="22"/>
                <w:szCs w:val="22"/>
                <w:lang w:val="en-US" w:eastAsia="zh-CN"/>
              </w:rPr>
            </w:pPr>
            <w:r w:rsidRPr="00F15C9D">
              <w:rPr>
                <w:rFonts w:eastAsia="宋体"/>
                <w:b/>
                <w:bCs/>
                <w:i/>
                <w:iCs/>
                <w:sz w:val="22"/>
                <w:szCs w:val="22"/>
                <w:lang w:val="en-US" w:eastAsia="zh-CN"/>
              </w:rPr>
              <w:t>Issue 2-4-1: To d</w:t>
            </w:r>
            <w:r w:rsidRPr="00F15C9D">
              <w:rPr>
                <w:rFonts w:eastAsia="宋体"/>
                <w:b/>
                <w:bCs/>
                <w:i/>
                <w:iCs/>
                <w:sz w:val="22"/>
                <w:szCs w:val="22"/>
                <w:lang w:eastAsia="zh-CN"/>
              </w:rPr>
              <w:t>efine scheduling restrictions during SS-RSRP, SS-SINR and SS-RSRQ measurement</w:t>
            </w:r>
          </w:p>
          <w:p w14:paraId="694DB90C" w14:textId="77777777" w:rsidR="00FC2E44" w:rsidRPr="00F15C9D" w:rsidRDefault="00E83537" w:rsidP="00F15C9D">
            <w:pPr>
              <w:numPr>
                <w:ilvl w:val="0"/>
                <w:numId w:val="27"/>
              </w:numPr>
              <w:overflowPunct w:val="0"/>
              <w:spacing w:after="0"/>
              <w:rPr>
                <w:rFonts w:eastAsia="宋体"/>
                <w:sz w:val="22"/>
                <w:szCs w:val="22"/>
                <w:lang w:val="en-US" w:eastAsia="zh-CN"/>
              </w:rPr>
            </w:pPr>
            <w:r w:rsidRPr="00F15C9D">
              <w:rPr>
                <w:rFonts w:eastAsia="宋体"/>
                <w:sz w:val="22"/>
                <w:szCs w:val="22"/>
                <w:lang w:eastAsia="zh-CN"/>
              </w:rPr>
              <w:t>RAN4 to define scheduling restrictions during SS-RSRP, SS-SINR and SS-RSRQ measurements in NR-U</w:t>
            </w:r>
          </w:p>
          <w:p w14:paraId="5D10A1CC" w14:textId="77777777" w:rsidR="00FC2E44" w:rsidRPr="00F15C9D" w:rsidRDefault="00E83537" w:rsidP="00F15C9D">
            <w:pPr>
              <w:numPr>
                <w:ilvl w:val="0"/>
                <w:numId w:val="27"/>
              </w:numPr>
              <w:overflowPunct w:val="0"/>
              <w:spacing w:after="0"/>
              <w:rPr>
                <w:rFonts w:eastAsia="宋体"/>
                <w:sz w:val="22"/>
                <w:szCs w:val="22"/>
                <w:lang w:val="en-US" w:eastAsia="zh-CN"/>
              </w:rPr>
            </w:pPr>
            <w:r w:rsidRPr="00F15C9D">
              <w:rPr>
                <w:rFonts w:eastAsia="宋体"/>
                <w:b/>
                <w:bCs/>
                <w:i/>
                <w:iCs/>
                <w:sz w:val="22"/>
                <w:szCs w:val="22"/>
                <w:lang w:val="en-US" w:eastAsia="zh-CN"/>
              </w:rPr>
              <w:t>Issue 2-1-2: Value of N</w:t>
            </w:r>
          </w:p>
          <w:p w14:paraId="621BF995" w14:textId="77777777" w:rsidR="00FC2E44" w:rsidRPr="00F15C9D" w:rsidRDefault="00E83537" w:rsidP="00F15C9D">
            <w:pPr>
              <w:numPr>
                <w:ilvl w:val="0"/>
                <w:numId w:val="27"/>
              </w:numPr>
              <w:overflowPunct w:val="0"/>
              <w:spacing w:after="0"/>
              <w:rPr>
                <w:rFonts w:eastAsia="宋体"/>
                <w:sz w:val="22"/>
                <w:szCs w:val="22"/>
                <w:lang w:val="en-US" w:eastAsia="zh-CN"/>
              </w:rPr>
            </w:pPr>
            <w:r w:rsidRPr="00F15C9D">
              <w:rPr>
                <w:rFonts w:eastAsia="宋体"/>
                <w:i/>
                <w:iCs/>
                <w:sz w:val="22"/>
                <w:szCs w:val="22"/>
                <w:lang w:val="en-US" w:eastAsia="zh-CN"/>
              </w:rPr>
              <w:t>N is not specified explicitly but determined by the existing procedures, e.g., the UE can reattempt the measurements until the earlier agreed 8 seconds limit (during which the undetectable cell can remain known) expires</w:t>
            </w:r>
          </w:p>
          <w:p w14:paraId="30C24DE2" w14:textId="77777777" w:rsidR="00FC2E44" w:rsidRPr="00F15C9D" w:rsidRDefault="00E83537" w:rsidP="00F15C9D">
            <w:pPr>
              <w:numPr>
                <w:ilvl w:val="0"/>
                <w:numId w:val="27"/>
              </w:numPr>
              <w:overflowPunct w:val="0"/>
              <w:spacing w:after="0"/>
              <w:rPr>
                <w:rFonts w:eastAsia="宋体"/>
                <w:sz w:val="22"/>
                <w:szCs w:val="22"/>
                <w:lang w:val="en-US" w:eastAsia="zh-CN"/>
              </w:rPr>
            </w:pPr>
            <w:r w:rsidRPr="00F15C9D">
              <w:rPr>
                <w:rFonts w:eastAsia="宋体"/>
                <w:b/>
                <w:bCs/>
                <w:i/>
                <w:iCs/>
                <w:sz w:val="22"/>
                <w:szCs w:val="22"/>
                <w:lang w:val="en-US" w:eastAsia="zh-CN"/>
              </w:rPr>
              <w:t>Issue 2-4-3: Different scheduling restriction when deriveSSB_IndexFromCell is enabled, or not enabled, during SS-RSRQ measurements.</w:t>
            </w:r>
          </w:p>
          <w:p w14:paraId="2932B391" w14:textId="77777777" w:rsidR="00FC2E44" w:rsidRPr="00F15C9D" w:rsidRDefault="00E83537" w:rsidP="00F15C9D">
            <w:pPr>
              <w:numPr>
                <w:ilvl w:val="0"/>
                <w:numId w:val="27"/>
              </w:numPr>
              <w:overflowPunct w:val="0"/>
              <w:spacing w:after="0"/>
              <w:rPr>
                <w:rFonts w:eastAsia="宋体"/>
                <w:sz w:val="22"/>
                <w:szCs w:val="22"/>
                <w:lang w:val="en-US" w:eastAsia="zh-CN"/>
              </w:rPr>
            </w:pPr>
            <w:r w:rsidRPr="00F15C9D">
              <w:rPr>
                <w:rFonts w:eastAsia="宋体"/>
                <w:b/>
                <w:bCs/>
                <w:i/>
                <w:iCs/>
                <w:sz w:val="22"/>
                <w:szCs w:val="22"/>
                <w:lang w:val="en-US" w:eastAsia="zh-CN"/>
              </w:rPr>
              <w:t>Issue 2-4-4:Different scheduling restriction when deriveSSB_IndexFromCell is enabled during SS-RSRP and SS-SINR measurements</w:t>
            </w:r>
          </w:p>
          <w:p w14:paraId="191F7AB3" w14:textId="77777777" w:rsidR="00FC2E44" w:rsidRPr="00F15C9D" w:rsidRDefault="00E83537" w:rsidP="00F15C9D">
            <w:pPr>
              <w:numPr>
                <w:ilvl w:val="1"/>
                <w:numId w:val="27"/>
              </w:numPr>
              <w:overflowPunct w:val="0"/>
              <w:spacing w:after="0"/>
              <w:rPr>
                <w:rFonts w:eastAsia="宋体"/>
                <w:sz w:val="22"/>
                <w:szCs w:val="22"/>
                <w:lang w:val="en-US" w:eastAsia="zh-CN"/>
              </w:rPr>
            </w:pPr>
            <w:r w:rsidRPr="00F15C9D">
              <w:rPr>
                <w:rFonts w:eastAsia="宋体"/>
                <w:i/>
                <w:iCs/>
                <w:sz w:val="22"/>
                <w:szCs w:val="22"/>
                <w:lang w:val="en-US" w:eastAsia="zh-CN"/>
              </w:rPr>
              <w:t>In NR-U, scheduling restriction should depend on the signaling of deriveSSB_IndexFromCell.</w:t>
            </w:r>
          </w:p>
          <w:p w14:paraId="7BA0BE5F" w14:textId="77777777" w:rsidR="00FC2E44" w:rsidRPr="00F15C9D" w:rsidRDefault="00E83537" w:rsidP="00F15C9D">
            <w:pPr>
              <w:numPr>
                <w:ilvl w:val="0"/>
                <w:numId w:val="27"/>
              </w:numPr>
              <w:overflowPunct w:val="0"/>
              <w:spacing w:after="0"/>
              <w:rPr>
                <w:rFonts w:eastAsia="宋体"/>
                <w:sz w:val="22"/>
                <w:szCs w:val="22"/>
                <w:lang w:val="en-US" w:eastAsia="zh-CN"/>
              </w:rPr>
            </w:pPr>
            <w:r w:rsidRPr="00F15C9D">
              <w:rPr>
                <w:rFonts w:eastAsia="宋体"/>
                <w:b/>
                <w:bCs/>
                <w:i/>
                <w:iCs/>
                <w:sz w:val="22"/>
                <w:szCs w:val="22"/>
                <w:lang w:val="en-US" w:eastAsia="zh-CN"/>
              </w:rPr>
              <w:t>Issue 2-4-5: Scheduling restriction of UE performing measurements with a different subcarrier spacing than PDSCH/PDCCH.</w:t>
            </w:r>
          </w:p>
          <w:p w14:paraId="60B44556" w14:textId="77777777" w:rsidR="00FC2E44" w:rsidRPr="00F15C9D" w:rsidRDefault="00E83537" w:rsidP="00F15C9D">
            <w:pPr>
              <w:numPr>
                <w:ilvl w:val="1"/>
                <w:numId w:val="27"/>
              </w:numPr>
              <w:overflowPunct w:val="0"/>
              <w:spacing w:after="0"/>
              <w:rPr>
                <w:rFonts w:eastAsia="宋体"/>
                <w:sz w:val="22"/>
                <w:szCs w:val="22"/>
                <w:lang w:val="en-US" w:eastAsia="zh-CN"/>
              </w:rPr>
            </w:pPr>
            <w:r w:rsidRPr="00F15C9D">
              <w:rPr>
                <w:rFonts w:eastAsia="宋体"/>
                <w:i/>
                <w:iCs/>
                <w:sz w:val="22"/>
                <w:szCs w:val="22"/>
                <w:lang w:val="en-US" w:eastAsia="zh-CN"/>
              </w:rPr>
              <w:t>In NR-U, the scheduling restriction of UE performing measurements with a different subcarrier spacing than PDSCH/PDCCH (clause 9.2.5.3.2 in TS 38.133) is applicable.</w:t>
            </w:r>
          </w:p>
          <w:p w14:paraId="7ED4D3C6" w14:textId="77777777" w:rsidR="00FC2E44" w:rsidRPr="00F15C9D" w:rsidRDefault="00E83537" w:rsidP="00F15C9D">
            <w:pPr>
              <w:numPr>
                <w:ilvl w:val="1"/>
                <w:numId w:val="27"/>
              </w:numPr>
              <w:overflowPunct w:val="0"/>
              <w:spacing w:after="0"/>
              <w:rPr>
                <w:rFonts w:eastAsia="宋体"/>
                <w:sz w:val="22"/>
                <w:szCs w:val="22"/>
                <w:lang w:val="en-US" w:eastAsia="zh-CN"/>
              </w:rPr>
            </w:pPr>
            <w:r w:rsidRPr="00F15C9D">
              <w:rPr>
                <w:rFonts w:eastAsia="宋体"/>
                <w:i/>
                <w:iCs/>
                <w:sz w:val="22"/>
                <w:szCs w:val="22"/>
                <w:lang w:val="en-US" w:eastAsia="zh-CN"/>
              </w:rPr>
              <w:t>FFS: scheduling restriction to intra-band and inter-band CA.</w:t>
            </w:r>
          </w:p>
          <w:p w14:paraId="0E05DCB6" w14:textId="77777777" w:rsidR="00D53A4A" w:rsidRDefault="00F15C9D" w:rsidP="00F15C9D">
            <w:pPr>
              <w:overflowPunct w:val="0"/>
              <w:spacing w:after="0"/>
              <w:rPr>
                <w:rFonts w:eastAsia="宋体"/>
                <w:sz w:val="22"/>
                <w:szCs w:val="22"/>
                <w:lang w:val="en-US" w:eastAsia="zh-CN"/>
              </w:rPr>
            </w:pPr>
            <w:r w:rsidRPr="00F15C9D">
              <w:rPr>
                <w:rFonts w:eastAsia="宋体"/>
                <w:sz w:val="22"/>
                <w:szCs w:val="22"/>
                <w:lang w:val="en-US" w:eastAsia="zh-CN"/>
              </w:rPr>
              <w:t>Issues FFS</w:t>
            </w:r>
          </w:p>
          <w:p w14:paraId="1F875F87" w14:textId="77777777" w:rsidR="00FC2E44" w:rsidRPr="00F15C9D" w:rsidRDefault="00E83537" w:rsidP="00F15C9D">
            <w:pPr>
              <w:numPr>
                <w:ilvl w:val="0"/>
                <w:numId w:val="27"/>
              </w:numPr>
              <w:overflowPunct w:val="0"/>
              <w:spacing w:after="0"/>
              <w:rPr>
                <w:rFonts w:eastAsia="宋体"/>
                <w:sz w:val="22"/>
                <w:szCs w:val="22"/>
                <w:lang w:val="en-US" w:eastAsia="zh-CN"/>
              </w:rPr>
            </w:pPr>
            <w:r w:rsidRPr="00F15C9D">
              <w:rPr>
                <w:rFonts w:eastAsia="宋体"/>
                <w:b/>
                <w:bCs/>
                <w:i/>
                <w:iCs/>
                <w:sz w:val="22"/>
                <w:szCs w:val="22"/>
                <w:lang w:val="en-US" w:eastAsia="zh-CN"/>
              </w:rPr>
              <w:t>Issue 2-1-1: UE behaviour in case of successively exceeding the maximum number of DL LBT failure during measurements</w:t>
            </w:r>
          </w:p>
          <w:p w14:paraId="27687ABD" w14:textId="77777777" w:rsidR="00FC2E44" w:rsidRPr="00F15C9D" w:rsidRDefault="00E83537" w:rsidP="00F15C9D">
            <w:pPr>
              <w:numPr>
                <w:ilvl w:val="0"/>
                <w:numId w:val="27"/>
              </w:numPr>
              <w:overflowPunct w:val="0"/>
              <w:spacing w:after="0"/>
              <w:rPr>
                <w:rFonts w:eastAsia="宋体"/>
                <w:sz w:val="22"/>
                <w:szCs w:val="22"/>
                <w:lang w:val="en-US" w:eastAsia="zh-CN"/>
              </w:rPr>
            </w:pPr>
            <w:r w:rsidRPr="00F15C9D">
              <w:rPr>
                <w:rFonts w:eastAsia="宋体"/>
                <w:i/>
                <w:iCs/>
                <w:sz w:val="22"/>
                <w:szCs w:val="22"/>
                <w:lang w:val="en-US" w:eastAsia="zh-CN"/>
              </w:rPr>
              <w:t xml:space="preserve">After N unsuccessful measurement attempts of an already identified cell due to exceeding the max number of unavailable SMTC occasions, UE shall stop the measurement attempts on this SSB. </w:t>
            </w:r>
          </w:p>
          <w:p w14:paraId="6E395D14" w14:textId="77777777" w:rsidR="00FC2E44" w:rsidRPr="00F15C9D" w:rsidRDefault="00E83537" w:rsidP="00F15C9D">
            <w:pPr>
              <w:numPr>
                <w:ilvl w:val="1"/>
                <w:numId w:val="27"/>
              </w:numPr>
              <w:overflowPunct w:val="0"/>
              <w:spacing w:after="0"/>
              <w:rPr>
                <w:rFonts w:eastAsia="宋体"/>
                <w:sz w:val="22"/>
                <w:szCs w:val="22"/>
                <w:lang w:val="en-US" w:eastAsia="zh-CN"/>
              </w:rPr>
            </w:pPr>
            <w:r w:rsidRPr="00F15C9D">
              <w:rPr>
                <w:rFonts w:eastAsia="宋体"/>
                <w:i/>
                <w:iCs/>
                <w:sz w:val="22"/>
                <w:szCs w:val="22"/>
                <w:lang w:val="en-US" w:eastAsia="zh-CN"/>
              </w:rPr>
              <w:t>The UE cannot measure this SSB again without first detecting it.</w:t>
            </w:r>
          </w:p>
          <w:p w14:paraId="29B4BFDA" w14:textId="77777777" w:rsidR="00FC2E44" w:rsidRPr="00F15C9D" w:rsidRDefault="00E83537" w:rsidP="00F15C9D">
            <w:pPr>
              <w:numPr>
                <w:ilvl w:val="1"/>
                <w:numId w:val="27"/>
              </w:numPr>
              <w:overflowPunct w:val="0"/>
              <w:spacing w:after="0"/>
              <w:rPr>
                <w:rFonts w:eastAsia="宋体"/>
                <w:sz w:val="22"/>
                <w:szCs w:val="22"/>
                <w:lang w:val="en-US" w:eastAsia="zh-CN"/>
              </w:rPr>
            </w:pPr>
            <w:r w:rsidRPr="00F15C9D">
              <w:rPr>
                <w:rFonts w:eastAsia="宋体"/>
                <w:i/>
                <w:iCs/>
                <w:sz w:val="22"/>
                <w:szCs w:val="22"/>
                <w:lang w:val="en-US" w:eastAsia="zh-CN"/>
              </w:rPr>
              <w:t>FFS: whether UE shall restart directly from detection stage again for this SSB or the UE performs the detection procedure like for any other SSB.</w:t>
            </w:r>
          </w:p>
          <w:p w14:paraId="126979BE" w14:textId="77777777" w:rsidR="00FC2E44" w:rsidRPr="00F15C9D" w:rsidRDefault="00E83537" w:rsidP="00F15C9D">
            <w:pPr>
              <w:numPr>
                <w:ilvl w:val="0"/>
                <w:numId w:val="27"/>
              </w:numPr>
              <w:overflowPunct w:val="0"/>
              <w:spacing w:after="0"/>
              <w:rPr>
                <w:rFonts w:eastAsia="宋体"/>
                <w:sz w:val="22"/>
                <w:szCs w:val="22"/>
                <w:lang w:val="en-US" w:eastAsia="zh-CN"/>
              </w:rPr>
            </w:pPr>
            <w:r w:rsidRPr="00F15C9D">
              <w:rPr>
                <w:rFonts w:eastAsia="宋体"/>
                <w:b/>
                <w:bCs/>
                <w:i/>
                <w:iCs/>
                <w:sz w:val="22"/>
                <w:szCs w:val="22"/>
                <w:lang w:val="en-US" w:eastAsia="zh-CN"/>
              </w:rPr>
              <w:lastRenderedPageBreak/>
              <w:t xml:space="preserve">Issue 2-2-1: </w:t>
            </w:r>
            <w:r w:rsidRPr="00F15C9D">
              <w:rPr>
                <w:rFonts w:eastAsia="宋体"/>
                <w:b/>
                <w:bCs/>
                <w:i/>
                <w:iCs/>
                <w:sz w:val="22"/>
                <w:szCs w:val="22"/>
                <w:lang w:eastAsia="zh-CN"/>
              </w:rPr>
              <w:t>UE behaviour in RRC_CONNECTED mode when the serving cell is unavailable for consecutive SSB bursts</w:t>
            </w:r>
          </w:p>
          <w:p w14:paraId="737028FE" w14:textId="77777777" w:rsidR="00FC2E44" w:rsidRPr="00F15C9D" w:rsidRDefault="00E83537" w:rsidP="00F15C9D">
            <w:pPr>
              <w:numPr>
                <w:ilvl w:val="0"/>
                <w:numId w:val="27"/>
              </w:numPr>
              <w:overflowPunct w:val="0"/>
              <w:spacing w:after="0"/>
              <w:rPr>
                <w:rFonts w:eastAsia="宋体"/>
                <w:sz w:val="22"/>
                <w:szCs w:val="22"/>
                <w:lang w:val="en-US" w:eastAsia="zh-CN"/>
              </w:rPr>
            </w:pPr>
            <w:r w:rsidRPr="00F15C9D">
              <w:rPr>
                <w:rFonts w:eastAsia="宋体"/>
                <w:i/>
                <w:iCs/>
                <w:sz w:val="22"/>
                <w:szCs w:val="22"/>
                <w:lang w:val="en-US" w:eastAsia="zh-CN"/>
              </w:rPr>
              <w:t>Candidate options:</w:t>
            </w:r>
          </w:p>
          <w:p w14:paraId="30E1873E" w14:textId="77777777" w:rsidR="00FC2E44" w:rsidRPr="00F15C9D" w:rsidRDefault="00E83537" w:rsidP="00F15C9D">
            <w:pPr>
              <w:numPr>
                <w:ilvl w:val="1"/>
                <w:numId w:val="27"/>
              </w:numPr>
              <w:overflowPunct w:val="0"/>
              <w:spacing w:after="0"/>
              <w:rPr>
                <w:rFonts w:eastAsia="宋体"/>
                <w:sz w:val="22"/>
                <w:szCs w:val="22"/>
                <w:lang w:val="en-US" w:eastAsia="zh-CN"/>
              </w:rPr>
            </w:pPr>
            <w:r w:rsidRPr="00F15C9D">
              <w:rPr>
                <w:rFonts w:eastAsia="宋体"/>
                <w:i/>
                <w:iCs/>
                <w:sz w:val="22"/>
                <w:szCs w:val="22"/>
                <w:lang w:val="en-US" w:eastAsia="zh-CN"/>
              </w:rPr>
              <w:t>Option 1: UE shall initiate measurements on neighbour cells indicated by the serving cell if it is unable to measure the serving cell for consecutive SSB bursts.</w:t>
            </w:r>
          </w:p>
          <w:p w14:paraId="570E2FD0" w14:textId="77777777" w:rsidR="00FC2E44" w:rsidRPr="00F15C9D" w:rsidRDefault="00E83537" w:rsidP="00F15C9D">
            <w:pPr>
              <w:numPr>
                <w:ilvl w:val="1"/>
                <w:numId w:val="27"/>
              </w:numPr>
              <w:overflowPunct w:val="0"/>
              <w:spacing w:after="0"/>
              <w:rPr>
                <w:rFonts w:eastAsia="宋体"/>
                <w:sz w:val="22"/>
                <w:szCs w:val="22"/>
                <w:lang w:val="en-US" w:eastAsia="zh-CN"/>
              </w:rPr>
            </w:pPr>
            <w:r w:rsidRPr="00F15C9D">
              <w:rPr>
                <w:rFonts w:eastAsia="宋体"/>
                <w:i/>
                <w:iCs/>
                <w:sz w:val="22"/>
                <w:szCs w:val="22"/>
                <w:lang w:val="en-US" w:eastAsia="zh-CN"/>
              </w:rPr>
              <w:t xml:space="preserve">Option 2: After no SSBs of a cell can be received during up to 8 seconds, the cell will not be considered as detectable and the Rel-15 UE behavior will apply. No other UE behavior or requirement on the consecutive SSBs in the serving cell is needed. </w:t>
            </w:r>
          </w:p>
          <w:p w14:paraId="2A88A830" w14:textId="77777777" w:rsidR="00FC2E44" w:rsidRPr="00F15C9D" w:rsidRDefault="00E83537" w:rsidP="00F15C9D">
            <w:pPr>
              <w:numPr>
                <w:ilvl w:val="0"/>
                <w:numId w:val="27"/>
              </w:numPr>
              <w:overflowPunct w:val="0"/>
              <w:spacing w:after="0"/>
              <w:rPr>
                <w:rFonts w:eastAsia="宋体"/>
                <w:sz w:val="22"/>
                <w:szCs w:val="22"/>
                <w:lang w:val="en-US" w:eastAsia="zh-CN"/>
              </w:rPr>
            </w:pPr>
            <w:r w:rsidRPr="00F15C9D">
              <w:rPr>
                <w:rFonts w:eastAsia="宋体"/>
                <w:b/>
                <w:bCs/>
                <w:i/>
                <w:iCs/>
                <w:sz w:val="22"/>
                <w:szCs w:val="22"/>
                <w:lang w:val="en-US" w:eastAsia="zh-CN"/>
              </w:rPr>
              <w:t>Issue 2-4-2: Applicability of the signaling of SMTC2 to NR-U</w:t>
            </w:r>
          </w:p>
          <w:p w14:paraId="57A90963" w14:textId="77777777" w:rsidR="00FC2E44" w:rsidRPr="00F15C9D" w:rsidRDefault="00E83537" w:rsidP="00F15C9D">
            <w:pPr>
              <w:numPr>
                <w:ilvl w:val="0"/>
                <w:numId w:val="27"/>
              </w:numPr>
              <w:overflowPunct w:val="0"/>
              <w:spacing w:after="0"/>
              <w:rPr>
                <w:rFonts w:eastAsia="宋体"/>
                <w:sz w:val="22"/>
                <w:szCs w:val="22"/>
                <w:lang w:val="en-US" w:eastAsia="zh-CN"/>
              </w:rPr>
            </w:pPr>
            <w:r w:rsidRPr="00F15C9D">
              <w:rPr>
                <w:rFonts w:eastAsia="宋体"/>
                <w:sz w:val="22"/>
                <w:szCs w:val="22"/>
                <w:lang w:eastAsia="zh-CN"/>
              </w:rPr>
              <w:t>Candidate Options</w:t>
            </w:r>
          </w:p>
          <w:p w14:paraId="0AD9ED8A" w14:textId="77777777" w:rsidR="00FC2E44" w:rsidRPr="00F15C9D" w:rsidRDefault="00E83537" w:rsidP="00F15C9D">
            <w:pPr>
              <w:numPr>
                <w:ilvl w:val="1"/>
                <w:numId w:val="27"/>
              </w:numPr>
              <w:overflowPunct w:val="0"/>
              <w:spacing w:after="0"/>
              <w:rPr>
                <w:rFonts w:eastAsia="宋体"/>
                <w:sz w:val="22"/>
                <w:szCs w:val="22"/>
                <w:lang w:val="en-US" w:eastAsia="zh-CN"/>
              </w:rPr>
            </w:pPr>
            <w:r w:rsidRPr="00F15C9D">
              <w:rPr>
                <w:rFonts w:eastAsia="宋体"/>
                <w:i/>
                <w:iCs/>
                <w:sz w:val="22"/>
                <w:szCs w:val="22"/>
                <w:lang w:val="en-US" w:eastAsia="zh-CN"/>
              </w:rPr>
              <w:t>Option 1: The signaling of smtc2 is not applicable in unlicensed band.</w:t>
            </w:r>
          </w:p>
          <w:p w14:paraId="657A810D" w14:textId="77777777" w:rsidR="00FC2E44" w:rsidRPr="00F15C9D" w:rsidRDefault="00E83537" w:rsidP="00F15C9D">
            <w:pPr>
              <w:numPr>
                <w:ilvl w:val="1"/>
                <w:numId w:val="27"/>
              </w:numPr>
              <w:overflowPunct w:val="0"/>
              <w:spacing w:after="0"/>
              <w:rPr>
                <w:rFonts w:eastAsia="宋体"/>
                <w:sz w:val="22"/>
                <w:szCs w:val="22"/>
                <w:lang w:val="en-US" w:eastAsia="zh-CN"/>
              </w:rPr>
            </w:pPr>
            <w:r w:rsidRPr="00F15C9D">
              <w:rPr>
                <w:rFonts w:eastAsia="宋体"/>
                <w:i/>
                <w:iCs/>
                <w:sz w:val="22"/>
                <w:szCs w:val="22"/>
                <w:lang w:val="en-US" w:eastAsia="zh-CN"/>
              </w:rPr>
              <w:t>Option 2:  Signaling of smtc2 is applicable to unlicensed band.</w:t>
            </w:r>
          </w:p>
          <w:p w14:paraId="27B5B939" w14:textId="77777777" w:rsidR="00FC2E44" w:rsidRPr="00F15C9D" w:rsidRDefault="00E83537" w:rsidP="00F15C9D">
            <w:pPr>
              <w:numPr>
                <w:ilvl w:val="1"/>
                <w:numId w:val="27"/>
              </w:numPr>
              <w:overflowPunct w:val="0"/>
              <w:spacing w:after="0"/>
              <w:rPr>
                <w:rFonts w:eastAsia="宋体"/>
                <w:sz w:val="22"/>
                <w:szCs w:val="22"/>
                <w:lang w:val="en-US" w:eastAsia="zh-CN"/>
              </w:rPr>
            </w:pPr>
            <w:r w:rsidRPr="00F15C9D">
              <w:rPr>
                <w:rFonts w:eastAsia="宋体"/>
                <w:i/>
                <w:iCs/>
                <w:sz w:val="22"/>
                <w:szCs w:val="22"/>
                <w:lang w:val="en-US" w:eastAsia="zh-CN"/>
              </w:rPr>
              <w:t>Option 3: Send a LS to RAN1/RAN2 about this issue.</w:t>
            </w:r>
          </w:p>
          <w:p w14:paraId="5304CE76" w14:textId="41C2B779" w:rsidR="00F15C9D" w:rsidRPr="00F15C9D" w:rsidRDefault="00F15C9D" w:rsidP="00F15C9D">
            <w:pPr>
              <w:overflowPunct w:val="0"/>
              <w:spacing w:after="0"/>
              <w:rPr>
                <w:rFonts w:ascii="宋体" w:eastAsia="宋体" w:hAnsi="宋体" w:cs="宋体"/>
                <w:sz w:val="22"/>
                <w:szCs w:val="22"/>
                <w:lang w:val="en-US" w:eastAsia="zh-CN"/>
              </w:rPr>
            </w:pPr>
          </w:p>
        </w:tc>
      </w:tr>
    </w:tbl>
    <w:p w14:paraId="352D87A9" w14:textId="77777777" w:rsidR="00D53A4A" w:rsidRDefault="00D53A4A" w:rsidP="00D53A4A">
      <w:pPr>
        <w:rPr>
          <w:rFonts w:eastAsiaTheme="minorEastAsia"/>
          <w:lang w:val="en-US" w:eastAsia="zh-CN"/>
        </w:rPr>
      </w:pPr>
    </w:p>
    <w:p w14:paraId="157FBFCA" w14:textId="730131E2" w:rsidR="00F15C9D" w:rsidRDefault="00F15C9D" w:rsidP="00520DD2">
      <w:pPr>
        <w:rPr>
          <w:rFonts w:eastAsiaTheme="minorEastAsia" w:cs="v4.2.0"/>
          <w:lang w:eastAsia="zh-CN"/>
        </w:rPr>
      </w:pPr>
      <w:r>
        <w:rPr>
          <w:rFonts w:eastAsiaTheme="minorEastAsia" w:cs="v4.2.0" w:hint="eastAsia"/>
          <w:lang w:eastAsia="zh-CN"/>
        </w:rPr>
        <w:t>O</w:t>
      </w:r>
      <w:r>
        <w:rPr>
          <w:rFonts w:eastAsiaTheme="minorEastAsia" w:cs="v4.2.0"/>
          <w:lang w:eastAsia="zh-CN"/>
        </w:rPr>
        <w:t xml:space="preserve">ne of the remaining issues is whether </w:t>
      </w:r>
      <w:r w:rsidRPr="00F15C9D">
        <w:rPr>
          <w:rFonts w:eastAsiaTheme="minorEastAsia" w:cs="v4.2.0"/>
          <w:lang w:eastAsia="zh-CN"/>
        </w:rPr>
        <w:t>UE shall restart directly from detection stage again for this SSB or the UE performs the detection p</w:t>
      </w:r>
      <w:r>
        <w:rPr>
          <w:rFonts w:eastAsiaTheme="minorEastAsia" w:cs="v4.2.0"/>
          <w:lang w:eastAsia="zh-CN"/>
        </w:rPr>
        <w:t xml:space="preserve">rocedure like for any other SSB </w:t>
      </w:r>
      <w:r w:rsidRPr="00F15C9D">
        <w:rPr>
          <w:rFonts w:eastAsiaTheme="minorEastAsia" w:cs="v4.2.0"/>
          <w:lang w:eastAsia="zh-CN"/>
        </w:rPr>
        <w:t>in case of successively exceeding the maximum number of DL LBT failure during measurements</w:t>
      </w:r>
      <w:r>
        <w:rPr>
          <w:rFonts w:eastAsiaTheme="minorEastAsia" w:cs="v4.2.0"/>
          <w:lang w:eastAsia="zh-CN"/>
        </w:rPr>
        <w:t>. To further clarify the UE’s behaviour, we present two options left for discussion:</w:t>
      </w:r>
    </w:p>
    <w:p w14:paraId="0FE3B366" w14:textId="3AEB730E" w:rsidR="00F15C9D" w:rsidRDefault="00F15C9D" w:rsidP="00520DD2">
      <w:pPr>
        <w:rPr>
          <w:rFonts w:eastAsiaTheme="minorEastAsia" w:cs="v4.2.0"/>
          <w:lang w:eastAsia="zh-CN"/>
        </w:rPr>
      </w:pPr>
      <w:r>
        <w:rPr>
          <w:rFonts w:eastAsiaTheme="minorEastAsia" w:cs="v4.2.0"/>
          <w:lang w:eastAsia="zh-CN"/>
        </w:rPr>
        <w:t>Upon successively exceeding the maximum number of DL LBT failure during measurement, UE shall:</w:t>
      </w:r>
    </w:p>
    <w:p w14:paraId="75A9C683" w14:textId="1B0B529B" w:rsidR="00F15C9D" w:rsidRDefault="00F15C9D" w:rsidP="00520DD2">
      <w:pPr>
        <w:rPr>
          <w:rFonts w:eastAsiaTheme="minorEastAsia" w:cs="v4.2.0"/>
          <w:lang w:eastAsia="zh-CN"/>
        </w:rPr>
      </w:pPr>
      <w:r>
        <w:rPr>
          <w:rFonts w:eastAsiaTheme="minorEastAsia" w:cs="v4.2.0"/>
          <w:lang w:eastAsia="zh-CN"/>
        </w:rPr>
        <w:t>Option 1: Restart from detection stage of this particular SSB</w:t>
      </w:r>
    </w:p>
    <w:p w14:paraId="1C6CC161" w14:textId="6152CCED" w:rsidR="00F15C9D" w:rsidRDefault="00F15C9D" w:rsidP="00520DD2">
      <w:pPr>
        <w:rPr>
          <w:rFonts w:eastAsiaTheme="minorEastAsia" w:cs="v4.2.0"/>
          <w:lang w:eastAsia="zh-CN"/>
        </w:rPr>
      </w:pPr>
      <w:r>
        <w:rPr>
          <w:rFonts w:eastAsiaTheme="minorEastAsia" w:cs="v4.2.0"/>
          <w:lang w:eastAsia="zh-CN"/>
        </w:rPr>
        <w:t>Option 2: Restart from detection stage like for any other SSBs.</w:t>
      </w:r>
    </w:p>
    <w:p w14:paraId="382AC168" w14:textId="7051F5D5" w:rsidR="00F15C9D" w:rsidRDefault="00F15C9D" w:rsidP="00520DD2">
      <w:pPr>
        <w:rPr>
          <w:rFonts w:eastAsiaTheme="minorEastAsia" w:cs="v4.2.0"/>
          <w:lang w:eastAsia="zh-CN"/>
        </w:rPr>
      </w:pPr>
      <w:r>
        <w:rPr>
          <w:rFonts w:eastAsiaTheme="minorEastAsia" w:cs="v4.2.0" w:hint="eastAsia"/>
          <w:lang w:eastAsia="zh-CN"/>
        </w:rPr>
        <w:t>F</w:t>
      </w:r>
      <w:r>
        <w:rPr>
          <w:rFonts w:eastAsiaTheme="minorEastAsia" w:cs="v4.2.0"/>
          <w:lang w:eastAsia="zh-CN"/>
        </w:rPr>
        <w:t>or option 1, it means UE will restart the detection for the particular SSB, on which the number of unavailable occasions has exceeded the maximum number successively. From our understanding, upon successively exceeding the maximum number of DL LBT failure during measurement, it means the Cell</w:t>
      </w:r>
      <w:r>
        <w:rPr>
          <w:rFonts w:eastAsiaTheme="minorEastAsia" w:cs="v4.2.0" w:hint="eastAsia"/>
          <w:lang w:eastAsia="zh-CN"/>
        </w:rPr>
        <w:t xml:space="preserve"> </w:t>
      </w:r>
      <w:r>
        <w:rPr>
          <w:rFonts w:eastAsiaTheme="minorEastAsia" w:cs="v4.2.0"/>
          <w:lang w:eastAsia="zh-CN"/>
        </w:rPr>
        <w:t>is in high load scenario with high LBT failure possibility. So if UE detect the SSB again, UE is much more likely to fail to detect the SSB and there is no requirements for the detection procedure.</w:t>
      </w:r>
    </w:p>
    <w:p w14:paraId="22E9FDF2" w14:textId="7E67C711" w:rsidR="00F15C9D" w:rsidRDefault="00F15C9D" w:rsidP="00520DD2">
      <w:pPr>
        <w:rPr>
          <w:rFonts w:eastAsiaTheme="minorEastAsia" w:cs="v4.2.0"/>
          <w:lang w:eastAsia="zh-CN"/>
        </w:rPr>
      </w:pPr>
      <w:r>
        <w:rPr>
          <w:rFonts w:eastAsiaTheme="minorEastAsia" w:cs="v4.2.0" w:hint="eastAsia"/>
          <w:lang w:eastAsia="zh-CN"/>
        </w:rPr>
        <w:t>F</w:t>
      </w:r>
      <w:r>
        <w:rPr>
          <w:rFonts w:eastAsiaTheme="minorEastAsia" w:cs="v4.2.0"/>
          <w:lang w:eastAsia="zh-CN"/>
        </w:rPr>
        <w:t>or option 2, upon successively exceeding the maximum number of DL LBT failure during measurement, UE shall treat the SSB as any other SSBs, and UE could detect other SSBs which are detectable as the previous SSB for measurement may still in high LBT failure possibility.</w:t>
      </w:r>
    </w:p>
    <w:p w14:paraId="6E4CD5F4" w14:textId="4E34A975" w:rsidR="00F15C9D" w:rsidRPr="00F15C9D" w:rsidRDefault="00F15C9D" w:rsidP="00520DD2">
      <w:pPr>
        <w:rPr>
          <w:rFonts w:eastAsiaTheme="minorEastAsia" w:cs="v4.2.0"/>
          <w:b/>
          <w:lang w:eastAsia="zh-CN"/>
        </w:rPr>
      </w:pPr>
      <w:r w:rsidRPr="00F15C9D">
        <w:rPr>
          <w:rFonts w:eastAsiaTheme="minorEastAsia" w:cs="v4.2.0"/>
          <w:b/>
          <w:lang w:eastAsia="zh-CN"/>
        </w:rPr>
        <w:t>Proposal 1: Upon successively exceeding the maximum number of DL LBT failure during measurement, UE shall:</w:t>
      </w:r>
      <w:r w:rsidRPr="00F15C9D">
        <w:rPr>
          <w:rFonts w:eastAsiaTheme="minorEastAsia" w:cs="v4.2.0" w:hint="eastAsia"/>
          <w:b/>
          <w:lang w:eastAsia="zh-CN"/>
        </w:rPr>
        <w:t xml:space="preserve"> </w:t>
      </w:r>
      <w:r w:rsidRPr="00F15C9D">
        <w:rPr>
          <w:rFonts w:eastAsiaTheme="minorEastAsia" w:cs="v4.2.0"/>
          <w:b/>
          <w:lang w:eastAsia="zh-CN"/>
        </w:rPr>
        <w:t>restart from detection stage like for any other SSB.</w:t>
      </w:r>
    </w:p>
    <w:p w14:paraId="5555D0EF" w14:textId="53EA4AC6" w:rsidR="00F15C9D" w:rsidRDefault="00F15C9D" w:rsidP="00520DD2">
      <w:pPr>
        <w:rPr>
          <w:rFonts w:eastAsiaTheme="minorEastAsia" w:cs="v4.2.0"/>
          <w:lang w:eastAsia="zh-CN"/>
        </w:rPr>
      </w:pPr>
      <w:r>
        <w:rPr>
          <w:rFonts w:eastAsiaTheme="minorEastAsia" w:cs="v4.2.0"/>
          <w:lang w:eastAsia="zh-CN"/>
        </w:rPr>
        <w:t xml:space="preserve">Another remaining issue is whether UE </w:t>
      </w:r>
      <w:r w:rsidRPr="00F15C9D">
        <w:rPr>
          <w:rFonts w:eastAsiaTheme="minorEastAsia" w:cs="v4.2.0"/>
          <w:lang w:eastAsia="zh-CN"/>
        </w:rPr>
        <w:t xml:space="preserve">initiate measurements on neighbour cells indicated by the serving cell if it is unable to measure the serving </w:t>
      </w:r>
      <w:r>
        <w:rPr>
          <w:rFonts w:eastAsiaTheme="minorEastAsia" w:cs="v4.2.0"/>
          <w:lang w:eastAsia="zh-CN"/>
        </w:rPr>
        <w:t>cell for consecutive SSB bursts. The issue has been discussed for several meetings. Based on the discussion in previous meeting</w:t>
      </w:r>
      <w:r w:rsidR="000D669F">
        <w:rPr>
          <w:rFonts w:eastAsiaTheme="minorEastAsia" w:cs="v4.2.0"/>
          <w:lang w:eastAsia="zh-CN"/>
        </w:rPr>
        <w:t>s</w:t>
      </w:r>
      <w:r>
        <w:rPr>
          <w:rFonts w:eastAsiaTheme="minorEastAsia" w:cs="v4.2.0"/>
          <w:lang w:eastAsia="zh-CN"/>
        </w:rPr>
        <w:t xml:space="preserve">, the benefits of initiating the neighbour cell measurement is clear that UE could handover to other cells before RLF to avoid long time interruption. </w:t>
      </w:r>
    </w:p>
    <w:p w14:paraId="797F8F6C" w14:textId="06885B78" w:rsidR="00F15C9D" w:rsidRPr="00F15C9D" w:rsidRDefault="00F15C9D" w:rsidP="00520DD2">
      <w:pPr>
        <w:rPr>
          <w:rFonts w:eastAsiaTheme="minorEastAsia" w:cs="v4.2.0"/>
          <w:b/>
          <w:lang w:eastAsia="zh-CN"/>
        </w:rPr>
      </w:pPr>
      <w:r w:rsidRPr="00F15C9D">
        <w:rPr>
          <w:rFonts w:eastAsiaTheme="minorEastAsia" w:cs="v4.2.0"/>
          <w:b/>
          <w:lang w:eastAsia="zh-CN"/>
        </w:rPr>
        <w:t>Observation 1: The benefits of initiating the neighbour cell measurement is clear that UE could handover to other cells before RLF to avoid long time interruption.</w:t>
      </w:r>
    </w:p>
    <w:p w14:paraId="3829B262" w14:textId="54AEC0B9" w:rsidR="00F15C9D" w:rsidRDefault="00F15C9D" w:rsidP="00520DD2">
      <w:pPr>
        <w:rPr>
          <w:rFonts w:eastAsiaTheme="minorEastAsia" w:cs="v4.2.0"/>
          <w:lang w:val="en-US" w:eastAsia="zh-CN"/>
        </w:rPr>
      </w:pPr>
      <w:r>
        <w:rPr>
          <w:rFonts w:eastAsiaTheme="minorEastAsia" w:cs="v4.2.0" w:hint="eastAsia"/>
          <w:lang w:val="en-US" w:eastAsia="zh-CN"/>
        </w:rPr>
        <w:t xml:space="preserve">Also as we have defined </w:t>
      </w:r>
      <w:r>
        <w:rPr>
          <w:rFonts w:eastAsiaTheme="minorEastAsia" w:cs="v4.2.0"/>
          <w:lang w:val="en-US" w:eastAsia="zh-CN"/>
        </w:rPr>
        <w:t>similar</w:t>
      </w:r>
      <w:r>
        <w:rPr>
          <w:rFonts w:eastAsiaTheme="minorEastAsia" w:cs="v4.2.0" w:hint="eastAsia"/>
          <w:lang w:val="en-US" w:eastAsia="zh-CN"/>
        </w:rPr>
        <w:t xml:space="preserve"> </w:t>
      </w:r>
      <w:r>
        <w:rPr>
          <w:rFonts w:eastAsiaTheme="minorEastAsia" w:cs="v4.2.0"/>
          <w:lang w:val="en-US" w:eastAsia="zh-CN"/>
        </w:rPr>
        <w:t>behavior in IDLE mode for UE to initiate neighbor cell measurement, it is quiet straight forward to define same behavior in CONNECTED mode.</w:t>
      </w:r>
    </w:p>
    <w:p w14:paraId="13A89D4C" w14:textId="11F4C566" w:rsidR="00F15C9D" w:rsidRPr="00F15C9D" w:rsidRDefault="00F15C9D" w:rsidP="00520DD2">
      <w:pPr>
        <w:rPr>
          <w:rFonts w:eastAsiaTheme="minorEastAsia" w:cs="v4.2.0"/>
          <w:b/>
          <w:lang w:val="en-US" w:eastAsia="zh-CN"/>
        </w:rPr>
      </w:pPr>
      <w:r w:rsidRPr="00F15C9D">
        <w:rPr>
          <w:rFonts w:eastAsiaTheme="minorEastAsia" w:cs="v4.2.0"/>
          <w:b/>
          <w:lang w:val="en-US" w:eastAsia="zh-CN"/>
        </w:rPr>
        <w:t>Observation 2: The similar behavior in IDLE mode has been defined in NR-U.</w:t>
      </w:r>
    </w:p>
    <w:p w14:paraId="764593D2" w14:textId="3BF5356B" w:rsidR="00F15C9D" w:rsidRDefault="00F15C9D" w:rsidP="00520DD2">
      <w:pPr>
        <w:rPr>
          <w:rFonts w:eastAsiaTheme="minorEastAsia" w:cs="v4.2.0"/>
          <w:b/>
          <w:lang w:eastAsia="zh-CN"/>
        </w:rPr>
      </w:pPr>
      <w:r w:rsidRPr="003D794D">
        <w:rPr>
          <w:rFonts w:eastAsiaTheme="minorEastAsia" w:cs="v4.2.0"/>
          <w:b/>
          <w:lang w:val="en-US" w:eastAsia="zh-CN"/>
        </w:rPr>
        <w:t xml:space="preserve">Proposal 2: </w:t>
      </w:r>
      <w:r w:rsidRPr="003D794D">
        <w:rPr>
          <w:rFonts w:eastAsiaTheme="minorEastAsia" w:cs="v4.2.0"/>
          <w:b/>
          <w:lang w:eastAsia="zh-CN"/>
        </w:rPr>
        <w:t>UE shall initiate measurements on neighbour cells indicated by the serving cell if it is unable to measure the serving cell for consecutive SSB bursts.</w:t>
      </w:r>
    </w:p>
    <w:p w14:paraId="6FE304D3" w14:textId="77777777" w:rsidR="00DF0231" w:rsidRPr="002D2977" w:rsidRDefault="00DF0231" w:rsidP="00DF0231">
      <w:pPr>
        <w:pStyle w:val="1"/>
        <w:numPr>
          <w:ilvl w:val="0"/>
          <w:numId w:val="1"/>
        </w:numPr>
        <w:rPr>
          <w:lang w:val="en-US"/>
        </w:rPr>
      </w:pPr>
      <w:r w:rsidRPr="002D2977">
        <w:rPr>
          <w:lang w:val="en-US"/>
        </w:rPr>
        <w:t>Conclusions</w:t>
      </w:r>
    </w:p>
    <w:p w14:paraId="3D24BEC8" w14:textId="71C2444C" w:rsidR="003D794D" w:rsidRDefault="003D794D" w:rsidP="00B71C35">
      <w:pPr>
        <w:rPr>
          <w:rFonts w:eastAsiaTheme="minorEastAsia" w:cs="v4.2.0"/>
          <w:b/>
          <w:lang w:eastAsia="zh-CN"/>
        </w:rPr>
      </w:pPr>
      <w:r w:rsidRPr="003D794D">
        <w:rPr>
          <w:rFonts w:eastAsiaTheme="minorEastAsia" w:cs="v4.2.0"/>
          <w:b/>
          <w:lang w:eastAsia="zh-CN"/>
        </w:rPr>
        <w:t>Proposal 1: Upon successively exceeding the maximum number of DL LBT failure during measurement, UE shall: restart from detection stage like for any other SSB.</w:t>
      </w:r>
    </w:p>
    <w:p w14:paraId="2A1502DE" w14:textId="77777777" w:rsidR="003D794D" w:rsidRPr="00F15C9D" w:rsidRDefault="003D794D" w:rsidP="003D794D">
      <w:pPr>
        <w:rPr>
          <w:rFonts w:eastAsiaTheme="minorEastAsia" w:cs="v4.2.0"/>
          <w:b/>
          <w:lang w:eastAsia="zh-CN"/>
        </w:rPr>
      </w:pPr>
      <w:r w:rsidRPr="00F15C9D">
        <w:rPr>
          <w:rFonts w:eastAsiaTheme="minorEastAsia" w:cs="v4.2.0"/>
          <w:b/>
          <w:lang w:eastAsia="zh-CN"/>
        </w:rPr>
        <w:t>Observation 1: The benefits of initiating the neighbour cell measurement is clear that UE could handover to other cells before RLF to avoid long time interruption.</w:t>
      </w:r>
    </w:p>
    <w:p w14:paraId="46525E0B" w14:textId="77777777" w:rsidR="003D794D" w:rsidRPr="00F15C9D" w:rsidRDefault="003D794D" w:rsidP="003D794D">
      <w:pPr>
        <w:rPr>
          <w:rFonts w:eastAsiaTheme="minorEastAsia" w:cs="v4.2.0"/>
          <w:b/>
          <w:lang w:val="en-US" w:eastAsia="zh-CN"/>
        </w:rPr>
      </w:pPr>
      <w:r w:rsidRPr="00F15C9D">
        <w:rPr>
          <w:rFonts w:eastAsiaTheme="minorEastAsia" w:cs="v4.2.0"/>
          <w:b/>
          <w:lang w:val="en-US" w:eastAsia="zh-CN"/>
        </w:rPr>
        <w:lastRenderedPageBreak/>
        <w:t>Observation 2: The similar behavior in IDLE mode has been defined in NR-U.</w:t>
      </w:r>
    </w:p>
    <w:p w14:paraId="0A3EE648" w14:textId="359B45F1" w:rsidR="003D794D" w:rsidRDefault="003D794D" w:rsidP="00B71C35">
      <w:pPr>
        <w:rPr>
          <w:rFonts w:eastAsiaTheme="minorEastAsia" w:cs="v4.2.0"/>
          <w:b/>
          <w:lang w:eastAsia="zh-CN"/>
        </w:rPr>
      </w:pPr>
      <w:r w:rsidRPr="003D794D">
        <w:rPr>
          <w:rFonts w:eastAsiaTheme="minorEastAsia" w:cs="v4.2.0"/>
          <w:b/>
          <w:lang w:val="en-US" w:eastAsia="zh-CN"/>
        </w:rPr>
        <w:t xml:space="preserve">Proposal 2: </w:t>
      </w:r>
      <w:r w:rsidRPr="003D794D">
        <w:rPr>
          <w:rFonts w:eastAsiaTheme="minorEastAsia" w:cs="v4.2.0"/>
          <w:b/>
          <w:lang w:eastAsia="zh-CN"/>
        </w:rPr>
        <w:t>UE shall initiate measurements on neighbour cells indicated by the serving cell if it is unable to measure the serving cell for consecutive SSB bursts.</w:t>
      </w:r>
    </w:p>
    <w:p w14:paraId="075440F7" w14:textId="77777777" w:rsidR="00DF0231" w:rsidRPr="002D2977" w:rsidRDefault="00DF0231" w:rsidP="00DF0231">
      <w:pPr>
        <w:pStyle w:val="1"/>
        <w:tabs>
          <w:tab w:val="clear" w:pos="432"/>
        </w:tabs>
        <w:ind w:left="0" w:firstLine="0"/>
        <w:rPr>
          <w:lang w:val="en-US"/>
        </w:rPr>
      </w:pPr>
      <w:r w:rsidRPr="002D2977">
        <w:rPr>
          <w:lang w:val="en-US"/>
        </w:rPr>
        <w:t>References</w:t>
      </w:r>
    </w:p>
    <w:p w14:paraId="464D0A63" w14:textId="27A49CAF" w:rsidR="00DF0231" w:rsidRDefault="00DF0231" w:rsidP="00DF0231">
      <w:r w:rsidRPr="002D2977">
        <w:rPr>
          <w:lang w:val="en-US"/>
        </w:rPr>
        <w:t xml:space="preserve">[1] </w:t>
      </w:r>
      <w:r w:rsidR="00D53A4A" w:rsidRPr="00D53A4A">
        <w:t>R4-2008552</w:t>
      </w:r>
      <w:r w:rsidRPr="002D2977">
        <w:rPr>
          <w:lang w:val="en-US"/>
        </w:rPr>
        <w:t xml:space="preserve"> “</w:t>
      </w:r>
      <w:r w:rsidR="00F15C9D" w:rsidRPr="00F15C9D">
        <w:t>WF on NR-U RRM (Part 3)</w:t>
      </w:r>
      <w:r w:rsidRPr="002D2977">
        <w:rPr>
          <w:lang w:val="en-US"/>
        </w:rPr>
        <w:t>”</w:t>
      </w:r>
      <w:r w:rsidR="0087326D">
        <w:rPr>
          <w:lang w:val="en-US"/>
        </w:rPr>
        <w:t xml:space="preserve">, </w:t>
      </w:r>
      <w:r w:rsidR="00F15C9D" w:rsidRPr="00F15C9D">
        <w:t>Nokia, Nokia Shanghai Bell</w:t>
      </w:r>
    </w:p>
    <w:p w14:paraId="14945CD2" w14:textId="05B40F99" w:rsidR="007D0DF7" w:rsidRDefault="008215C5">
      <w:pPr>
        <w:rPr>
          <w:rFonts w:eastAsiaTheme="minorEastAsia" w:cs="v4.2.0"/>
          <w:lang w:val="en-US" w:eastAsia="zh-CN"/>
        </w:rPr>
      </w:pPr>
      <w:r>
        <w:rPr>
          <w:rFonts w:eastAsiaTheme="minorEastAsia" w:cs="v4.2.0"/>
          <w:lang w:val="en-US" w:eastAsia="zh-CN"/>
        </w:rPr>
        <w:t xml:space="preserve">[2] </w:t>
      </w:r>
      <w:r w:rsidRPr="00D46664">
        <w:rPr>
          <w:rFonts w:eastAsiaTheme="minorEastAsia" w:cs="v4.2.0"/>
          <w:lang w:val="en-US" w:eastAsia="zh-CN"/>
        </w:rPr>
        <w:t>RP-201387</w:t>
      </w:r>
    </w:p>
    <w:p w14:paraId="64DD3193" w14:textId="14C3D0C9" w:rsidR="008215C5" w:rsidRDefault="008215C5" w:rsidP="008215C5">
      <w:pPr>
        <w:rPr>
          <w:rFonts w:eastAsiaTheme="minorEastAsia" w:cs="v4.2.0"/>
          <w:lang w:val="en-US" w:eastAsia="zh-CN"/>
        </w:rPr>
      </w:pPr>
      <w:r>
        <w:rPr>
          <w:rFonts w:eastAsiaTheme="minorEastAsia" w:cs="v4.2.0"/>
          <w:lang w:val="en-US" w:eastAsia="zh-CN"/>
        </w:rPr>
        <w:t xml:space="preserve">[3] </w:t>
      </w:r>
      <w:r w:rsidRPr="003C7266">
        <w:rPr>
          <w:rFonts w:eastAsiaTheme="minorEastAsia" w:cs="v4.2.0"/>
          <w:lang w:val="en-US" w:eastAsia="zh-CN"/>
        </w:rPr>
        <w:t>R4-2008576</w:t>
      </w:r>
      <w:r>
        <w:rPr>
          <w:rFonts w:eastAsiaTheme="minorEastAsia" w:cs="v4.2.0"/>
          <w:lang w:val="en-US" w:eastAsia="zh-CN"/>
        </w:rPr>
        <w:t xml:space="preserve"> </w:t>
      </w:r>
      <w:r w:rsidRPr="003C7266">
        <w:rPr>
          <w:rFonts w:eastAsiaTheme="minorEastAsia" w:cs="v4.2.0"/>
          <w:lang w:val="en-US" w:eastAsia="zh-CN"/>
        </w:rPr>
        <w:t>Clarification of UE behavior after receiving the MAC CE deactivation command for semi-persistent CSI reporting in NR-U</w:t>
      </w:r>
    </w:p>
    <w:p w14:paraId="67C723CA" w14:textId="543E636F" w:rsidR="008215C5" w:rsidRPr="008215C5" w:rsidRDefault="008215C5"/>
    <w:sectPr w:rsidR="008215C5" w:rsidRPr="008215C5"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07955" w14:textId="77777777" w:rsidR="006D6AF1" w:rsidRDefault="006D6AF1">
      <w:pPr>
        <w:spacing w:after="0"/>
      </w:pPr>
      <w:r>
        <w:separator/>
      </w:r>
    </w:p>
  </w:endnote>
  <w:endnote w:type="continuationSeparator" w:id="0">
    <w:p w14:paraId="30275899" w14:textId="77777777" w:rsidR="006D6AF1" w:rsidRDefault="006D6A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9B226D" w:rsidRDefault="009B226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9B226D" w:rsidRDefault="009B226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9B226D" w:rsidRDefault="009B226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C3930">
      <w:rPr>
        <w:rStyle w:val="a5"/>
      </w:rPr>
      <w:t>1</w:t>
    </w:r>
    <w:r>
      <w:rPr>
        <w:rStyle w:val="a5"/>
      </w:rPr>
      <w:fldChar w:fldCharType="end"/>
    </w:r>
  </w:p>
  <w:p w14:paraId="4C6D8748" w14:textId="77777777" w:rsidR="009B226D" w:rsidRDefault="009B226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89E8F" w14:textId="77777777" w:rsidR="006D6AF1" w:rsidRDefault="006D6AF1">
      <w:pPr>
        <w:spacing w:after="0"/>
      </w:pPr>
      <w:r>
        <w:separator/>
      </w:r>
    </w:p>
  </w:footnote>
  <w:footnote w:type="continuationSeparator" w:id="0">
    <w:p w14:paraId="4D14339B" w14:textId="77777777" w:rsidR="006D6AF1" w:rsidRDefault="006D6AF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540F"/>
    <w:multiLevelType w:val="hybridMultilevel"/>
    <w:tmpl w:val="FE68705E"/>
    <w:lvl w:ilvl="0" w:tplc="2C26083C">
      <w:start w:val="1"/>
      <w:numFmt w:val="bullet"/>
      <w:lvlText w:val="•"/>
      <w:lvlJc w:val="left"/>
      <w:pPr>
        <w:tabs>
          <w:tab w:val="num" w:pos="720"/>
        </w:tabs>
        <w:ind w:left="720" w:hanging="360"/>
      </w:pPr>
      <w:rPr>
        <w:rFonts w:ascii="Arial" w:hAnsi="Arial" w:hint="default"/>
      </w:rPr>
    </w:lvl>
    <w:lvl w:ilvl="1" w:tplc="5300B306">
      <w:numFmt w:val="bullet"/>
      <w:lvlText w:val="•"/>
      <w:lvlJc w:val="left"/>
      <w:pPr>
        <w:tabs>
          <w:tab w:val="num" w:pos="1440"/>
        </w:tabs>
        <w:ind w:left="1440" w:hanging="360"/>
      </w:pPr>
      <w:rPr>
        <w:rFonts w:ascii="Arial" w:hAnsi="Arial" w:hint="default"/>
      </w:rPr>
    </w:lvl>
    <w:lvl w:ilvl="2" w:tplc="6ED8C74A" w:tentative="1">
      <w:start w:val="1"/>
      <w:numFmt w:val="bullet"/>
      <w:lvlText w:val="•"/>
      <w:lvlJc w:val="left"/>
      <w:pPr>
        <w:tabs>
          <w:tab w:val="num" w:pos="2160"/>
        </w:tabs>
        <w:ind w:left="2160" w:hanging="360"/>
      </w:pPr>
      <w:rPr>
        <w:rFonts w:ascii="Arial" w:hAnsi="Arial" w:hint="default"/>
      </w:rPr>
    </w:lvl>
    <w:lvl w:ilvl="3" w:tplc="DE9240A8" w:tentative="1">
      <w:start w:val="1"/>
      <w:numFmt w:val="bullet"/>
      <w:lvlText w:val="•"/>
      <w:lvlJc w:val="left"/>
      <w:pPr>
        <w:tabs>
          <w:tab w:val="num" w:pos="2880"/>
        </w:tabs>
        <w:ind w:left="2880" w:hanging="360"/>
      </w:pPr>
      <w:rPr>
        <w:rFonts w:ascii="Arial" w:hAnsi="Arial" w:hint="default"/>
      </w:rPr>
    </w:lvl>
    <w:lvl w:ilvl="4" w:tplc="CC4C0E72" w:tentative="1">
      <w:start w:val="1"/>
      <w:numFmt w:val="bullet"/>
      <w:lvlText w:val="•"/>
      <w:lvlJc w:val="left"/>
      <w:pPr>
        <w:tabs>
          <w:tab w:val="num" w:pos="3600"/>
        </w:tabs>
        <w:ind w:left="3600" w:hanging="360"/>
      </w:pPr>
      <w:rPr>
        <w:rFonts w:ascii="Arial" w:hAnsi="Arial" w:hint="default"/>
      </w:rPr>
    </w:lvl>
    <w:lvl w:ilvl="5" w:tplc="7C2AC976" w:tentative="1">
      <w:start w:val="1"/>
      <w:numFmt w:val="bullet"/>
      <w:lvlText w:val="•"/>
      <w:lvlJc w:val="left"/>
      <w:pPr>
        <w:tabs>
          <w:tab w:val="num" w:pos="4320"/>
        </w:tabs>
        <w:ind w:left="4320" w:hanging="360"/>
      </w:pPr>
      <w:rPr>
        <w:rFonts w:ascii="Arial" w:hAnsi="Arial" w:hint="default"/>
      </w:rPr>
    </w:lvl>
    <w:lvl w:ilvl="6" w:tplc="67D60544" w:tentative="1">
      <w:start w:val="1"/>
      <w:numFmt w:val="bullet"/>
      <w:lvlText w:val="•"/>
      <w:lvlJc w:val="left"/>
      <w:pPr>
        <w:tabs>
          <w:tab w:val="num" w:pos="5040"/>
        </w:tabs>
        <w:ind w:left="5040" w:hanging="360"/>
      </w:pPr>
      <w:rPr>
        <w:rFonts w:ascii="Arial" w:hAnsi="Arial" w:hint="default"/>
      </w:rPr>
    </w:lvl>
    <w:lvl w:ilvl="7" w:tplc="71321D08" w:tentative="1">
      <w:start w:val="1"/>
      <w:numFmt w:val="bullet"/>
      <w:lvlText w:val="•"/>
      <w:lvlJc w:val="left"/>
      <w:pPr>
        <w:tabs>
          <w:tab w:val="num" w:pos="5760"/>
        </w:tabs>
        <w:ind w:left="5760" w:hanging="360"/>
      </w:pPr>
      <w:rPr>
        <w:rFonts w:ascii="Arial" w:hAnsi="Arial" w:hint="default"/>
      </w:rPr>
    </w:lvl>
    <w:lvl w:ilvl="8" w:tplc="22DE1CA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5723B3"/>
    <w:multiLevelType w:val="hybridMultilevel"/>
    <w:tmpl w:val="882A24FE"/>
    <w:lvl w:ilvl="0" w:tplc="977AAD1E">
      <w:start w:val="1"/>
      <w:numFmt w:val="bullet"/>
      <w:lvlText w:val="•"/>
      <w:lvlJc w:val="left"/>
      <w:pPr>
        <w:tabs>
          <w:tab w:val="num" w:pos="720"/>
        </w:tabs>
        <w:ind w:left="720" w:hanging="360"/>
      </w:pPr>
      <w:rPr>
        <w:rFonts w:ascii="Arial" w:hAnsi="Arial" w:hint="default"/>
      </w:rPr>
    </w:lvl>
    <w:lvl w:ilvl="1" w:tplc="EBA478BA">
      <w:numFmt w:val="bullet"/>
      <w:lvlText w:val="•"/>
      <w:lvlJc w:val="left"/>
      <w:pPr>
        <w:tabs>
          <w:tab w:val="num" w:pos="1440"/>
        </w:tabs>
        <w:ind w:left="1440" w:hanging="360"/>
      </w:pPr>
      <w:rPr>
        <w:rFonts w:ascii="Arial" w:hAnsi="Arial" w:hint="default"/>
      </w:rPr>
    </w:lvl>
    <w:lvl w:ilvl="2" w:tplc="100ABD80" w:tentative="1">
      <w:start w:val="1"/>
      <w:numFmt w:val="bullet"/>
      <w:lvlText w:val="•"/>
      <w:lvlJc w:val="left"/>
      <w:pPr>
        <w:tabs>
          <w:tab w:val="num" w:pos="2160"/>
        </w:tabs>
        <w:ind w:left="2160" w:hanging="360"/>
      </w:pPr>
      <w:rPr>
        <w:rFonts w:ascii="Arial" w:hAnsi="Arial" w:hint="default"/>
      </w:rPr>
    </w:lvl>
    <w:lvl w:ilvl="3" w:tplc="75442170" w:tentative="1">
      <w:start w:val="1"/>
      <w:numFmt w:val="bullet"/>
      <w:lvlText w:val="•"/>
      <w:lvlJc w:val="left"/>
      <w:pPr>
        <w:tabs>
          <w:tab w:val="num" w:pos="2880"/>
        </w:tabs>
        <w:ind w:left="2880" w:hanging="360"/>
      </w:pPr>
      <w:rPr>
        <w:rFonts w:ascii="Arial" w:hAnsi="Arial" w:hint="default"/>
      </w:rPr>
    </w:lvl>
    <w:lvl w:ilvl="4" w:tplc="3BCEC778" w:tentative="1">
      <w:start w:val="1"/>
      <w:numFmt w:val="bullet"/>
      <w:lvlText w:val="•"/>
      <w:lvlJc w:val="left"/>
      <w:pPr>
        <w:tabs>
          <w:tab w:val="num" w:pos="3600"/>
        </w:tabs>
        <w:ind w:left="3600" w:hanging="360"/>
      </w:pPr>
      <w:rPr>
        <w:rFonts w:ascii="Arial" w:hAnsi="Arial" w:hint="default"/>
      </w:rPr>
    </w:lvl>
    <w:lvl w:ilvl="5" w:tplc="B9265FFC" w:tentative="1">
      <w:start w:val="1"/>
      <w:numFmt w:val="bullet"/>
      <w:lvlText w:val="•"/>
      <w:lvlJc w:val="left"/>
      <w:pPr>
        <w:tabs>
          <w:tab w:val="num" w:pos="4320"/>
        </w:tabs>
        <w:ind w:left="4320" w:hanging="360"/>
      </w:pPr>
      <w:rPr>
        <w:rFonts w:ascii="Arial" w:hAnsi="Arial" w:hint="default"/>
      </w:rPr>
    </w:lvl>
    <w:lvl w:ilvl="6" w:tplc="AAD65AA0" w:tentative="1">
      <w:start w:val="1"/>
      <w:numFmt w:val="bullet"/>
      <w:lvlText w:val="•"/>
      <w:lvlJc w:val="left"/>
      <w:pPr>
        <w:tabs>
          <w:tab w:val="num" w:pos="5040"/>
        </w:tabs>
        <w:ind w:left="5040" w:hanging="360"/>
      </w:pPr>
      <w:rPr>
        <w:rFonts w:ascii="Arial" w:hAnsi="Arial" w:hint="default"/>
      </w:rPr>
    </w:lvl>
    <w:lvl w:ilvl="7" w:tplc="18CC90FC" w:tentative="1">
      <w:start w:val="1"/>
      <w:numFmt w:val="bullet"/>
      <w:lvlText w:val="•"/>
      <w:lvlJc w:val="left"/>
      <w:pPr>
        <w:tabs>
          <w:tab w:val="num" w:pos="5760"/>
        </w:tabs>
        <w:ind w:left="5760" w:hanging="360"/>
      </w:pPr>
      <w:rPr>
        <w:rFonts w:ascii="Arial" w:hAnsi="Arial" w:hint="default"/>
      </w:rPr>
    </w:lvl>
    <w:lvl w:ilvl="8" w:tplc="8F52A9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95726E"/>
    <w:multiLevelType w:val="hybridMultilevel"/>
    <w:tmpl w:val="6E201BAA"/>
    <w:lvl w:ilvl="0" w:tplc="D1E00DFE">
      <w:start w:val="1"/>
      <w:numFmt w:val="bullet"/>
      <w:lvlText w:val="•"/>
      <w:lvlJc w:val="left"/>
      <w:pPr>
        <w:tabs>
          <w:tab w:val="num" w:pos="720"/>
        </w:tabs>
        <w:ind w:left="720" w:hanging="360"/>
      </w:pPr>
      <w:rPr>
        <w:rFonts w:ascii="Arial" w:hAnsi="Arial" w:hint="default"/>
      </w:rPr>
    </w:lvl>
    <w:lvl w:ilvl="1" w:tplc="3C96A55E">
      <w:numFmt w:val="bullet"/>
      <w:lvlText w:val="•"/>
      <w:lvlJc w:val="left"/>
      <w:pPr>
        <w:tabs>
          <w:tab w:val="num" w:pos="1440"/>
        </w:tabs>
        <w:ind w:left="1440" w:hanging="360"/>
      </w:pPr>
      <w:rPr>
        <w:rFonts w:ascii="Arial" w:hAnsi="Arial" w:hint="default"/>
      </w:rPr>
    </w:lvl>
    <w:lvl w:ilvl="2" w:tplc="8216E9B8" w:tentative="1">
      <w:start w:val="1"/>
      <w:numFmt w:val="bullet"/>
      <w:lvlText w:val="•"/>
      <w:lvlJc w:val="left"/>
      <w:pPr>
        <w:tabs>
          <w:tab w:val="num" w:pos="2160"/>
        </w:tabs>
        <w:ind w:left="2160" w:hanging="360"/>
      </w:pPr>
      <w:rPr>
        <w:rFonts w:ascii="Arial" w:hAnsi="Arial" w:hint="default"/>
      </w:rPr>
    </w:lvl>
    <w:lvl w:ilvl="3" w:tplc="B81A5D90" w:tentative="1">
      <w:start w:val="1"/>
      <w:numFmt w:val="bullet"/>
      <w:lvlText w:val="•"/>
      <w:lvlJc w:val="left"/>
      <w:pPr>
        <w:tabs>
          <w:tab w:val="num" w:pos="2880"/>
        </w:tabs>
        <w:ind w:left="2880" w:hanging="360"/>
      </w:pPr>
      <w:rPr>
        <w:rFonts w:ascii="Arial" w:hAnsi="Arial" w:hint="default"/>
      </w:rPr>
    </w:lvl>
    <w:lvl w:ilvl="4" w:tplc="DCB47824" w:tentative="1">
      <w:start w:val="1"/>
      <w:numFmt w:val="bullet"/>
      <w:lvlText w:val="•"/>
      <w:lvlJc w:val="left"/>
      <w:pPr>
        <w:tabs>
          <w:tab w:val="num" w:pos="3600"/>
        </w:tabs>
        <w:ind w:left="3600" w:hanging="360"/>
      </w:pPr>
      <w:rPr>
        <w:rFonts w:ascii="Arial" w:hAnsi="Arial" w:hint="default"/>
      </w:rPr>
    </w:lvl>
    <w:lvl w:ilvl="5" w:tplc="6090E500" w:tentative="1">
      <w:start w:val="1"/>
      <w:numFmt w:val="bullet"/>
      <w:lvlText w:val="•"/>
      <w:lvlJc w:val="left"/>
      <w:pPr>
        <w:tabs>
          <w:tab w:val="num" w:pos="4320"/>
        </w:tabs>
        <w:ind w:left="4320" w:hanging="360"/>
      </w:pPr>
      <w:rPr>
        <w:rFonts w:ascii="Arial" w:hAnsi="Arial" w:hint="default"/>
      </w:rPr>
    </w:lvl>
    <w:lvl w:ilvl="6" w:tplc="C61478B4" w:tentative="1">
      <w:start w:val="1"/>
      <w:numFmt w:val="bullet"/>
      <w:lvlText w:val="•"/>
      <w:lvlJc w:val="left"/>
      <w:pPr>
        <w:tabs>
          <w:tab w:val="num" w:pos="5040"/>
        </w:tabs>
        <w:ind w:left="5040" w:hanging="360"/>
      </w:pPr>
      <w:rPr>
        <w:rFonts w:ascii="Arial" w:hAnsi="Arial" w:hint="default"/>
      </w:rPr>
    </w:lvl>
    <w:lvl w:ilvl="7" w:tplc="0270F18C" w:tentative="1">
      <w:start w:val="1"/>
      <w:numFmt w:val="bullet"/>
      <w:lvlText w:val="•"/>
      <w:lvlJc w:val="left"/>
      <w:pPr>
        <w:tabs>
          <w:tab w:val="num" w:pos="5760"/>
        </w:tabs>
        <w:ind w:left="5760" w:hanging="360"/>
      </w:pPr>
      <w:rPr>
        <w:rFonts w:ascii="Arial" w:hAnsi="Arial" w:hint="default"/>
      </w:rPr>
    </w:lvl>
    <w:lvl w:ilvl="8" w:tplc="4A12E5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583E16"/>
    <w:multiLevelType w:val="hybridMultilevel"/>
    <w:tmpl w:val="15FCE462"/>
    <w:lvl w:ilvl="0" w:tplc="197291A2">
      <w:start w:val="1"/>
      <w:numFmt w:val="bullet"/>
      <w:lvlText w:val="•"/>
      <w:lvlJc w:val="left"/>
      <w:pPr>
        <w:tabs>
          <w:tab w:val="num" w:pos="720"/>
        </w:tabs>
        <w:ind w:left="720" w:hanging="360"/>
      </w:pPr>
      <w:rPr>
        <w:rFonts w:ascii="Arial" w:hAnsi="Arial" w:hint="default"/>
      </w:rPr>
    </w:lvl>
    <w:lvl w:ilvl="1" w:tplc="5E8C97F2">
      <w:numFmt w:val="bullet"/>
      <w:lvlText w:val="•"/>
      <w:lvlJc w:val="left"/>
      <w:pPr>
        <w:tabs>
          <w:tab w:val="num" w:pos="1440"/>
        </w:tabs>
        <w:ind w:left="1440" w:hanging="360"/>
      </w:pPr>
      <w:rPr>
        <w:rFonts w:ascii="Arial" w:hAnsi="Arial" w:hint="default"/>
      </w:rPr>
    </w:lvl>
    <w:lvl w:ilvl="2" w:tplc="AB5A38B8" w:tentative="1">
      <w:start w:val="1"/>
      <w:numFmt w:val="bullet"/>
      <w:lvlText w:val="•"/>
      <w:lvlJc w:val="left"/>
      <w:pPr>
        <w:tabs>
          <w:tab w:val="num" w:pos="2160"/>
        </w:tabs>
        <w:ind w:left="2160" w:hanging="360"/>
      </w:pPr>
      <w:rPr>
        <w:rFonts w:ascii="Arial" w:hAnsi="Arial" w:hint="default"/>
      </w:rPr>
    </w:lvl>
    <w:lvl w:ilvl="3" w:tplc="4356AFC6" w:tentative="1">
      <w:start w:val="1"/>
      <w:numFmt w:val="bullet"/>
      <w:lvlText w:val="•"/>
      <w:lvlJc w:val="left"/>
      <w:pPr>
        <w:tabs>
          <w:tab w:val="num" w:pos="2880"/>
        </w:tabs>
        <w:ind w:left="2880" w:hanging="360"/>
      </w:pPr>
      <w:rPr>
        <w:rFonts w:ascii="Arial" w:hAnsi="Arial" w:hint="default"/>
      </w:rPr>
    </w:lvl>
    <w:lvl w:ilvl="4" w:tplc="D35AB0DE" w:tentative="1">
      <w:start w:val="1"/>
      <w:numFmt w:val="bullet"/>
      <w:lvlText w:val="•"/>
      <w:lvlJc w:val="left"/>
      <w:pPr>
        <w:tabs>
          <w:tab w:val="num" w:pos="3600"/>
        </w:tabs>
        <w:ind w:left="3600" w:hanging="360"/>
      </w:pPr>
      <w:rPr>
        <w:rFonts w:ascii="Arial" w:hAnsi="Arial" w:hint="default"/>
      </w:rPr>
    </w:lvl>
    <w:lvl w:ilvl="5" w:tplc="D15E796E" w:tentative="1">
      <w:start w:val="1"/>
      <w:numFmt w:val="bullet"/>
      <w:lvlText w:val="•"/>
      <w:lvlJc w:val="left"/>
      <w:pPr>
        <w:tabs>
          <w:tab w:val="num" w:pos="4320"/>
        </w:tabs>
        <w:ind w:left="4320" w:hanging="360"/>
      </w:pPr>
      <w:rPr>
        <w:rFonts w:ascii="Arial" w:hAnsi="Arial" w:hint="default"/>
      </w:rPr>
    </w:lvl>
    <w:lvl w:ilvl="6" w:tplc="D4C04F24" w:tentative="1">
      <w:start w:val="1"/>
      <w:numFmt w:val="bullet"/>
      <w:lvlText w:val="•"/>
      <w:lvlJc w:val="left"/>
      <w:pPr>
        <w:tabs>
          <w:tab w:val="num" w:pos="5040"/>
        </w:tabs>
        <w:ind w:left="5040" w:hanging="360"/>
      </w:pPr>
      <w:rPr>
        <w:rFonts w:ascii="Arial" w:hAnsi="Arial" w:hint="default"/>
      </w:rPr>
    </w:lvl>
    <w:lvl w:ilvl="7" w:tplc="67C4595A" w:tentative="1">
      <w:start w:val="1"/>
      <w:numFmt w:val="bullet"/>
      <w:lvlText w:val="•"/>
      <w:lvlJc w:val="left"/>
      <w:pPr>
        <w:tabs>
          <w:tab w:val="num" w:pos="5760"/>
        </w:tabs>
        <w:ind w:left="5760" w:hanging="360"/>
      </w:pPr>
      <w:rPr>
        <w:rFonts w:ascii="Arial" w:hAnsi="Arial" w:hint="default"/>
      </w:rPr>
    </w:lvl>
    <w:lvl w:ilvl="8" w:tplc="49001B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6393FE7"/>
    <w:multiLevelType w:val="hybridMultilevel"/>
    <w:tmpl w:val="720EE5DC"/>
    <w:lvl w:ilvl="0" w:tplc="E2AA3BC4">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E20082"/>
    <w:multiLevelType w:val="hybridMultilevel"/>
    <w:tmpl w:val="59048744"/>
    <w:lvl w:ilvl="0" w:tplc="E5187200">
      <w:start w:val="1"/>
      <w:numFmt w:val="bullet"/>
      <w:lvlText w:val="•"/>
      <w:lvlJc w:val="left"/>
      <w:pPr>
        <w:tabs>
          <w:tab w:val="num" w:pos="720"/>
        </w:tabs>
        <w:ind w:left="720" w:hanging="360"/>
      </w:pPr>
      <w:rPr>
        <w:rFonts w:ascii="Arial" w:hAnsi="Arial" w:hint="default"/>
      </w:rPr>
    </w:lvl>
    <w:lvl w:ilvl="1" w:tplc="0736FEDE">
      <w:numFmt w:val="bullet"/>
      <w:lvlText w:val="•"/>
      <w:lvlJc w:val="left"/>
      <w:pPr>
        <w:tabs>
          <w:tab w:val="num" w:pos="1440"/>
        </w:tabs>
        <w:ind w:left="1440" w:hanging="360"/>
      </w:pPr>
      <w:rPr>
        <w:rFonts w:ascii="Arial" w:hAnsi="Arial" w:hint="default"/>
      </w:rPr>
    </w:lvl>
    <w:lvl w:ilvl="2" w:tplc="3912EA0C" w:tentative="1">
      <w:start w:val="1"/>
      <w:numFmt w:val="bullet"/>
      <w:lvlText w:val="•"/>
      <w:lvlJc w:val="left"/>
      <w:pPr>
        <w:tabs>
          <w:tab w:val="num" w:pos="2160"/>
        </w:tabs>
        <w:ind w:left="2160" w:hanging="360"/>
      </w:pPr>
      <w:rPr>
        <w:rFonts w:ascii="Arial" w:hAnsi="Arial" w:hint="default"/>
      </w:rPr>
    </w:lvl>
    <w:lvl w:ilvl="3" w:tplc="581CBFEC" w:tentative="1">
      <w:start w:val="1"/>
      <w:numFmt w:val="bullet"/>
      <w:lvlText w:val="•"/>
      <w:lvlJc w:val="left"/>
      <w:pPr>
        <w:tabs>
          <w:tab w:val="num" w:pos="2880"/>
        </w:tabs>
        <w:ind w:left="2880" w:hanging="360"/>
      </w:pPr>
      <w:rPr>
        <w:rFonts w:ascii="Arial" w:hAnsi="Arial" w:hint="default"/>
      </w:rPr>
    </w:lvl>
    <w:lvl w:ilvl="4" w:tplc="71E852D8" w:tentative="1">
      <w:start w:val="1"/>
      <w:numFmt w:val="bullet"/>
      <w:lvlText w:val="•"/>
      <w:lvlJc w:val="left"/>
      <w:pPr>
        <w:tabs>
          <w:tab w:val="num" w:pos="3600"/>
        </w:tabs>
        <w:ind w:left="3600" w:hanging="360"/>
      </w:pPr>
      <w:rPr>
        <w:rFonts w:ascii="Arial" w:hAnsi="Arial" w:hint="default"/>
      </w:rPr>
    </w:lvl>
    <w:lvl w:ilvl="5" w:tplc="8006D3A0" w:tentative="1">
      <w:start w:val="1"/>
      <w:numFmt w:val="bullet"/>
      <w:lvlText w:val="•"/>
      <w:lvlJc w:val="left"/>
      <w:pPr>
        <w:tabs>
          <w:tab w:val="num" w:pos="4320"/>
        </w:tabs>
        <w:ind w:left="4320" w:hanging="360"/>
      </w:pPr>
      <w:rPr>
        <w:rFonts w:ascii="Arial" w:hAnsi="Arial" w:hint="default"/>
      </w:rPr>
    </w:lvl>
    <w:lvl w:ilvl="6" w:tplc="4CAA9A1E" w:tentative="1">
      <w:start w:val="1"/>
      <w:numFmt w:val="bullet"/>
      <w:lvlText w:val="•"/>
      <w:lvlJc w:val="left"/>
      <w:pPr>
        <w:tabs>
          <w:tab w:val="num" w:pos="5040"/>
        </w:tabs>
        <w:ind w:left="5040" w:hanging="360"/>
      </w:pPr>
      <w:rPr>
        <w:rFonts w:ascii="Arial" w:hAnsi="Arial" w:hint="default"/>
      </w:rPr>
    </w:lvl>
    <w:lvl w:ilvl="7" w:tplc="0BF06970" w:tentative="1">
      <w:start w:val="1"/>
      <w:numFmt w:val="bullet"/>
      <w:lvlText w:val="•"/>
      <w:lvlJc w:val="left"/>
      <w:pPr>
        <w:tabs>
          <w:tab w:val="num" w:pos="5760"/>
        </w:tabs>
        <w:ind w:left="5760" w:hanging="360"/>
      </w:pPr>
      <w:rPr>
        <w:rFonts w:ascii="Arial" w:hAnsi="Arial" w:hint="default"/>
      </w:rPr>
    </w:lvl>
    <w:lvl w:ilvl="8" w:tplc="5D8ACF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9F6EBE"/>
    <w:multiLevelType w:val="hybridMultilevel"/>
    <w:tmpl w:val="CECA99F6"/>
    <w:lvl w:ilvl="0" w:tplc="26BA14C2">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07025F"/>
    <w:multiLevelType w:val="hybridMultilevel"/>
    <w:tmpl w:val="694870F8"/>
    <w:lvl w:ilvl="0" w:tplc="34620E36">
      <w:start w:val="1"/>
      <w:numFmt w:val="bullet"/>
      <w:lvlText w:val="•"/>
      <w:lvlJc w:val="left"/>
      <w:pPr>
        <w:tabs>
          <w:tab w:val="num" w:pos="720"/>
        </w:tabs>
        <w:ind w:left="720" w:hanging="360"/>
      </w:pPr>
      <w:rPr>
        <w:rFonts w:ascii="Arial" w:hAnsi="Arial" w:hint="default"/>
      </w:rPr>
    </w:lvl>
    <w:lvl w:ilvl="1" w:tplc="948AE2A8">
      <w:start w:val="1"/>
      <w:numFmt w:val="bullet"/>
      <w:lvlText w:val="•"/>
      <w:lvlJc w:val="left"/>
      <w:pPr>
        <w:tabs>
          <w:tab w:val="num" w:pos="1440"/>
        </w:tabs>
        <w:ind w:left="1440" w:hanging="360"/>
      </w:pPr>
      <w:rPr>
        <w:rFonts w:ascii="Arial" w:hAnsi="Arial" w:hint="default"/>
      </w:rPr>
    </w:lvl>
    <w:lvl w:ilvl="2" w:tplc="FDEAC772" w:tentative="1">
      <w:start w:val="1"/>
      <w:numFmt w:val="bullet"/>
      <w:lvlText w:val="•"/>
      <w:lvlJc w:val="left"/>
      <w:pPr>
        <w:tabs>
          <w:tab w:val="num" w:pos="2160"/>
        </w:tabs>
        <w:ind w:left="2160" w:hanging="360"/>
      </w:pPr>
      <w:rPr>
        <w:rFonts w:ascii="Arial" w:hAnsi="Arial" w:hint="default"/>
      </w:rPr>
    </w:lvl>
    <w:lvl w:ilvl="3" w:tplc="1ED05E0C" w:tentative="1">
      <w:start w:val="1"/>
      <w:numFmt w:val="bullet"/>
      <w:lvlText w:val="•"/>
      <w:lvlJc w:val="left"/>
      <w:pPr>
        <w:tabs>
          <w:tab w:val="num" w:pos="2880"/>
        </w:tabs>
        <w:ind w:left="2880" w:hanging="360"/>
      </w:pPr>
      <w:rPr>
        <w:rFonts w:ascii="Arial" w:hAnsi="Arial" w:hint="default"/>
      </w:rPr>
    </w:lvl>
    <w:lvl w:ilvl="4" w:tplc="6D1EAB58" w:tentative="1">
      <w:start w:val="1"/>
      <w:numFmt w:val="bullet"/>
      <w:lvlText w:val="•"/>
      <w:lvlJc w:val="left"/>
      <w:pPr>
        <w:tabs>
          <w:tab w:val="num" w:pos="3600"/>
        </w:tabs>
        <w:ind w:left="3600" w:hanging="360"/>
      </w:pPr>
      <w:rPr>
        <w:rFonts w:ascii="Arial" w:hAnsi="Arial" w:hint="default"/>
      </w:rPr>
    </w:lvl>
    <w:lvl w:ilvl="5" w:tplc="BC022024" w:tentative="1">
      <w:start w:val="1"/>
      <w:numFmt w:val="bullet"/>
      <w:lvlText w:val="•"/>
      <w:lvlJc w:val="left"/>
      <w:pPr>
        <w:tabs>
          <w:tab w:val="num" w:pos="4320"/>
        </w:tabs>
        <w:ind w:left="4320" w:hanging="360"/>
      </w:pPr>
      <w:rPr>
        <w:rFonts w:ascii="Arial" w:hAnsi="Arial" w:hint="default"/>
      </w:rPr>
    </w:lvl>
    <w:lvl w:ilvl="6" w:tplc="6806365A" w:tentative="1">
      <w:start w:val="1"/>
      <w:numFmt w:val="bullet"/>
      <w:lvlText w:val="•"/>
      <w:lvlJc w:val="left"/>
      <w:pPr>
        <w:tabs>
          <w:tab w:val="num" w:pos="5040"/>
        </w:tabs>
        <w:ind w:left="5040" w:hanging="360"/>
      </w:pPr>
      <w:rPr>
        <w:rFonts w:ascii="Arial" w:hAnsi="Arial" w:hint="default"/>
      </w:rPr>
    </w:lvl>
    <w:lvl w:ilvl="7" w:tplc="68144120" w:tentative="1">
      <w:start w:val="1"/>
      <w:numFmt w:val="bullet"/>
      <w:lvlText w:val="•"/>
      <w:lvlJc w:val="left"/>
      <w:pPr>
        <w:tabs>
          <w:tab w:val="num" w:pos="5760"/>
        </w:tabs>
        <w:ind w:left="5760" w:hanging="360"/>
      </w:pPr>
      <w:rPr>
        <w:rFonts w:ascii="Arial" w:hAnsi="Arial" w:hint="default"/>
      </w:rPr>
    </w:lvl>
    <w:lvl w:ilvl="8" w:tplc="F4D64B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114FB8"/>
    <w:multiLevelType w:val="hybridMultilevel"/>
    <w:tmpl w:val="089A4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4F95092"/>
    <w:multiLevelType w:val="hybridMultilevel"/>
    <w:tmpl w:val="67CA2B16"/>
    <w:lvl w:ilvl="0" w:tplc="683C1C52">
      <w:start w:val="1"/>
      <w:numFmt w:val="bullet"/>
      <w:lvlText w:val="•"/>
      <w:lvlJc w:val="left"/>
      <w:pPr>
        <w:tabs>
          <w:tab w:val="num" w:pos="720"/>
        </w:tabs>
        <w:ind w:left="720" w:hanging="360"/>
      </w:pPr>
      <w:rPr>
        <w:rFonts w:ascii="Arial" w:hAnsi="Arial" w:hint="default"/>
      </w:rPr>
    </w:lvl>
    <w:lvl w:ilvl="1" w:tplc="CFF449FC">
      <w:numFmt w:val="bullet"/>
      <w:lvlText w:val="•"/>
      <w:lvlJc w:val="left"/>
      <w:pPr>
        <w:tabs>
          <w:tab w:val="num" w:pos="1440"/>
        </w:tabs>
        <w:ind w:left="1440" w:hanging="360"/>
      </w:pPr>
      <w:rPr>
        <w:rFonts w:ascii="Arial" w:hAnsi="Arial" w:hint="default"/>
      </w:rPr>
    </w:lvl>
    <w:lvl w:ilvl="2" w:tplc="C0E0EB36" w:tentative="1">
      <w:start w:val="1"/>
      <w:numFmt w:val="bullet"/>
      <w:lvlText w:val="•"/>
      <w:lvlJc w:val="left"/>
      <w:pPr>
        <w:tabs>
          <w:tab w:val="num" w:pos="2160"/>
        </w:tabs>
        <w:ind w:left="2160" w:hanging="360"/>
      </w:pPr>
      <w:rPr>
        <w:rFonts w:ascii="Arial" w:hAnsi="Arial" w:hint="default"/>
      </w:rPr>
    </w:lvl>
    <w:lvl w:ilvl="3" w:tplc="01A43B7E" w:tentative="1">
      <w:start w:val="1"/>
      <w:numFmt w:val="bullet"/>
      <w:lvlText w:val="•"/>
      <w:lvlJc w:val="left"/>
      <w:pPr>
        <w:tabs>
          <w:tab w:val="num" w:pos="2880"/>
        </w:tabs>
        <w:ind w:left="2880" w:hanging="360"/>
      </w:pPr>
      <w:rPr>
        <w:rFonts w:ascii="Arial" w:hAnsi="Arial" w:hint="default"/>
      </w:rPr>
    </w:lvl>
    <w:lvl w:ilvl="4" w:tplc="9FDE9D92" w:tentative="1">
      <w:start w:val="1"/>
      <w:numFmt w:val="bullet"/>
      <w:lvlText w:val="•"/>
      <w:lvlJc w:val="left"/>
      <w:pPr>
        <w:tabs>
          <w:tab w:val="num" w:pos="3600"/>
        </w:tabs>
        <w:ind w:left="3600" w:hanging="360"/>
      </w:pPr>
      <w:rPr>
        <w:rFonts w:ascii="Arial" w:hAnsi="Arial" w:hint="default"/>
      </w:rPr>
    </w:lvl>
    <w:lvl w:ilvl="5" w:tplc="6694BF38" w:tentative="1">
      <w:start w:val="1"/>
      <w:numFmt w:val="bullet"/>
      <w:lvlText w:val="•"/>
      <w:lvlJc w:val="left"/>
      <w:pPr>
        <w:tabs>
          <w:tab w:val="num" w:pos="4320"/>
        </w:tabs>
        <w:ind w:left="4320" w:hanging="360"/>
      </w:pPr>
      <w:rPr>
        <w:rFonts w:ascii="Arial" w:hAnsi="Arial" w:hint="default"/>
      </w:rPr>
    </w:lvl>
    <w:lvl w:ilvl="6" w:tplc="6AAE3108" w:tentative="1">
      <w:start w:val="1"/>
      <w:numFmt w:val="bullet"/>
      <w:lvlText w:val="•"/>
      <w:lvlJc w:val="left"/>
      <w:pPr>
        <w:tabs>
          <w:tab w:val="num" w:pos="5040"/>
        </w:tabs>
        <w:ind w:left="5040" w:hanging="360"/>
      </w:pPr>
      <w:rPr>
        <w:rFonts w:ascii="Arial" w:hAnsi="Arial" w:hint="default"/>
      </w:rPr>
    </w:lvl>
    <w:lvl w:ilvl="7" w:tplc="4F90A9D2" w:tentative="1">
      <w:start w:val="1"/>
      <w:numFmt w:val="bullet"/>
      <w:lvlText w:val="•"/>
      <w:lvlJc w:val="left"/>
      <w:pPr>
        <w:tabs>
          <w:tab w:val="num" w:pos="5760"/>
        </w:tabs>
        <w:ind w:left="5760" w:hanging="360"/>
      </w:pPr>
      <w:rPr>
        <w:rFonts w:ascii="Arial" w:hAnsi="Arial" w:hint="default"/>
      </w:rPr>
    </w:lvl>
    <w:lvl w:ilvl="8" w:tplc="8716E9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31" w15:restartNumberingAfterBreak="0">
    <w:nsid w:val="7A8F11ED"/>
    <w:multiLevelType w:val="hybridMultilevel"/>
    <w:tmpl w:val="B97C4E7C"/>
    <w:lvl w:ilvl="0" w:tplc="39E445F8">
      <w:start w:val="1"/>
      <w:numFmt w:val="bullet"/>
      <w:lvlText w:val="•"/>
      <w:lvlJc w:val="left"/>
      <w:pPr>
        <w:tabs>
          <w:tab w:val="num" w:pos="720"/>
        </w:tabs>
        <w:ind w:left="720" w:hanging="360"/>
      </w:pPr>
      <w:rPr>
        <w:rFonts w:ascii="Arial" w:hAnsi="Arial" w:hint="default"/>
      </w:rPr>
    </w:lvl>
    <w:lvl w:ilvl="1" w:tplc="9BC44E8C" w:tentative="1">
      <w:start w:val="1"/>
      <w:numFmt w:val="bullet"/>
      <w:lvlText w:val="•"/>
      <w:lvlJc w:val="left"/>
      <w:pPr>
        <w:tabs>
          <w:tab w:val="num" w:pos="1440"/>
        </w:tabs>
        <w:ind w:left="1440" w:hanging="360"/>
      </w:pPr>
      <w:rPr>
        <w:rFonts w:ascii="Arial" w:hAnsi="Arial" w:hint="default"/>
      </w:rPr>
    </w:lvl>
    <w:lvl w:ilvl="2" w:tplc="E8B86F2E" w:tentative="1">
      <w:start w:val="1"/>
      <w:numFmt w:val="bullet"/>
      <w:lvlText w:val="•"/>
      <w:lvlJc w:val="left"/>
      <w:pPr>
        <w:tabs>
          <w:tab w:val="num" w:pos="2160"/>
        </w:tabs>
        <w:ind w:left="2160" w:hanging="360"/>
      </w:pPr>
      <w:rPr>
        <w:rFonts w:ascii="Arial" w:hAnsi="Arial" w:hint="default"/>
      </w:rPr>
    </w:lvl>
    <w:lvl w:ilvl="3" w:tplc="B00EB57E" w:tentative="1">
      <w:start w:val="1"/>
      <w:numFmt w:val="bullet"/>
      <w:lvlText w:val="•"/>
      <w:lvlJc w:val="left"/>
      <w:pPr>
        <w:tabs>
          <w:tab w:val="num" w:pos="2880"/>
        </w:tabs>
        <w:ind w:left="2880" w:hanging="360"/>
      </w:pPr>
      <w:rPr>
        <w:rFonts w:ascii="Arial" w:hAnsi="Arial" w:hint="default"/>
      </w:rPr>
    </w:lvl>
    <w:lvl w:ilvl="4" w:tplc="116E1630" w:tentative="1">
      <w:start w:val="1"/>
      <w:numFmt w:val="bullet"/>
      <w:lvlText w:val="•"/>
      <w:lvlJc w:val="left"/>
      <w:pPr>
        <w:tabs>
          <w:tab w:val="num" w:pos="3600"/>
        </w:tabs>
        <w:ind w:left="3600" w:hanging="360"/>
      </w:pPr>
      <w:rPr>
        <w:rFonts w:ascii="Arial" w:hAnsi="Arial" w:hint="default"/>
      </w:rPr>
    </w:lvl>
    <w:lvl w:ilvl="5" w:tplc="707CAA9A" w:tentative="1">
      <w:start w:val="1"/>
      <w:numFmt w:val="bullet"/>
      <w:lvlText w:val="•"/>
      <w:lvlJc w:val="left"/>
      <w:pPr>
        <w:tabs>
          <w:tab w:val="num" w:pos="4320"/>
        </w:tabs>
        <w:ind w:left="4320" w:hanging="360"/>
      </w:pPr>
      <w:rPr>
        <w:rFonts w:ascii="Arial" w:hAnsi="Arial" w:hint="default"/>
      </w:rPr>
    </w:lvl>
    <w:lvl w:ilvl="6" w:tplc="796EFA08" w:tentative="1">
      <w:start w:val="1"/>
      <w:numFmt w:val="bullet"/>
      <w:lvlText w:val="•"/>
      <w:lvlJc w:val="left"/>
      <w:pPr>
        <w:tabs>
          <w:tab w:val="num" w:pos="5040"/>
        </w:tabs>
        <w:ind w:left="5040" w:hanging="360"/>
      </w:pPr>
      <w:rPr>
        <w:rFonts w:ascii="Arial" w:hAnsi="Arial" w:hint="default"/>
      </w:rPr>
    </w:lvl>
    <w:lvl w:ilvl="7" w:tplc="C7D865C6" w:tentative="1">
      <w:start w:val="1"/>
      <w:numFmt w:val="bullet"/>
      <w:lvlText w:val="•"/>
      <w:lvlJc w:val="left"/>
      <w:pPr>
        <w:tabs>
          <w:tab w:val="num" w:pos="5760"/>
        </w:tabs>
        <w:ind w:left="5760" w:hanging="360"/>
      </w:pPr>
      <w:rPr>
        <w:rFonts w:ascii="Arial" w:hAnsi="Arial" w:hint="default"/>
      </w:rPr>
    </w:lvl>
    <w:lvl w:ilvl="8" w:tplc="BF42EDD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8A12F1"/>
    <w:multiLevelType w:val="hybridMultilevel"/>
    <w:tmpl w:val="A9826A6C"/>
    <w:lvl w:ilvl="0" w:tplc="0F4C1DFE">
      <w:start w:val="1"/>
      <w:numFmt w:val="bullet"/>
      <w:lvlText w:val="•"/>
      <w:lvlJc w:val="left"/>
      <w:pPr>
        <w:tabs>
          <w:tab w:val="num" w:pos="720"/>
        </w:tabs>
        <w:ind w:left="720" w:hanging="360"/>
      </w:pPr>
      <w:rPr>
        <w:rFonts w:ascii="Arial" w:hAnsi="Arial" w:hint="default"/>
      </w:rPr>
    </w:lvl>
    <w:lvl w:ilvl="1" w:tplc="1CB49C70" w:tentative="1">
      <w:start w:val="1"/>
      <w:numFmt w:val="bullet"/>
      <w:lvlText w:val="•"/>
      <w:lvlJc w:val="left"/>
      <w:pPr>
        <w:tabs>
          <w:tab w:val="num" w:pos="1440"/>
        </w:tabs>
        <w:ind w:left="1440" w:hanging="360"/>
      </w:pPr>
      <w:rPr>
        <w:rFonts w:ascii="Arial" w:hAnsi="Arial" w:hint="default"/>
      </w:rPr>
    </w:lvl>
    <w:lvl w:ilvl="2" w:tplc="0AB2C85E" w:tentative="1">
      <w:start w:val="1"/>
      <w:numFmt w:val="bullet"/>
      <w:lvlText w:val="•"/>
      <w:lvlJc w:val="left"/>
      <w:pPr>
        <w:tabs>
          <w:tab w:val="num" w:pos="2160"/>
        </w:tabs>
        <w:ind w:left="2160" w:hanging="360"/>
      </w:pPr>
      <w:rPr>
        <w:rFonts w:ascii="Arial" w:hAnsi="Arial" w:hint="default"/>
      </w:rPr>
    </w:lvl>
    <w:lvl w:ilvl="3" w:tplc="69208C14" w:tentative="1">
      <w:start w:val="1"/>
      <w:numFmt w:val="bullet"/>
      <w:lvlText w:val="•"/>
      <w:lvlJc w:val="left"/>
      <w:pPr>
        <w:tabs>
          <w:tab w:val="num" w:pos="2880"/>
        </w:tabs>
        <w:ind w:left="2880" w:hanging="360"/>
      </w:pPr>
      <w:rPr>
        <w:rFonts w:ascii="Arial" w:hAnsi="Arial" w:hint="default"/>
      </w:rPr>
    </w:lvl>
    <w:lvl w:ilvl="4" w:tplc="59B4BFD0" w:tentative="1">
      <w:start w:val="1"/>
      <w:numFmt w:val="bullet"/>
      <w:lvlText w:val="•"/>
      <w:lvlJc w:val="left"/>
      <w:pPr>
        <w:tabs>
          <w:tab w:val="num" w:pos="3600"/>
        </w:tabs>
        <w:ind w:left="3600" w:hanging="360"/>
      </w:pPr>
      <w:rPr>
        <w:rFonts w:ascii="Arial" w:hAnsi="Arial" w:hint="default"/>
      </w:rPr>
    </w:lvl>
    <w:lvl w:ilvl="5" w:tplc="3AA2A9EC" w:tentative="1">
      <w:start w:val="1"/>
      <w:numFmt w:val="bullet"/>
      <w:lvlText w:val="•"/>
      <w:lvlJc w:val="left"/>
      <w:pPr>
        <w:tabs>
          <w:tab w:val="num" w:pos="4320"/>
        </w:tabs>
        <w:ind w:left="4320" w:hanging="360"/>
      </w:pPr>
      <w:rPr>
        <w:rFonts w:ascii="Arial" w:hAnsi="Arial" w:hint="default"/>
      </w:rPr>
    </w:lvl>
    <w:lvl w:ilvl="6" w:tplc="6A22FAE6" w:tentative="1">
      <w:start w:val="1"/>
      <w:numFmt w:val="bullet"/>
      <w:lvlText w:val="•"/>
      <w:lvlJc w:val="left"/>
      <w:pPr>
        <w:tabs>
          <w:tab w:val="num" w:pos="5040"/>
        </w:tabs>
        <w:ind w:left="5040" w:hanging="360"/>
      </w:pPr>
      <w:rPr>
        <w:rFonts w:ascii="Arial" w:hAnsi="Arial" w:hint="default"/>
      </w:rPr>
    </w:lvl>
    <w:lvl w:ilvl="7" w:tplc="CE341B24" w:tentative="1">
      <w:start w:val="1"/>
      <w:numFmt w:val="bullet"/>
      <w:lvlText w:val="•"/>
      <w:lvlJc w:val="left"/>
      <w:pPr>
        <w:tabs>
          <w:tab w:val="num" w:pos="5760"/>
        </w:tabs>
        <w:ind w:left="5760" w:hanging="360"/>
      </w:pPr>
      <w:rPr>
        <w:rFonts w:ascii="Arial" w:hAnsi="Arial" w:hint="default"/>
      </w:rPr>
    </w:lvl>
    <w:lvl w:ilvl="8" w:tplc="8AA43A5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
  </w:num>
  <w:num w:numId="3">
    <w:abstractNumId w:val="26"/>
  </w:num>
  <w:num w:numId="4">
    <w:abstractNumId w:val="30"/>
  </w:num>
  <w:num w:numId="5">
    <w:abstractNumId w:val="20"/>
  </w:num>
  <w:num w:numId="6">
    <w:abstractNumId w:val="5"/>
  </w:num>
  <w:num w:numId="7">
    <w:abstractNumId w:val="17"/>
  </w:num>
  <w:num w:numId="8">
    <w:abstractNumId w:val="2"/>
  </w:num>
  <w:num w:numId="9">
    <w:abstractNumId w:val="4"/>
  </w:num>
  <w:num w:numId="10">
    <w:abstractNumId w:val="3"/>
  </w:num>
  <w:num w:numId="11">
    <w:abstractNumId w:val="9"/>
  </w:num>
  <w:num w:numId="12">
    <w:abstractNumId w:val="12"/>
  </w:num>
  <w:num w:numId="13">
    <w:abstractNumId w:val="11"/>
  </w:num>
  <w:num w:numId="14">
    <w:abstractNumId w:val="6"/>
  </w:num>
  <w:num w:numId="15">
    <w:abstractNumId w:val="24"/>
  </w:num>
  <w:num w:numId="16">
    <w:abstractNumId w:val="14"/>
  </w:num>
  <w:num w:numId="17">
    <w:abstractNumId w:val="13"/>
  </w:num>
  <w:num w:numId="18">
    <w:abstractNumId w:val="19"/>
  </w:num>
  <w:num w:numId="19">
    <w:abstractNumId w:val="28"/>
  </w:num>
  <w:num w:numId="20">
    <w:abstractNumId w:val="22"/>
  </w:num>
  <w:num w:numId="21">
    <w:abstractNumId w:val="29"/>
  </w:num>
  <w:num w:numId="22">
    <w:abstractNumId w:val="23"/>
  </w:num>
  <w:num w:numId="23">
    <w:abstractNumId w:val="31"/>
  </w:num>
  <w:num w:numId="24">
    <w:abstractNumId w:val="32"/>
  </w:num>
  <w:num w:numId="25">
    <w:abstractNumId w:val="0"/>
  </w:num>
  <w:num w:numId="26">
    <w:abstractNumId w:val="7"/>
  </w:num>
  <w:num w:numId="27">
    <w:abstractNumId w:val="27"/>
  </w:num>
  <w:num w:numId="28">
    <w:abstractNumId w:val="18"/>
  </w:num>
  <w:num w:numId="29">
    <w:abstractNumId w:val="8"/>
  </w:num>
  <w:num w:numId="30">
    <w:abstractNumId w:val="21"/>
  </w:num>
  <w:num w:numId="31">
    <w:abstractNumId w:val="16"/>
  </w:num>
  <w:num w:numId="32">
    <w:abstractNumId w:val="10"/>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21CC"/>
    <w:rsid w:val="000131D4"/>
    <w:rsid w:val="0004558E"/>
    <w:rsid w:val="00063E08"/>
    <w:rsid w:val="00067B89"/>
    <w:rsid w:val="00073997"/>
    <w:rsid w:val="000A1878"/>
    <w:rsid w:val="000A2ED7"/>
    <w:rsid w:val="000A4BCB"/>
    <w:rsid w:val="000A7A19"/>
    <w:rsid w:val="000C154C"/>
    <w:rsid w:val="000D2930"/>
    <w:rsid w:val="000D669F"/>
    <w:rsid w:val="000E0A8A"/>
    <w:rsid w:val="000E2C03"/>
    <w:rsid w:val="0010016B"/>
    <w:rsid w:val="00100360"/>
    <w:rsid w:val="00106B71"/>
    <w:rsid w:val="001270A1"/>
    <w:rsid w:val="00164F56"/>
    <w:rsid w:val="0017747E"/>
    <w:rsid w:val="001E7174"/>
    <w:rsid w:val="001F437B"/>
    <w:rsid w:val="0020033A"/>
    <w:rsid w:val="002221AC"/>
    <w:rsid w:val="00222AF7"/>
    <w:rsid w:val="002328DD"/>
    <w:rsid w:val="002339ED"/>
    <w:rsid w:val="00245810"/>
    <w:rsid w:val="00254006"/>
    <w:rsid w:val="00254F38"/>
    <w:rsid w:val="002736F0"/>
    <w:rsid w:val="00282D3C"/>
    <w:rsid w:val="00294B79"/>
    <w:rsid w:val="002A5E54"/>
    <w:rsid w:val="002B3EF2"/>
    <w:rsid w:val="002B45C3"/>
    <w:rsid w:val="002C3930"/>
    <w:rsid w:val="002E668C"/>
    <w:rsid w:val="002F579F"/>
    <w:rsid w:val="0030638F"/>
    <w:rsid w:val="00311CF9"/>
    <w:rsid w:val="003139FE"/>
    <w:rsid w:val="00336939"/>
    <w:rsid w:val="00356FB6"/>
    <w:rsid w:val="00362718"/>
    <w:rsid w:val="0036592F"/>
    <w:rsid w:val="003664ED"/>
    <w:rsid w:val="00374A00"/>
    <w:rsid w:val="003A203A"/>
    <w:rsid w:val="003A5E2B"/>
    <w:rsid w:val="003D794D"/>
    <w:rsid w:val="003E683D"/>
    <w:rsid w:val="003F0451"/>
    <w:rsid w:val="003F762D"/>
    <w:rsid w:val="00406366"/>
    <w:rsid w:val="00430F24"/>
    <w:rsid w:val="00432636"/>
    <w:rsid w:val="00435EBD"/>
    <w:rsid w:val="00451B80"/>
    <w:rsid w:val="00461C12"/>
    <w:rsid w:val="00466D02"/>
    <w:rsid w:val="00477263"/>
    <w:rsid w:val="0049501A"/>
    <w:rsid w:val="004A2C40"/>
    <w:rsid w:val="004A678E"/>
    <w:rsid w:val="004A7CF2"/>
    <w:rsid w:val="004C4868"/>
    <w:rsid w:val="004E21D1"/>
    <w:rsid w:val="004F0167"/>
    <w:rsid w:val="00507437"/>
    <w:rsid w:val="0051050C"/>
    <w:rsid w:val="00520DD2"/>
    <w:rsid w:val="005235DB"/>
    <w:rsid w:val="00524B7B"/>
    <w:rsid w:val="0052623A"/>
    <w:rsid w:val="00530EB0"/>
    <w:rsid w:val="005375AA"/>
    <w:rsid w:val="00545EC2"/>
    <w:rsid w:val="0054734A"/>
    <w:rsid w:val="005A456B"/>
    <w:rsid w:val="005E4CCD"/>
    <w:rsid w:val="005F5231"/>
    <w:rsid w:val="006A79AC"/>
    <w:rsid w:val="006D43CD"/>
    <w:rsid w:val="006D6AF1"/>
    <w:rsid w:val="006F27CD"/>
    <w:rsid w:val="00701598"/>
    <w:rsid w:val="00702FA5"/>
    <w:rsid w:val="00712608"/>
    <w:rsid w:val="00714064"/>
    <w:rsid w:val="007200C7"/>
    <w:rsid w:val="00723883"/>
    <w:rsid w:val="00732D90"/>
    <w:rsid w:val="00736D84"/>
    <w:rsid w:val="0077159B"/>
    <w:rsid w:val="007902A8"/>
    <w:rsid w:val="007A37DA"/>
    <w:rsid w:val="007B7142"/>
    <w:rsid w:val="007C04D0"/>
    <w:rsid w:val="007D0DF7"/>
    <w:rsid w:val="007D3409"/>
    <w:rsid w:val="007E5F97"/>
    <w:rsid w:val="007E67EC"/>
    <w:rsid w:val="007F2E6A"/>
    <w:rsid w:val="00804945"/>
    <w:rsid w:val="00806052"/>
    <w:rsid w:val="008215C5"/>
    <w:rsid w:val="008446CE"/>
    <w:rsid w:val="0087326D"/>
    <w:rsid w:val="00873C1C"/>
    <w:rsid w:val="008766C3"/>
    <w:rsid w:val="00884051"/>
    <w:rsid w:val="0088604D"/>
    <w:rsid w:val="008921D4"/>
    <w:rsid w:val="00892EAE"/>
    <w:rsid w:val="008A1C4E"/>
    <w:rsid w:val="008A6B2A"/>
    <w:rsid w:val="008B4F73"/>
    <w:rsid w:val="008D55C5"/>
    <w:rsid w:val="008E2591"/>
    <w:rsid w:val="00907365"/>
    <w:rsid w:val="00914A03"/>
    <w:rsid w:val="0091568D"/>
    <w:rsid w:val="00915DEA"/>
    <w:rsid w:val="009450D8"/>
    <w:rsid w:val="009708D0"/>
    <w:rsid w:val="0099102E"/>
    <w:rsid w:val="009968CF"/>
    <w:rsid w:val="009A5118"/>
    <w:rsid w:val="009B226D"/>
    <w:rsid w:val="009C4B04"/>
    <w:rsid w:val="009C4E39"/>
    <w:rsid w:val="009C7D5E"/>
    <w:rsid w:val="009D03C6"/>
    <w:rsid w:val="009D12F7"/>
    <w:rsid w:val="009D2942"/>
    <w:rsid w:val="009D4189"/>
    <w:rsid w:val="009E3626"/>
    <w:rsid w:val="009E3A88"/>
    <w:rsid w:val="009E6763"/>
    <w:rsid w:val="009E6DC8"/>
    <w:rsid w:val="00A1597D"/>
    <w:rsid w:val="00A22790"/>
    <w:rsid w:val="00A26AB0"/>
    <w:rsid w:val="00A33C20"/>
    <w:rsid w:val="00A34913"/>
    <w:rsid w:val="00A35F07"/>
    <w:rsid w:val="00A370AA"/>
    <w:rsid w:val="00A42E3A"/>
    <w:rsid w:val="00AC2C97"/>
    <w:rsid w:val="00AD65F4"/>
    <w:rsid w:val="00AD69AA"/>
    <w:rsid w:val="00AE165A"/>
    <w:rsid w:val="00AE6BE0"/>
    <w:rsid w:val="00AF5966"/>
    <w:rsid w:val="00B03811"/>
    <w:rsid w:val="00B10C6E"/>
    <w:rsid w:val="00B23292"/>
    <w:rsid w:val="00B2746E"/>
    <w:rsid w:val="00B343A3"/>
    <w:rsid w:val="00B41E6D"/>
    <w:rsid w:val="00B71C35"/>
    <w:rsid w:val="00B73A82"/>
    <w:rsid w:val="00B76F4D"/>
    <w:rsid w:val="00B9001D"/>
    <w:rsid w:val="00B911CA"/>
    <w:rsid w:val="00BB2A32"/>
    <w:rsid w:val="00BC449A"/>
    <w:rsid w:val="00BC47AB"/>
    <w:rsid w:val="00BD2AB1"/>
    <w:rsid w:val="00BE1FD4"/>
    <w:rsid w:val="00BE1FEB"/>
    <w:rsid w:val="00BE677A"/>
    <w:rsid w:val="00BE6A2E"/>
    <w:rsid w:val="00BF00A7"/>
    <w:rsid w:val="00BF33D9"/>
    <w:rsid w:val="00BF62DA"/>
    <w:rsid w:val="00C11B10"/>
    <w:rsid w:val="00C166E3"/>
    <w:rsid w:val="00C31920"/>
    <w:rsid w:val="00C338CA"/>
    <w:rsid w:val="00C42942"/>
    <w:rsid w:val="00C50A0A"/>
    <w:rsid w:val="00C638D8"/>
    <w:rsid w:val="00C83525"/>
    <w:rsid w:val="00C972C5"/>
    <w:rsid w:val="00CA1729"/>
    <w:rsid w:val="00CA1DAE"/>
    <w:rsid w:val="00CE0DA0"/>
    <w:rsid w:val="00D24B94"/>
    <w:rsid w:val="00D34050"/>
    <w:rsid w:val="00D41D2D"/>
    <w:rsid w:val="00D53A4A"/>
    <w:rsid w:val="00D82643"/>
    <w:rsid w:val="00DB10D2"/>
    <w:rsid w:val="00DB1DD4"/>
    <w:rsid w:val="00DB61B3"/>
    <w:rsid w:val="00DD1DFF"/>
    <w:rsid w:val="00DF0231"/>
    <w:rsid w:val="00E04C43"/>
    <w:rsid w:val="00E06181"/>
    <w:rsid w:val="00E16D37"/>
    <w:rsid w:val="00E17F78"/>
    <w:rsid w:val="00E22D0F"/>
    <w:rsid w:val="00E5666B"/>
    <w:rsid w:val="00E577DD"/>
    <w:rsid w:val="00E72064"/>
    <w:rsid w:val="00E775B2"/>
    <w:rsid w:val="00E83537"/>
    <w:rsid w:val="00E91110"/>
    <w:rsid w:val="00E9184C"/>
    <w:rsid w:val="00EA4E79"/>
    <w:rsid w:val="00EA5149"/>
    <w:rsid w:val="00EB02DF"/>
    <w:rsid w:val="00EE4EEA"/>
    <w:rsid w:val="00EE6F45"/>
    <w:rsid w:val="00EF1F3E"/>
    <w:rsid w:val="00EF66B2"/>
    <w:rsid w:val="00F0497C"/>
    <w:rsid w:val="00F076D1"/>
    <w:rsid w:val="00F10653"/>
    <w:rsid w:val="00F15C9D"/>
    <w:rsid w:val="00F22DF5"/>
    <w:rsid w:val="00F303F4"/>
    <w:rsid w:val="00F413E7"/>
    <w:rsid w:val="00F43475"/>
    <w:rsid w:val="00F559B5"/>
    <w:rsid w:val="00F714A7"/>
    <w:rsid w:val="00FA1D27"/>
    <w:rsid w:val="00FA4943"/>
    <w:rsid w:val="00FC0387"/>
    <w:rsid w:val="00FC0F9D"/>
    <w:rsid w:val="00FC2E44"/>
    <w:rsid w:val="00FC3492"/>
    <w:rsid w:val="00FD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40D95EB6-855F-47E1-97ED-A28E903F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164F5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 w:type="character" w:customStyle="1" w:styleId="4Char">
    <w:name w:val="标题 4 Char"/>
    <w:basedOn w:val="a0"/>
    <w:link w:val="4"/>
    <w:uiPriority w:val="9"/>
    <w:rsid w:val="00164F56"/>
    <w:rPr>
      <w:rFonts w:asciiTheme="majorHAnsi" w:eastAsiaTheme="majorEastAsia" w:hAnsiTheme="majorHAnsi" w:cstheme="majorBidi"/>
      <w:b/>
      <w:bCs/>
      <w:kern w:val="0"/>
      <w:sz w:val="28"/>
      <w:szCs w:val="28"/>
      <w:lang w:val="en-GB" w:eastAsia="en-US"/>
    </w:rPr>
  </w:style>
  <w:style w:type="character" w:customStyle="1" w:styleId="B1Char">
    <w:name w:val="B1 Char"/>
    <w:qFormat/>
    <w:locked/>
    <w:rsid w:val="00461C12"/>
    <w:rPr>
      <w:rFonts w:ascii="Times New Roman" w:eastAsia="Times New Roman" w:hAnsi="Times New Roman" w:cs="Times New Roman"/>
    </w:rPr>
  </w:style>
  <w:style w:type="character" w:customStyle="1" w:styleId="B2Char">
    <w:name w:val="B2 Char"/>
    <w:link w:val="B2"/>
    <w:qFormat/>
    <w:locked/>
    <w:rsid w:val="00461C12"/>
    <w:rPr>
      <w:rFonts w:ascii="Times New Roman" w:eastAsia="Times New Roman" w:hAnsi="Times New Roman" w:cs="Times New Roman"/>
    </w:rPr>
  </w:style>
  <w:style w:type="paragraph" w:customStyle="1" w:styleId="B2">
    <w:name w:val="B2"/>
    <w:basedOn w:val="20"/>
    <w:link w:val="B2Char"/>
    <w:rsid w:val="00461C12"/>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paragraph" w:styleId="20">
    <w:name w:val="List 2"/>
    <w:basedOn w:val="a"/>
    <w:uiPriority w:val="99"/>
    <w:semiHidden/>
    <w:unhideWhenUsed/>
    <w:rsid w:val="00461C1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717">
      <w:bodyDiv w:val="1"/>
      <w:marLeft w:val="0"/>
      <w:marRight w:val="0"/>
      <w:marTop w:val="0"/>
      <w:marBottom w:val="0"/>
      <w:divBdr>
        <w:top w:val="none" w:sz="0" w:space="0" w:color="auto"/>
        <w:left w:val="none" w:sz="0" w:space="0" w:color="auto"/>
        <w:bottom w:val="none" w:sz="0" w:space="0" w:color="auto"/>
        <w:right w:val="none" w:sz="0" w:space="0" w:color="auto"/>
      </w:divBdr>
      <w:divsChild>
        <w:div w:id="2089185858">
          <w:marLeft w:val="360"/>
          <w:marRight w:val="0"/>
          <w:marTop w:val="200"/>
          <w:marBottom w:val="0"/>
          <w:divBdr>
            <w:top w:val="none" w:sz="0" w:space="0" w:color="auto"/>
            <w:left w:val="none" w:sz="0" w:space="0" w:color="auto"/>
            <w:bottom w:val="none" w:sz="0" w:space="0" w:color="auto"/>
            <w:right w:val="none" w:sz="0" w:space="0" w:color="auto"/>
          </w:divBdr>
        </w:div>
        <w:div w:id="1183472512">
          <w:marLeft w:val="360"/>
          <w:marRight w:val="0"/>
          <w:marTop w:val="200"/>
          <w:marBottom w:val="0"/>
          <w:divBdr>
            <w:top w:val="none" w:sz="0" w:space="0" w:color="auto"/>
            <w:left w:val="none" w:sz="0" w:space="0" w:color="auto"/>
            <w:bottom w:val="none" w:sz="0" w:space="0" w:color="auto"/>
            <w:right w:val="none" w:sz="0" w:space="0" w:color="auto"/>
          </w:divBdr>
        </w:div>
        <w:div w:id="1484080709">
          <w:marLeft w:val="1080"/>
          <w:marRight w:val="0"/>
          <w:marTop w:val="100"/>
          <w:marBottom w:val="0"/>
          <w:divBdr>
            <w:top w:val="none" w:sz="0" w:space="0" w:color="auto"/>
            <w:left w:val="none" w:sz="0" w:space="0" w:color="auto"/>
            <w:bottom w:val="none" w:sz="0" w:space="0" w:color="auto"/>
            <w:right w:val="none" w:sz="0" w:space="0" w:color="auto"/>
          </w:divBdr>
        </w:div>
        <w:div w:id="160002846">
          <w:marLeft w:val="1080"/>
          <w:marRight w:val="0"/>
          <w:marTop w:val="100"/>
          <w:marBottom w:val="0"/>
          <w:divBdr>
            <w:top w:val="none" w:sz="0" w:space="0" w:color="auto"/>
            <w:left w:val="none" w:sz="0" w:space="0" w:color="auto"/>
            <w:bottom w:val="none" w:sz="0" w:space="0" w:color="auto"/>
            <w:right w:val="none" w:sz="0" w:space="0" w:color="auto"/>
          </w:divBdr>
        </w:div>
      </w:divsChild>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48237797">
      <w:bodyDiv w:val="1"/>
      <w:marLeft w:val="0"/>
      <w:marRight w:val="0"/>
      <w:marTop w:val="0"/>
      <w:marBottom w:val="0"/>
      <w:divBdr>
        <w:top w:val="none" w:sz="0" w:space="0" w:color="auto"/>
        <w:left w:val="none" w:sz="0" w:space="0" w:color="auto"/>
        <w:bottom w:val="none" w:sz="0" w:space="0" w:color="auto"/>
        <w:right w:val="none" w:sz="0" w:space="0" w:color="auto"/>
      </w:divBdr>
      <w:divsChild>
        <w:div w:id="921180488">
          <w:marLeft w:val="360"/>
          <w:marRight w:val="0"/>
          <w:marTop w:val="200"/>
          <w:marBottom w:val="0"/>
          <w:divBdr>
            <w:top w:val="none" w:sz="0" w:space="0" w:color="auto"/>
            <w:left w:val="none" w:sz="0" w:space="0" w:color="auto"/>
            <w:bottom w:val="none" w:sz="0" w:space="0" w:color="auto"/>
            <w:right w:val="none" w:sz="0" w:space="0" w:color="auto"/>
          </w:divBdr>
        </w:div>
        <w:div w:id="23479396">
          <w:marLeft w:val="360"/>
          <w:marRight w:val="0"/>
          <w:marTop w:val="200"/>
          <w:marBottom w:val="0"/>
          <w:divBdr>
            <w:top w:val="none" w:sz="0" w:space="0" w:color="auto"/>
            <w:left w:val="none" w:sz="0" w:space="0" w:color="auto"/>
            <w:bottom w:val="none" w:sz="0" w:space="0" w:color="auto"/>
            <w:right w:val="none" w:sz="0" w:space="0" w:color="auto"/>
          </w:divBdr>
        </w:div>
        <w:div w:id="286619523">
          <w:marLeft w:val="1080"/>
          <w:marRight w:val="0"/>
          <w:marTop w:val="100"/>
          <w:marBottom w:val="0"/>
          <w:divBdr>
            <w:top w:val="none" w:sz="0" w:space="0" w:color="auto"/>
            <w:left w:val="none" w:sz="0" w:space="0" w:color="auto"/>
            <w:bottom w:val="none" w:sz="0" w:space="0" w:color="auto"/>
            <w:right w:val="none" w:sz="0" w:space="0" w:color="auto"/>
          </w:divBdr>
        </w:div>
        <w:div w:id="935137148">
          <w:marLeft w:val="108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77867525">
      <w:bodyDiv w:val="1"/>
      <w:marLeft w:val="0"/>
      <w:marRight w:val="0"/>
      <w:marTop w:val="0"/>
      <w:marBottom w:val="0"/>
      <w:divBdr>
        <w:top w:val="none" w:sz="0" w:space="0" w:color="auto"/>
        <w:left w:val="none" w:sz="0" w:space="0" w:color="auto"/>
        <w:bottom w:val="none" w:sz="0" w:space="0" w:color="auto"/>
        <w:right w:val="none" w:sz="0" w:space="0" w:color="auto"/>
      </w:divBdr>
      <w:divsChild>
        <w:div w:id="474185603">
          <w:marLeft w:val="360"/>
          <w:marRight w:val="0"/>
          <w:marTop w:val="200"/>
          <w:marBottom w:val="0"/>
          <w:divBdr>
            <w:top w:val="none" w:sz="0" w:space="0" w:color="auto"/>
            <w:left w:val="none" w:sz="0" w:space="0" w:color="auto"/>
            <w:bottom w:val="none" w:sz="0" w:space="0" w:color="auto"/>
            <w:right w:val="none" w:sz="0" w:space="0" w:color="auto"/>
          </w:divBdr>
        </w:div>
        <w:div w:id="1851985591">
          <w:marLeft w:val="360"/>
          <w:marRight w:val="0"/>
          <w:marTop w:val="200"/>
          <w:marBottom w:val="0"/>
          <w:divBdr>
            <w:top w:val="none" w:sz="0" w:space="0" w:color="auto"/>
            <w:left w:val="none" w:sz="0" w:space="0" w:color="auto"/>
            <w:bottom w:val="none" w:sz="0" w:space="0" w:color="auto"/>
            <w:right w:val="none" w:sz="0" w:space="0" w:color="auto"/>
          </w:divBdr>
        </w:div>
      </w:divsChild>
    </w:div>
    <w:div w:id="99301051">
      <w:bodyDiv w:val="1"/>
      <w:marLeft w:val="0"/>
      <w:marRight w:val="0"/>
      <w:marTop w:val="0"/>
      <w:marBottom w:val="0"/>
      <w:divBdr>
        <w:top w:val="none" w:sz="0" w:space="0" w:color="auto"/>
        <w:left w:val="none" w:sz="0" w:space="0" w:color="auto"/>
        <w:bottom w:val="none" w:sz="0" w:space="0" w:color="auto"/>
        <w:right w:val="none" w:sz="0" w:space="0" w:color="auto"/>
      </w:divBdr>
    </w:div>
    <w:div w:id="147093299">
      <w:bodyDiv w:val="1"/>
      <w:marLeft w:val="0"/>
      <w:marRight w:val="0"/>
      <w:marTop w:val="0"/>
      <w:marBottom w:val="0"/>
      <w:divBdr>
        <w:top w:val="none" w:sz="0" w:space="0" w:color="auto"/>
        <w:left w:val="none" w:sz="0" w:space="0" w:color="auto"/>
        <w:bottom w:val="none" w:sz="0" w:space="0" w:color="auto"/>
        <w:right w:val="none" w:sz="0" w:space="0" w:color="auto"/>
      </w:divBdr>
      <w:divsChild>
        <w:div w:id="321857829">
          <w:marLeft w:val="360"/>
          <w:marRight w:val="0"/>
          <w:marTop w:val="200"/>
          <w:marBottom w:val="240"/>
          <w:divBdr>
            <w:top w:val="none" w:sz="0" w:space="0" w:color="auto"/>
            <w:left w:val="none" w:sz="0" w:space="0" w:color="auto"/>
            <w:bottom w:val="none" w:sz="0" w:space="0" w:color="auto"/>
            <w:right w:val="none" w:sz="0" w:space="0" w:color="auto"/>
          </w:divBdr>
        </w:div>
        <w:div w:id="1977104568">
          <w:marLeft w:val="360"/>
          <w:marRight w:val="0"/>
          <w:marTop w:val="200"/>
          <w:marBottom w:val="240"/>
          <w:divBdr>
            <w:top w:val="none" w:sz="0" w:space="0" w:color="auto"/>
            <w:left w:val="none" w:sz="0" w:space="0" w:color="auto"/>
            <w:bottom w:val="none" w:sz="0" w:space="0" w:color="auto"/>
            <w:right w:val="none" w:sz="0" w:space="0" w:color="auto"/>
          </w:divBdr>
        </w:div>
      </w:divsChild>
    </w:div>
    <w:div w:id="157965768">
      <w:bodyDiv w:val="1"/>
      <w:marLeft w:val="0"/>
      <w:marRight w:val="0"/>
      <w:marTop w:val="0"/>
      <w:marBottom w:val="0"/>
      <w:divBdr>
        <w:top w:val="none" w:sz="0" w:space="0" w:color="auto"/>
        <w:left w:val="none" w:sz="0" w:space="0" w:color="auto"/>
        <w:bottom w:val="none" w:sz="0" w:space="0" w:color="auto"/>
        <w:right w:val="none" w:sz="0" w:space="0" w:color="auto"/>
      </w:divBdr>
      <w:divsChild>
        <w:div w:id="1883832401">
          <w:marLeft w:val="360"/>
          <w:marRight w:val="0"/>
          <w:marTop w:val="200"/>
          <w:marBottom w:val="0"/>
          <w:divBdr>
            <w:top w:val="none" w:sz="0" w:space="0" w:color="auto"/>
            <w:left w:val="none" w:sz="0" w:space="0" w:color="auto"/>
            <w:bottom w:val="none" w:sz="0" w:space="0" w:color="auto"/>
            <w:right w:val="none" w:sz="0" w:space="0" w:color="auto"/>
          </w:divBdr>
        </w:div>
        <w:div w:id="1701973767">
          <w:marLeft w:val="360"/>
          <w:marRight w:val="0"/>
          <w:marTop w:val="200"/>
          <w:marBottom w:val="0"/>
          <w:divBdr>
            <w:top w:val="none" w:sz="0" w:space="0" w:color="auto"/>
            <w:left w:val="none" w:sz="0" w:space="0" w:color="auto"/>
            <w:bottom w:val="none" w:sz="0" w:space="0" w:color="auto"/>
            <w:right w:val="none" w:sz="0" w:space="0" w:color="auto"/>
          </w:divBdr>
        </w:div>
        <w:div w:id="766657107">
          <w:marLeft w:val="1080"/>
          <w:marRight w:val="0"/>
          <w:marTop w:val="100"/>
          <w:marBottom w:val="0"/>
          <w:divBdr>
            <w:top w:val="none" w:sz="0" w:space="0" w:color="auto"/>
            <w:left w:val="none" w:sz="0" w:space="0" w:color="auto"/>
            <w:bottom w:val="none" w:sz="0" w:space="0" w:color="auto"/>
            <w:right w:val="none" w:sz="0" w:space="0" w:color="auto"/>
          </w:divBdr>
        </w:div>
      </w:divsChild>
    </w:div>
    <w:div w:id="195503486">
      <w:bodyDiv w:val="1"/>
      <w:marLeft w:val="0"/>
      <w:marRight w:val="0"/>
      <w:marTop w:val="0"/>
      <w:marBottom w:val="0"/>
      <w:divBdr>
        <w:top w:val="none" w:sz="0" w:space="0" w:color="auto"/>
        <w:left w:val="none" w:sz="0" w:space="0" w:color="auto"/>
        <w:bottom w:val="none" w:sz="0" w:space="0" w:color="auto"/>
        <w:right w:val="none" w:sz="0" w:space="0" w:color="auto"/>
      </w:divBdr>
    </w:div>
    <w:div w:id="217207057">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9725001">
      <w:bodyDiv w:val="1"/>
      <w:marLeft w:val="0"/>
      <w:marRight w:val="0"/>
      <w:marTop w:val="0"/>
      <w:marBottom w:val="0"/>
      <w:divBdr>
        <w:top w:val="none" w:sz="0" w:space="0" w:color="auto"/>
        <w:left w:val="none" w:sz="0" w:space="0" w:color="auto"/>
        <w:bottom w:val="none" w:sz="0" w:space="0" w:color="auto"/>
        <w:right w:val="none" w:sz="0" w:space="0" w:color="auto"/>
      </w:divBdr>
    </w:div>
    <w:div w:id="27872695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2872807">
      <w:bodyDiv w:val="1"/>
      <w:marLeft w:val="0"/>
      <w:marRight w:val="0"/>
      <w:marTop w:val="0"/>
      <w:marBottom w:val="0"/>
      <w:divBdr>
        <w:top w:val="none" w:sz="0" w:space="0" w:color="auto"/>
        <w:left w:val="none" w:sz="0" w:space="0" w:color="auto"/>
        <w:bottom w:val="none" w:sz="0" w:space="0" w:color="auto"/>
        <w:right w:val="none" w:sz="0" w:space="0" w:color="auto"/>
      </w:divBdr>
      <w:divsChild>
        <w:div w:id="1217938670">
          <w:marLeft w:val="360"/>
          <w:marRight w:val="0"/>
          <w:marTop w:val="200"/>
          <w:marBottom w:val="0"/>
          <w:divBdr>
            <w:top w:val="none" w:sz="0" w:space="0" w:color="auto"/>
            <w:left w:val="none" w:sz="0" w:space="0" w:color="auto"/>
            <w:bottom w:val="none" w:sz="0" w:space="0" w:color="auto"/>
            <w:right w:val="none" w:sz="0" w:space="0" w:color="auto"/>
          </w:divBdr>
        </w:div>
        <w:div w:id="1301613279">
          <w:marLeft w:val="360"/>
          <w:marRight w:val="0"/>
          <w:marTop w:val="200"/>
          <w:marBottom w:val="0"/>
          <w:divBdr>
            <w:top w:val="none" w:sz="0" w:space="0" w:color="auto"/>
            <w:left w:val="none" w:sz="0" w:space="0" w:color="auto"/>
            <w:bottom w:val="none" w:sz="0" w:space="0" w:color="auto"/>
            <w:right w:val="none" w:sz="0" w:space="0" w:color="auto"/>
          </w:divBdr>
        </w:div>
      </w:divsChild>
    </w:div>
    <w:div w:id="313414952">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67461211">
      <w:bodyDiv w:val="1"/>
      <w:marLeft w:val="0"/>
      <w:marRight w:val="0"/>
      <w:marTop w:val="0"/>
      <w:marBottom w:val="0"/>
      <w:divBdr>
        <w:top w:val="none" w:sz="0" w:space="0" w:color="auto"/>
        <w:left w:val="none" w:sz="0" w:space="0" w:color="auto"/>
        <w:bottom w:val="none" w:sz="0" w:space="0" w:color="auto"/>
        <w:right w:val="none" w:sz="0" w:space="0" w:color="auto"/>
      </w:divBdr>
    </w:div>
    <w:div w:id="405303830">
      <w:bodyDiv w:val="1"/>
      <w:marLeft w:val="0"/>
      <w:marRight w:val="0"/>
      <w:marTop w:val="0"/>
      <w:marBottom w:val="0"/>
      <w:divBdr>
        <w:top w:val="none" w:sz="0" w:space="0" w:color="auto"/>
        <w:left w:val="none" w:sz="0" w:space="0" w:color="auto"/>
        <w:bottom w:val="none" w:sz="0" w:space="0" w:color="auto"/>
        <w:right w:val="none" w:sz="0" w:space="0" w:color="auto"/>
      </w:divBdr>
      <w:divsChild>
        <w:div w:id="987631290">
          <w:marLeft w:val="360"/>
          <w:marRight w:val="0"/>
          <w:marTop w:val="200"/>
          <w:marBottom w:val="0"/>
          <w:divBdr>
            <w:top w:val="none" w:sz="0" w:space="0" w:color="auto"/>
            <w:left w:val="none" w:sz="0" w:space="0" w:color="auto"/>
            <w:bottom w:val="none" w:sz="0" w:space="0" w:color="auto"/>
            <w:right w:val="none" w:sz="0" w:space="0" w:color="auto"/>
          </w:divBdr>
        </w:div>
        <w:div w:id="1584954090">
          <w:marLeft w:val="360"/>
          <w:marRight w:val="0"/>
          <w:marTop w:val="200"/>
          <w:marBottom w:val="0"/>
          <w:divBdr>
            <w:top w:val="none" w:sz="0" w:space="0" w:color="auto"/>
            <w:left w:val="none" w:sz="0" w:space="0" w:color="auto"/>
            <w:bottom w:val="none" w:sz="0" w:space="0" w:color="auto"/>
            <w:right w:val="none" w:sz="0" w:space="0" w:color="auto"/>
          </w:divBdr>
        </w:div>
      </w:divsChild>
    </w:div>
    <w:div w:id="448016879">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59709795">
      <w:bodyDiv w:val="1"/>
      <w:marLeft w:val="0"/>
      <w:marRight w:val="0"/>
      <w:marTop w:val="0"/>
      <w:marBottom w:val="0"/>
      <w:divBdr>
        <w:top w:val="none" w:sz="0" w:space="0" w:color="auto"/>
        <w:left w:val="none" w:sz="0" w:space="0" w:color="auto"/>
        <w:bottom w:val="none" w:sz="0" w:space="0" w:color="auto"/>
        <w:right w:val="none" w:sz="0" w:space="0" w:color="auto"/>
      </w:divBdr>
    </w:div>
    <w:div w:id="61278877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658716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07091213">
      <w:bodyDiv w:val="1"/>
      <w:marLeft w:val="0"/>
      <w:marRight w:val="0"/>
      <w:marTop w:val="0"/>
      <w:marBottom w:val="0"/>
      <w:divBdr>
        <w:top w:val="none" w:sz="0" w:space="0" w:color="auto"/>
        <w:left w:val="none" w:sz="0" w:space="0" w:color="auto"/>
        <w:bottom w:val="none" w:sz="0" w:space="0" w:color="auto"/>
        <w:right w:val="none" w:sz="0" w:space="0" w:color="auto"/>
      </w:divBdr>
    </w:div>
    <w:div w:id="835263235">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1724777">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55254604">
      <w:bodyDiv w:val="1"/>
      <w:marLeft w:val="0"/>
      <w:marRight w:val="0"/>
      <w:marTop w:val="0"/>
      <w:marBottom w:val="0"/>
      <w:divBdr>
        <w:top w:val="none" w:sz="0" w:space="0" w:color="auto"/>
        <w:left w:val="none" w:sz="0" w:space="0" w:color="auto"/>
        <w:bottom w:val="none" w:sz="0" w:space="0" w:color="auto"/>
        <w:right w:val="none" w:sz="0" w:space="0" w:color="auto"/>
      </w:divBdr>
    </w:div>
    <w:div w:id="997079873">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82550721">
      <w:bodyDiv w:val="1"/>
      <w:marLeft w:val="0"/>
      <w:marRight w:val="0"/>
      <w:marTop w:val="0"/>
      <w:marBottom w:val="0"/>
      <w:divBdr>
        <w:top w:val="none" w:sz="0" w:space="0" w:color="auto"/>
        <w:left w:val="none" w:sz="0" w:space="0" w:color="auto"/>
        <w:bottom w:val="none" w:sz="0" w:space="0" w:color="auto"/>
        <w:right w:val="none" w:sz="0" w:space="0" w:color="auto"/>
      </w:divBdr>
      <w:divsChild>
        <w:div w:id="1518737485">
          <w:marLeft w:val="360"/>
          <w:marRight w:val="0"/>
          <w:marTop w:val="200"/>
          <w:marBottom w:val="0"/>
          <w:divBdr>
            <w:top w:val="none" w:sz="0" w:space="0" w:color="auto"/>
            <w:left w:val="none" w:sz="0" w:space="0" w:color="auto"/>
            <w:bottom w:val="none" w:sz="0" w:space="0" w:color="auto"/>
            <w:right w:val="none" w:sz="0" w:space="0" w:color="auto"/>
          </w:divBdr>
        </w:div>
        <w:div w:id="1620795654">
          <w:marLeft w:val="360"/>
          <w:marRight w:val="0"/>
          <w:marTop w:val="200"/>
          <w:marBottom w:val="0"/>
          <w:divBdr>
            <w:top w:val="none" w:sz="0" w:space="0" w:color="auto"/>
            <w:left w:val="none" w:sz="0" w:space="0" w:color="auto"/>
            <w:bottom w:val="none" w:sz="0" w:space="0" w:color="auto"/>
            <w:right w:val="none" w:sz="0" w:space="0" w:color="auto"/>
          </w:divBdr>
        </w:div>
        <w:div w:id="2033726907">
          <w:marLeft w:val="1080"/>
          <w:marRight w:val="0"/>
          <w:marTop w:val="100"/>
          <w:marBottom w:val="0"/>
          <w:divBdr>
            <w:top w:val="none" w:sz="0" w:space="0" w:color="auto"/>
            <w:left w:val="none" w:sz="0" w:space="0" w:color="auto"/>
            <w:bottom w:val="none" w:sz="0" w:space="0" w:color="auto"/>
            <w:right w:val="none" w:sz="0" w:space="0" w:color="auto"/>
          </w:divBdr>
        </w:div>
        <w:div w:id="1684672061">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13628309">
      <w:bodyDiv w:val="1"/>
      <w:marLeft w:val="0"/>
      <w:marRight w:val="0"/>
      <w:marTop w:val="0"/>
      <w:marBottom w:val="0"/>
      <w:divBdr>
        <w:top w:val="none" w:sz="0" w:space="0" w:color="auto"/>
        <w:left w:val="none" w:sz="0" w:space="0" w:color="auto"/>
        <w:bottom w:val="none" w:sz="0" w:space="0" w:color="auto"/>
        <w:right w:val="none" w:sz="0" w:space="0" w:color="auto"/>
      </w:divBdr>
      <w:divsChild>
        <w:div w:id="1254705561">
          <w:marLeft w:val="360"/>
          <w:marRight w:val="0"/>
          <w:marTop w:val="200"/>
          <w:marBottom w:val="0"/>
          <w:divBdr>
            <w:top w:val="none" w:sz="0" w:space="0" w:color="auto"/>
            <w:left w:val="none" w:sz="0" w:space="0" w:color="auto"/>
            <w:bottom w:val="none" w:sz="0" w:space="0" w:color="auto"/>
            <w:right w:val="none" w:sz="0" w:space="0" w:color="auto"/>
          </w:divBdr>
        </w:div>
        <w:div w:id="182406374">
          <w:marLeft w:val="360"/>
          <w:marRight w:val="0"/>
          <w:marTop w:val="200"/>
          <w:marBottom w:val="0"/>
          <w:divBdr>
            <w:top w:val="none" w:sz="0" w:space="0" w:color="auto"/>
            <w:left w:val="none" w:sz="0" w:space="0" w:color="auto"/>
            <w:bottom w:val="none" w:sz="0" w:space="0" w:color="auto"/>
            <w:right w:val="none" w:sz="0" w:space="0" w:color="auto"/>
          </w:divBdr>
        </w:div>
        <w:div w:id="1362587873">
          <w:marLeft w:val="1080"/>
          <w:marRight w:val="0"/>
          <w:marTop w:val="100"/>
          <w:marBottom w:val="0"/>
          <w:divBdr>
            <w:top w:val="none" w:sz="0" w:space="0" w:color="auto"/>
            <w:left w:val="none" w:sz="0" w:space="0" w:color="auto"/>
            <w:bottom w:val="none" w:sz="0" w:space="0" w:color="auto"/>
            <w:right w:val="none" w:sz="0" w:space="0" w:color="auto"/>
          </w:divBdr>
        </w:div>
        <w:div w:id="510994139">
          <w:marLeft w:val="1080"/>
          <w:marRight w:val="0"/>
          <w:marTop w:val="100"/>
          <w:marBottom w:val="0"/>
          <w:divBdr>
            <w:top w:val="none" w:sz="0" w:space="0" w:color="auto"/>
            <w:left w:val="none" w:sz="0" w:space="0" w:color="auto"/>
            <w:bottom w:val="none" w:sz="0" w:space="0" w:color="auto"/>
            <w:right w:val="none" w:sz="0" w:space="0" w:color="auto"/>
          </w:divBdr>
        </w:div>
        <w:div w:id="2093967293">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480263998">
      <w:bodyDiv w:val="1"/>
      <w:marLeft w:val="0"/>
      <w:marRight w:val="0"/>
      <w:marTop w:val="0"/>
      <w:marBottom w:val="0"/>
      <w:divBdr>
        <w:top w:val="none" w:sz="0" w:space="0" w:color="auto"/>
        <w:left w:val="none" w:sz="0" w:space="0" w:color="auto"/>
        <w:bottom w:val="none" w:sz="0" w:space="0" w:color="auto"/>
        <w:right w:val="none" w:sz="0" w:space="0" w:color="auto"/>
      </w:divBdr>
      <w:divsChild>
        <w:div w:id="574239904">
          <w:marLeft w:val="360"/>
          <w:marRight w:val="0"/>
          <w:marTop w:val="200"/>
          <w:marBottom w:val="0"/>
          <w:divBdr>
            <w:top w:val="none" w:sz="0" w:space="0" w:color="auto"/>
            <w:left w:val="none" w:sz="0" w:space="0" w:color="auto"/>
            <w:bottom w:val="none" w:sz="0" w:space="0" w:color="auto"/>
            <w:right w:val="none" w:sz="0" w:space="0" w:color="auto"/>
          </w:divBdr>
        </w:div>
        <w:div w:id="1056466516">
          <w:marLeft w:val="360"/>
          <w:marRight w:val="0"/>
          <w:marTop w:val="200"/>
          <w:marBottom w:val="0"/>
          <w:divBdr>
            <w:top w:val="none" w:sz="0" w:space="0" w:color="auto"/>
            <w:left w:val="none" w:sz="0" w:space="0" w:color="auto"/>
            <w:bottom w:val="none" w:sz="0" w:space="0" w:color="auto"/>
            <w:right w:val="none" w:sz="0" w:space="0" w:color="auto"/>
          </w:divBdr>
        </w:div>
      </w:divsChild>
    </w:div>
    <w:div w:id="1488130538">
      <w:bodyDiv w:val="1"/>
      <w:marLeft w:val="0"/>
      <w:marRight w:val="0"/>
      <w:marTop w:val="0"/>
      <w:marBottom w:val="0"/>
      <w:divBdr>
        <w:top w:val="none" w:sz="0" w:space="0" w:color="auto"/>
        <w:left w:val="none" w:sz="0" w:space="0" w:color="auto"/>
        <w:bottom w:val="none" w:sz="0" w:space="0" w:color="auto"/>
        <w:right w:val="none" w:sz="0" w:space="0" w:color="auto"/>
      </w:divBdr>
    </w:div>
    <w:div w:id="1505365459">
      <w:bodyDiv w:val="1"/>
      <w:marLeft w:val="0"/>
      <w:marRight w:val="0"/>
      <w:marTop w:val="0"/>
      <w:marBottom w:val="0"/>
      <w:divBdr>
        <w:top w:val="none" w:sz="0" w:space="0" w:color="auto"/>
        <w:left w:val="none" w:sz="0" w:space="0" w:color="auto"/>
        <w:bottom w:val="none" w:sz="0" w:space="0" w:color="auto"/>
        <w:right w:val="none" w:sz="0" w:space="0" w:color="auto"/>
      </w:divBdr>
      <w:divsChild>
        <w:div w:id="304504191">
          <w:marLeft w:val="360"/>
          <w:marRight w:val="0"/>
          <w:marTop w:val="200"/>
          <w:marBottom w:val="0"/>
          <w:divBdr>
            <w:top w:val="none" w:sz="0" w:space="0" w:color="auto"/>
            <w:left w:val="none" w:sz="0" w:space="0" w:color="auto"/>
            <w:bottom w:val="none" w:sz="0" w:space="0" w:color="auto"/>
            <w:right w:val="none" w:sz="0" w:space="0" w:color="auto"/>
          </w:divBdr>
        </w:div>
        <w:div w:id="359815180">
          <w:marLeft w:val="360"/>
          <w:marRight w:val="0"/>
          <w:marTop w:val="200"/>
          <w:marBottom w:val="0"/>
          <w:divBdr>
            <w:top w:val="none" w:sz="0" w:space="0" w:color="auto"/>
            <w:left w:val="none" w:sz="0" w:space="0" w:color="auto"/>
            <w:bottom w:val="none" w:sz="0" w:space="0" w:color="auto"/>
            <w:right w:val="none" w:sz="0" w:space="0" w:color="auto"/>
          </w:divBdr>
        </w:div>
        <w:div w:id="405416585">
          <w:marLeft w:val="360"/>
          <w:marRight w:val="0"/>
          <w:marTop w:val="200"/>
          <w:marBottom w:val="0"/>
          <w:divBdr>
            <w:top w:val="none" w:sz="0" w:space="0" w:color="auto"/>
            <w:left w:val="none" w:sz="0" w:space="0" w:color="auto"/>
            <w:bottom w:val="none" w:sz="0" w:space="0" w:color="auto"/>
            <w:right w:val="none" w:sz="0" w:space="0" w:color="auto"/>
          </w:divBdr>
        </w:div>
        <w:div w:id="1399937642">
          <w:marLeft w:val="360"/>
          <w:marRight w:val="0"/>
          <w:marTop w:val="200"/>
          <w:marBottom w:val="0"/>
          <w:divBdr>
            <w:top w:val="none" w:sz="0" w:space="0" w:color="auto"/>
            <w:left w:val="none" w:sz="0" w:space="0" w:color="auto"/>
            <w:bottom w:val="none" w:sz="0" w:space="0" w:color="auto"/>
            <w:right w:val="none" w:sz="0" w:space="0" w:color="auto"/>
          </w:divBdr>
        </w:div>
        <w:div w:id="1891727369">
          <w:marLeft w:val="360"/>
          <w:marRight w:val="0"/>
          <w:marTop w:val="200"/>
          <w:marBottom w:val="0"/>
          <w:divBdr>
            <w:top w:val="none" w:sz="0" w:space="0" w:color="auto"/>
            <w:left w:val="none" w:sz="0" w:space="0" w:color="auto"/>
            <w:bottom w:val="none" w:sz="0" w:space="0" w:color="auto"/>
            <w:right w:val="none" w:sz="0" w:space="0" w:color="auto"/>
          </w:divBdr>
        </w:div>
      </w:divsChild>
    </w:div>
    <w:div w:id="1530488721">
      <w:bodyDiv w:val="1"/>
      <w:marLeft w:val="0"/>
      <w:marRight w:val="0"/>
      <w:marTop w:val="0"/>
      <w:marBottom w:val="0"/>
      <w:divBdr>
        <w:top w:val="none" w:sz="0" w:space="0" w:color="auto"/>
        <w:left w:val="none" w:sz="0" w:space="0" w:color="auto"/>
        <w:bottom w:val="none" w:sz="0" w:space="0" w:color="auto"/>
        <w:right w:val="none" w:sz="0" w:space="0" w:color="auto"/>
      </w:divBdr>
      <w:divsChild>
        <w:div w:id="555047505">
          <w:marLeft w:val="360"/>
          <w:marRight w:val="0"/>
          <w:marTop w:val="200"/>
          <w:marBottom w:val="0"/>
          <w:divBdr>
            <w:top w:val="none" w:sz="0" w:space="0" w:color="auto"/>
            <w:left w:val="none" w:sz="0" w:space="0" w:color="auto"/>
            <w:bottom w:val="none" w:sz="0" w:space="0" w:color="auto"/>
            <w:right w:val="none" w:sz="0" w:space="0" w:color="auto"/>
          </w:divBdr>
        </w:div>
        <w:div w:id="1957061743">
          <w:marLeft w:val="1080"/>
          <w:marRight w:val="0"/>
          <w:marTop w:val="100"/>
          <w:marBottom w:val="0"/>
          <w:divBdr>
            <w:top w:val="none" w:sz="0" w:space="0" w:color="auto"/>
            <w:left w:val="none" w:sz="0" w:space="0" w:color="auto"/>
            <w:bottom w:val="none" w:sz="0" w:space="0" w:color="auto"/>
            <w:right w:val="none" w:sz="0" w:space="0" w:color="auto"/>
          </w:divBdr>
        </w:div>
        <w:div w:id="1729259419">
          <w:marLeft w:val="1080"/>
          <w:marRight w:val="0"/>
          <w:marTop w:val="1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1042823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65417852">
      <w:bodyDiv w:val="1"/>
      <w:marLeft w:val="0"/>
      <w:marRight w:val="0"/>
      <w:marTop w:val="0"/>
      <w:marBottom w:val="0"/>
      <w:divBdr>
        <w:top w:val="none" w:sz="0" w:space="0" w:color="auto"/>
        <w:left w:val="none" w:sz="0" w:space="0" w:color="auto"/>
        <w:bottom w:val="none" w:sz="0" w:space="0" w:color="auto"/>
        <w:right w:val="none" w:sz="0" w:space="0" w:color="auto"/>
      </w:divBdr>
    </w:div>
    <w:div w:id="1770345449">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92167824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62557038">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8284633">
      <w:bodyDiv w:val="1"/>
      <w:marLeft w:val="0"/>
      <w:marRight w:val="0"/>
      <w:marTop w:val="0"/>
      <w:marBottom w:val="0"/>
      <w:divBdr>
        <w:top w:val="none" w:sz="0" w:space="0" w:color="auto"/>
        <w:left w:val="none" w:sz="0" w:space="0" w:color="auto"/>
        <w:bottom w:val="none" w:sz="0" w:space="0" w:color="auto"/>
        <w:right w:val="none" w:sz="0" w:space="0" w:color="auto"/>
      </w:divBdr>
    </w:div>
    <w:div w:id="2120488477">
      <w:bodyDiv w:val="1"/>
      <w:marLeft w:val="0"/>
      <w:marRight w:val="0"/>
      <w:marTop w:val="0"/>
      <w:marBottom w:val="0"/>
      <w:divBdr>
        <w:top w:val="none" w:sz="0" w:space="0" w:color="auto"/>
        <w:left w:val="none" w:sz="0" w:space="0" w:color="auto"/>
        <w:bottom w:val="none" w:sz="0" w:space="0" w:color="auto"/>
        <w:right w:val="none" w:sz="0" w:space="0" w:color="auto"/>
      </w:divBdr>
    </w:div>
    <w:div w:id="2146072881">
      <w:bodyDiv w:val="1"/>
      <w:marLeft w:val="0"/>
      <w:marRight w:val="0"/>
      <w:marTop w:val="0"/>
      <w:marBottom w:val="0"/>
      <w:divBdr>
        <w:top w:val="none" w:sz="0" w:space="0" w:color="auto"/>
        <w:left w:val="none" w:sz="0" w:space="0" w:color="auto"/>
        <w:bottom w:val="none" w:sz="0" w:space="0" w:color="auto"/>
        <w:right w:val="none" w:sz="0" w:space="0" w:color="auto"/>
      </w:divBdr>
      <w:divsChild>
        <w:div w:id="10993763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919</TotalTime>
  <Pages>1</Pages>
  <Words>965</Words>
  <Characters>5505</Characters>
  <Application>Microsoft Office Word</Application>
  <DocSecurity>0</DocSecurity>
  <Lines>45</Lines>
  <Paragraphs>12</Paragraphs>
  <ScaleCrop>false</ScaleCrop>
  <Company>HUAWEI</Company>
  <LinksUpToDate>false</LinksUpToDate>
  <CharactersWithSpaces>6458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30</cp:revision>
  <dcterms:created xsi:type="dcterms:W3CDTF">2020-06-28T04:14:00Z</dcterms:created>
  <dcterms:modified xsi:type="dcterms:W3CDTF">2020-08-07T14:43:00Z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(3)jFILxvHud1AcJFqcIGJiLrug+ltwUroEeaKu44stU4CviNGrw9yT+q3fNT5HMaHD9JF6gmAw
+87Y1fFPmJ/ZFoD0uYw+YjyEfwnrDb62F+i8kvTqMlTa/BpCTckk9ncOmdvbkPwPsagwDBTQ
V/mjX+YJ8c/+/rlTsOUu8+N04zXgwowuEIKcHDdEtS374PzGOWWqNlnBfCXHhvHjgsWo9jtt
WyfiQ8OKqv8oooYh/O</vt:lpwstr>
  </property>
  <property fmtid="{D5CDD505-2E9C-101B-9397-08002B2CF9AE}" pid="3" name="_2015_ms_pID_7253431">
    <vt:lpwstr>2hw9JSRUKMlmd0cWGDDQPRrXjjtVNjR4iE9enhXDInQS3UvWKSpPyz
bW62CcuBTt1dyIemfT92mcpVEuM8rQom8zylTtu7AS6aSqKshpsbJZz59aUiCES+JLvvH9BU
M1DPMkUyzNlnQ3gEU+l+BZv+ehyzEoVkojY/FBsvDfmF7Za1LMrIqiiRjRDV2XbUD0BtXvJR
NncipSU5iJKgU62DQTk8KkH/vnTDNVc7jJxg</vt:lpwstr>
  </property>
  <property fmtid="{D5CDD505-2E9C-101B-9397-08002B2CF9AE}" pid="4" name="_2015_ms_pID_7253432">
    <vt:lpwstr>J4rCXYCzQ7c1jJbbc2grIqA=</vt:lpwstr>
  </property>
</Properties>
</file>