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A62483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52F51">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52F51" w:rsidRPr="004C41B9">
        <w:rPr>
          <w:rFonts w:ascii="Arial" w:eastAsia="SimSun" w:hAnsi="Arial" w:cs="Times New Roman"/>
          <w:b/>
          <w:bCs/>
          <w:sz w:val="24"/>
          <w:szCs w:val="20"/>
          <w:lang w:val="en-GB" w:eastAsia="zh-CN"/>
        </w:rPr>
        <w:t>200</w:t>
      </w:r>
      <w:r w:rsidR="00352F51">
        <w:rPr>
          <w:rFonts w:ascii="Arial" w:eastAsia="SimSun" w:hAnsi="Arial" w:cs="Times New Roman"/>
          <w:b/>
          <w:bCs/>
          <w:sz w:val="24"/>
          <w:szCs w:val="20"/>
          <w:lang w:val="en-GB" w:eastAsia="zh-CN"/>
        </w:rPr>
        <w:t>7162</w:t>
      </w:r>
    </w:p>
    <w:p w14:paraId="3DEDC117" w14:textId="69A2489F" w:rsidR="00841BCD" w:rsidRPr="00841BCD" w:rsidRDefault="00352F5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 May 25</w:t>
      </w:r>
      <w:r>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June 5</w:t>
      </w:r>
      <w:r w:rsidRPr="009557A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w:t>
      </w:r>
      <w:r>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E51274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37404706"/>
      <w:r w:rsidR="008F12E7">
        <w:rPr>
          <w:rFonts w:ascii="Arial" w:eastAsia="Calibri" w:hAnsi="Arial" w:cs="Arial"/>
          <w:b/>
          <w:bCs/>
          <w:sz w:val="24"/>
          <w:lang w:val="en-GB"/>
        </w:rPr>
        <w:t xml:space="preserve">NR HST </w:t>
      </w:r>
      <w:r w:rsidR="00B218B1" w:rsidRPr="00B218B1">
        <w:rPr>
          <w:rFonts w:ascii="Arial" w:eastAsia="Calibri" w:hAnsi="Arial" w:cs="Arial"/>
          <w:b/>
          <w:bCs/>
          <w:sz w:val="24"/>
          <w:lang w:val="en-GB"/>
        </w:rPr>
        <w:t>Serving cell and idle mode</w:t>
      </w:r>
      <w:bookmarkEnd w:id="4"/>
      <w:r w:rsidRPr="00841BCD" w:rsidDel="000A742C">
        <w:rPr>
          <w:rFonts w:ascii="Arial" w:eastAsia="Calibri" w:hAnsi="Arial" w:cs="Arial"/>
          <w:b/>
          <w:bCs/>
          <w:sz w:val="24"/>
          <w:lang w:val="en-GB"/>
        </w:rPr>
        <w:t xml:space="preserve"> </w:t>
      </w:r>
    </w:p>
    <w:p w14:paraId="53921647" w14:textId="65F190B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B683A">
        <w:rPr>
          <w:rFonts w:ascii="Arial" w:eastAsia="MS Mincho" w:hAnsi="Arial" w:cs="Arial"/>
          <w:b/>
          <w:bCs/>
          <w:sz w:val="24"/>
          <w:szCs w:val="20"/>
          <w:lang w:val="en-GB"/>
        </w:rPr>
        <w:t>6.17.1.1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1B683A">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D77E1EF" w14:textId="02E1A9F7" w:rsidR="008F12E7" w:rsidRDefault="008F12E7" w:rsidP="00841BCD">
      <w:pPr>
        <w:ind w:right="-22"/>
        <w:rPr>
          <w:rFonts w:eastAsia="Calibri" w:cs="Times New Roman"/>
          <w:szCs w:val="20"/>
          <w:lang w:val="en-GB"/>
        </w:rPr>
      </w:pPr>
      <w:r>
        <w:rPr>
          <w:rFonts w:eastAsia="Calibri" w:cs="Times New Roman"/>
          <w:szCs w:val="20"/>
          <w:lang w:val="en-GB"/>
        </w:rPr>
        <w:t>In last meeting RAN4 agreed a WF in [</w:t>
      </w:r>
      <w:r w:rsidR="00A161DB">
        <w:rPr>
          <w:rFonts w:eastAsia="Calibri" w:cs="Times New Roman"/>
          <w:szCs w:val="20"/>
          <w:lang w:val="en-GB"/>
        </w:rPr>
        <w:t>3</w:t>
      </w:r>
      <w:r>
        <w:rPr>
          <w:rFonts w:eastAsia="Calibri" w:cs="Times New Roman"/>
          <w:szCs w:val="20"/>
          <w:lang w:val="en-GB"/>
        </w:rPr>
        <w:t>]</w:t>
      </w:r>
      <w:r w:rsidR="00184E45">
        <w:rPr>
          <w:rFonts w:eastAsia="Calibri" w:cs="Times New Roman"/>
          <w:szCs w:val="20"/>
          <w:lang w:val="en-GB"/>
        </w:rPr>
        <w:t xml:space="preserve"> in which the Idle mode requirements under HST were captured. </w:t>
      </w:r>
      <w:r w:rsidR="00B218B1">
        <w:rPr>
          <w:rFonts w:eastAsia="Calibri" w:cs="Times New Roman"/>
          <w:szCs w:val="20"/>
          <w:lang w:val="en-GB"/>
        </w:rPr>
        <w:t xml:space="preserve">Related to idle mode operation only two open items remain namely the serving cell requirements </w:t>
      </w:r>
      <w:r w:rsidR="00CE2569">
        <w:rPr>
          <w:rFonts w:eastAsia="Calibri" w:cs="Times New Roman"/>
          <w:szCs w:val="20"/>
          <w:lang w:val="en-GB"/>
        </w:rPr>
        <w:t>a</w:t>
      </w:r>
      <w:r w:rsidR="00B218B1">
        <w:rPr>
          <w:rFonts w:eastAsia="Calibri" w:cs="Times New Roman"/>
          <w:szCs w:val="20"/>
          <w:lang w:val="en-GB"/>
        </w:rPr>
        <w:t>nd whether a note is needed or not.</w:t>
      </w:r>
      <w:r w:rsidR="00184E45">
        <w:rPr>
          <w:rFonts w:eastAsia="Calibri" w:cs="Times New Roman"/>
          <w:szCs w:val="20"/>
          <w:lang w:val="en-GB"/>
        </w:rPr>
        <w:t xml:space="preserve"> In this paper we give further input on the topic</w:t>
      </w:r>
      <w:r w:rsidR="00B218B1">
        <w:rPr>
          <w:rFonts w:eastAsia="Calibri" w:cs="Times New Roman"/>
          <w:szCs w:val="20"/>
          <w:lang w:val="en-GB"/>
        </w:rPr>
        <w:t>s</w:t>
      </w:r>
      <w:r w:rsidR="00184E45">
        <w:rPr>
          <w:rFonts w:eastAsia="Calibri" w:cs="Times New Roman"/>
          <w:szCs w:val="20"/>
          <w:lang w:val="en-GB"/>
        </w:rPr>
        <w:t>.</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23126C72" w14:textId="7029D197" w:rsidR="00AE131F" w:rsidRDefault="00AE131F" w:rsidP="00EA17AC">
      <w:pPr>
        <w:ind w:right="-22"/>
        <w:rPr>
          <w:rFonts w:eastAsia="Calibri" w:cs="Times New Roman"/>
          <w:szCs w:val="20"/>
          <w:lang w:val="en-GB"/>
        </w:rPr>
      </w:pPr>
      <w:r>
        <w:rPr>
          <w:rFonts w:eastAsia="Calibri" w:cs="Times New Roman"/>
          <w:szCs w:val="20"/>
          <w:lang w:val="en-GB"/>
        </w:rPr>
        <w:t xml:space="preserve">In this section we initially discuss the </w:t>
      </w:r>
      <w:r w:rsidR="00B218B1">
        <w:rPr>
          <w:rFonts w:eastAsia="Calibri" w:cs="Times New Roman"/>
          <w:szCs w:val="20"/>
          <w:lang w:val="en-GB"/>
        </w:rPr>
        <w:t>serving</w:t>
      </w:r>
      <w:r>
        <w:rPr>
          <w:rFonts w:eastAsia="Calibri" w:cs="Times New Roman"/>
          <w:szCs w:val="20"/>
          <w:lang w:val="en-GB"/>
        </w:rPr>
        <w:t xml:space="preserve"> cell requirements under HST and the </w:t>
      </w:r>
      <w:r w:rsidR="00B218B1">
        <w:rPr>
          <w:rFonts w:eastAsia="Calibri" w:cs="Times New Roman"/>
          <w:szCs w:val="20"/>
          <w:lang w:val="en-GB"/>
        </w:rPr>
        <w:t xml:space="preserve">applicability of </w:t>
      </w:r>
      <w:r>
        <w:rPr>
          <w:rFonts w:eastAsia="Calibri" w:cs="Times New Roman"/>
          <w:szCs w:val="20"/>
          <w:lang w:val="en-GB"/>
        </w:rPr>
        <w:t>M2 scaling factor</w:t>
      </w:r>
      <w:r w:rsidR="00A161DB">
        <w:rPr>
          <w:rFonts w:eastAsia="Calibri" w:cs="Times New Roman"/>
          <w:szCs w:val="20"/>
          <w:lang w:val="en-GB"/>
        </w:rPr>
        <w:t xml:space="preserve"> as discussed in [2]</w:t>
      </w:r>
      <w:r>
        <w:rPr>
          <w:rFonts w:eastAsia="Calibri" w:cs="Times New Roman"/>
          <w:szCs w:val="20"/>
          <w:lang w:val="en-GB"/>
        </w:rPr>
        <w:t xml:space="preserve">. Secondly, we look at </w:t>
      </w:r>
      <w:r w:rsidR="00B218B1">
        <w:rPr>
          <w:rFonts w:eastAsia="Calibri" w:cs="Times New Roman"/>
          <w:szCs w:val="20"/>
          <w:lang w:val="en-GB"/>
        </w:rPr>
        <w:t>the UE measurement assumptions and the need for having a note clarifying the HST conditions.</w:t>
      </w:r>
    </w:p>
    <w:p w14:paraId="0F5A7FD3" w14:textId="77777777" w:rsidR="00352F51" w:rsidRDefault="00352F51" w:rsidP="00EA17AC">
      <w:pPr>
        <w:ind w:right="-22"/>
        <w:rPr>
          <w:rFonts w:eastAsia="Calibri" w:cs="Times New Roman"/>
          <w:szCs w:val="20"/>
          <w:lang w:val="en-GB"/>
        </w:rPr>
      </w:pPr>
    </w:p>
    <w:p w14:paraId="7D847FBD" w14:textId="4CE6A45E" w:rsidR="00AE131F" w:rsidRDefault="00AE131F" w:rsidP="00AE131F">
      <w:pPr>
        <w:pStyle w:val="RAN4H2"/>
        <w:rPr>
          <w:rFonts w:eastAsia="Calibri"/>
          <w:lang w:val="en-GB"/>
        </w:rPr>
      </w:pPr>
      <w:r>
        <w:rPr>
          <w:rFonts w:eastAsia="Calibri"/>
          <w:lang w:val="en-GB"/>
        </w:rPr>
        <w:t>Serving cell measurements under HST</w:t>
      </w:r>
    </w:p>
    <w:p w14:paraId="5C577C64" w14:textId="716E9641" w:rsidR="004118FF" w:rsidRDefault="004118FF" w:rsidP="004118FF">
      <w:pPr>
        <w:ind w:right="-22"/>
        <w:rPr>
          <w:rFonts w:eastAsia="Calibri" w:cs="Times New Roman"/>
          <w:szCs w:val="20"/>
          <w:lang w:val="en-GB"/>
        </w:rPr>
      </w:pPr>
      <w:r>
        <w:rPr>
          <w:rFonts w:eastAsia="Calibri" w:cs="Times New Roman"/>
          <w:szCs w:val="20"/>
          <w:lang w:val="en-GB"/>
        </w:rPr>
        <w:t>In the RAN4#94bis meeting the conditions for applying the scaling factors were agreed:</w:t>
      </w:r>
    </w:p>
    <w:p w14:paraId="3A87330D" w14:textId="15711BBE" w:rsidR="004118FF" w:rsidRDefault="004118FF" w:rsidP="004118FF">
      <w:pPr>
        <w:ind w:left="720" w:right="-22"/>
        <w:rPr>
          <w:rFonts w:eastAsia="Calibri" w:cs="Times New Roman"/>
          <w:szCs w:val="20"/>
        </w:rPr>
      </w:pPr>
      <w:r w:rsidRPr="004118FF">
        <w:rPr>
          <w:rFonts w:eastAsia="Calibri" w:cs="Times New Roman"/>
          <w:szCs w:val="20"/>
        </w:rPr>
        <w:t xml:space="preserve">For cell re-selection requirements for </w:t>
      </w:r>
      <w:proofErr w:type="spellStart"/>
      <w:r w:rsidRPr="004118FF">
        <w:rPr>
          <w:rFonts w:eastAsia="Calibri" w:cs="Times New Roman"/>
          <w:szCs w:val="20"/>
        </w:rPr>
        <w:t>neighbour</w:t>
      </w:r>
      <w:proofErr w:type="spellEnd"/>
      <w:r w:rsidRPr="004118FF">
        <w:rPr>
          <w:rFonts w:eastAsia="Calibri" w:cs="Times New Roman"/>
          <w:szCs w:val="20"/>
        </w:rPr>
        <w:t xml:space="preserve"> cell, when SMTC &lt; =40ms, remove M2, M3, M4; when SMTC &gt;40ms, M2 = 1.5, M3 = M4 = 2</w:t>
      </w:r>
    </w:p>
    <w:p w14:paraId="2F41F5BB" w14:textId="1E3D54AA" w:rsidR="004118FF" w:rsidRDefault="004118FF" w:rsidP="004118FF">
      <w:pPr>
        <w:ind w:right="-22"/>
        <w:rPr>
          <w:rFonts w:eastAsia="Calibri" w:cs="Times New Roman"/>
          <w:szCs w:val="20"/>
          <w:lang w:val="en-GB"/>
        </w:rPr>
      </w:pPr>
      <w:r>
        <w:rPr>
          <w:rFonts w:eastAsia="Calibri" w:cs="Times New Roman"/>
          <w:szCs w:val="20"/>
          <w:lang w:val="en-GB"/>
        </w:rPr>
        <w:t>Hence, it is now clear that when SMTC ≤ 40 no scaling factor is applied for intra-frequency neighbour measurements.</w:t>
      </w:r>
    </w:p>
    <w:p w14:paraId="234BFFB1" w14:textId="77777777" w:rsidR="004118FF" w:rsidRDefault="004118FF" w:rsidP="004118FF">
      <w:pPr>
        <w:ind w:right="-22"/>
        <w:jc w:val="center"/>
        <w:rPr>
          <w:rFonts w:eastAsia="Calibri" w:cs="Times New Roman"/>
          <w:szCs w:val="20"/>
          <w:lang w:val="en-GB"/>
        </w:rPr>
      </w:pPr>
      <w:r>
        <w:rPr>
          <w:rFonts w:eastAsia="Calibri" w:cs="Times New Roman"/>
          <w:noProof/>
          <w:szCs w:val="20"/>
          <w:lang w:val="en-GB"/>
        </w:rPr>
        <w:drawing>
          <wp:inline distT="0" distB="0" distL="0" distR="0" wp14:anchorId="5FD6D88E" wp14:editId="503EAE54">
            <wp:extent cx="4504690" cy="137019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2385" cy="1384704"/>
                    </a:xfrm>
                    <a:prstGeom prst="rect">
                      <a:avLst/>
                    </a:prstGeom>
                    <a:noFill/>
                  </pic:spPr>
                </pic:pic>
              </a:graphicData>
            </a:graphic>
          </wp:inline>
        </w:drawing>
      </w:r>
    </w:p>
    <w:p w14:paraId="19EE98F7" w14:textId="0F82419A" w:rsidR="00AE131F" w:rsidRDefault="004118FF" w:rsidP="00EA17AC">
      <w:pPr>
        <w:ind w:right="-22"/>
        <w:rPr>
          <w:rFonts w:eastAsia="Calibri" w:cs="Times New Roman"/>
          <w:szCs w:val="20"/>
        </w:rPr>
      </w:pPr>
      <w:r>
        <w:rPr>
          <w:rFonts w:eastAsia="Calibri" w:cs="Times New Roman"/>
          <w:szCs w:val="20"/>
        </w:rPr>
        <w:t xml:space="preserve">Table </w:t>
      </w:r>
      <w:r w:rsidR="00AE131F">
        <w:rPr>
          <w:rFonts w:eastAsia="Calibri" w:cs="Times New Roman"/>
          <w:szCs w:val="20"/>
        </w:rPr>
        <w:t>4.2.2.2-1 lists the measurement requirements for the serving cell.</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1094"/>
        <w:gridCol w:w="1094"/>
        <w:gridCol w:w="2914"/>
      </w:tblGrid>
      <w:tr w:rsidR="00063CA7" w:rsidRPr="00DD3199" w14:paraId="2EDD2855" w14:textId="77777777" w:rsidTr="00AE5395">
        <w:trPr>
          <w:cantSplit/>
          <w:trHeight w:val="207"/>
          <w:jc w:val="center"/>
        </w:trPr>
        <w:tc>
          <w:tcPr>
            <w:tcW w:w="1498" w:type="pct"/>
            <w:vMerge w:val="restart"/>
          </w:tcPr>
          <w:p w14:paraId="18E3A820" w14:textId="77777777" w:rsidR="00063CA7" w:rsidRPr="00DD3199" w:rsidRDefault="00063CA7" w:rsidP="00AE5395">
            <w:pPr>
              <w:keepNext/>
              <w:keepLines/>
              <w:spacing w:after="0"/>
              <w:jc w:val="center"/>
            </w:pPr>
            <w:r w:rsidRPr="00DD3199">
              <w:rPr>
                <w:rFonts w:ascii="Arial" w:hAnsi="Arial"/>
                <w:b/>
                <w:sz w:val="18"/>
              </w:rPr>
              <w:t>DRX cycle length [s]</w:t>
            </w:r>
          </w:p>
        </w:tc>
        <w:tc>
          <w:tcPr>
            <w:tcW w:w="1502" w:type="pct"/>
            <w:gridSpan w:val="2"/>
          </w:tcPr>
          <w:p w14:paraId="70B59BA1" w14:textId="77777777" w:rsidR="00063CA7" w:rsidRPr="00DD3199" w:rsidRDefault="00063CA7" w:rsidP="00AE5395">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02205EB0" w14:textId="77777777" w:rsidR="00063CA7" w:rsidRPr="00DD3199" w:rsidRDefault="00063CA7" w:rsidP="00AE5395">
            <w:pPr>
              <w:keepNext/>
              <w:keepLines/>
              <w:spacing w:after="0"/>
              <w:jc w:val="center"/>
            </w:pPr>
            <w:proofErr w:type="spellStart"/>
            <w:r w:rsidRPr="00DD3199">
              <w:rPr>
                <w:rFonts w:ascii="Arial" w:hAnsi="Arial"/>
                <w:b/>
                <w:sz w:val="18"/>
              </w:rPr>
              <w:t>N</w:t>
            </w:r>
            <w:r w:rsidRPr="00DD3199">
              <w:rPr>
                <w:rFonts w:ascii="Arial" w:hAnsi="Arial"/>
                <w:b/>
                <w:sz w:val="18"/>
                <w:vertAlign w:val="subscript"/>
              </w:rPr>
              <w:t>serv</w:t>
            </w:r>
            <w:proofErr w:type="spellEnd"/>
            <w:r w:rsidRPr="00DD3199">
              <w:rPr>
                <w:rFonts w:ascii="Arial" w:hAnsi="Arial"/>
                <w:b/>
                <w:sz w:val="18"/>
                <w:vertAlign w:val="subscript"/>
              </w:rPr>
              <w:t xml:space="preserve"> </w:t>
            </w:r>
            <w:r w:rsidRPr="00DD3199">
              <w:rPr>
                <w:rFonts w:ascii="Arial" w:hAnsi="Arial"/>
                <w:b/>
                <w:sz w:val="18"/>
              </w:rPr>
              <w:t>[number of DRX cycles]</w:t>
            </w:r>
          </w:p>
        </w:tc>
      </w:tr>
      <w:tr w:rsidR="00063CA7" w:rsidRPr="00DD3199" w14:paraId="1FD08BDF" w14:textId="77777777" w:rsidTr="00AE5395">
        <w:trPr>
          <w:cantSplit/>
          <w:trHeight w:val="207"/>
          <w:jc w:val="center"/>
        </w:trPr>
        <w:tc>
          <w:tcPr>
            <w:tcW w:w="1498" w:type="pct"/>
            <w:vMerge/>
          </w:tcPr>
          <w:p w14:paraId="756106AA" w14:textId="77777777" w:rsidR="00063CA7" w:rsidRPr="00DD3199" w:rsidRDefault="00063CA7" w:rsidP="00AE5395">
            <w:pPr>
              <w:keepNext/>
              <w:keepLines/>
              <w:spacing w:after="0"/>
              <w:jc w:val="center"/>
              <w:rPr>
                <w:rFonts w:ascii="Arial" w:hAnsi="Arial"/>
                <w:b/>
                <w:sz w:val="18"/>
              </w:rPr>
            </w:pPr>
          </w:p>
        </w:tc>
        <w:tc>
          <w:tcPr>
            <w:tcW w:w="751" w:type="pct"/>
          </w:tcPr>
          <w:p w14:paraId="2649AB09" w14:textId="77777777" w:rsidR="00063CA7" w:rsidRPr="00DD3199" w:rsidRDefault="00063CA7" w:rsidP="00AE5395">
            <w:pPr>
              <w:keepNext/>
              <w:keepLines/>
              <w:spacing w:after="0"/>
              <w:jc w:val="center"/>
              <w:rPr>
                <w:rFonts w:ascii="Arial" w:hAnsi="Arial"/>
                <w:b/>
                <w:sz w:val="18"/>
              </w:rPr>
            </w:pPr>
            <w:r w:rsidRPr="00DD3199">
              <w:rPr>
                <w:rFonts w:ascii="Arial" w:hAnsi="Arial"/>
                <w:b/>
                <w:sz w:val="18"/>
              </w:rPr>
              <w:t>FR1</w:t>
            </w:r>
          </w:p>
        </w:tc>
        <w:tc>
          <w:tcPr>
            <w:tcW w:w="751" w:type="pct"/>
          </w:tcPr>
          <w:p w14:paraId="733334BC" w14:textId="77777777" w:rsidR="00063CA7" w:rsidRPr="00DD3199" w:rsidRDefault="00063CA7" w:rsidP="00AE5395">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0E7B008B" w14:textId="77777777" w:rsidR="00063CA7" w:rsidRPr="00DD3199" w:rsidRDefault="00063CA7" w:rsidP="00AE5395">
            <w:pPr>
              <w:keepNext/>
              <w:keepLines/>
              <w:spacing w:after="0"/>
              <w:jc w:val="center"/>
              <w:rPr>
                <w:rFonts w:ascii="Arial" w:hAnsi="Arial"/>
                <w:b/>
                <w:sz w:val="18"/>
              </w:rPr>
            </w:pPr>
          </w:p>
        </w:tc>
      </w:tr>
      <w:tr w:rsidR="00063CA7" w:rsidRPr="00DD3199" w14:paraId="4E4849A9" w14:textId="77777777" w:rsidTr="00AE5395">
        <w:trPr>
          <w:cantSplit/>
          <w:jc w:val="center"/>
        </w:trPr>
        <w:tc>
          <w:tcPr>
            <w:tcW w:w="1498" w:type="pct"/>
          </w:tcPr>
          <w:p w14:paraId="1E92A668" w14:textId="77777777" w:rsidR="00063CA7" w:rsidRPr="00DD3199" w:rsidRDefault="00063CA7" w:rsidP="00AE5395">
            <w:pPr>
              <w:keepNext/>
              <w:keepLines/>
              <w:spacing w:after="0"/>
              <w:jc w:val="center"/>
            </w:pPr>
            <w:r w:rsidRPr="00DD3199">
              <w:rPr>
                <w:rFonts w:ascii="Arial" w:hAnsi="Arial"/>
                <w:sz w:val="18"/>
              </w:rPr>
              <w:t>0.32</w:t>
            </w:r>
          </w:p>
        </w:tc>
        <w:tc>
          <w:tcPr>
            <w:tcW w:w="751" w:type="pct"/>
            <w:vMerge w:val="restart"/>
            <w:vAlign w:val="center"/>
          </w:tcPr>
          <w:p w14:paraId="7B06A6B0"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4935B602"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2C943F2C" w14:textId="77777777" w:rsidR="00063CA7" w:rsidRPr="00DD3199" w:rsidRDefault="00063CA7" w:rsidP="00AE5395">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063CA7" w:rsidRPr="00DD3199" w14:paraId="0B855F29" w14:textId="77777777" w:rsidTr="00AE5395">
        <w:trPr>
          <w:cantSplit/>
          <w:jc w:val="center"/>
        </w:trPr>
        <w:tc>
          <w:tcPr>
            <w:tcW w:w="1498" w:type="pct"/>
          </w:tcPr>
          <w:p w14:paraId="463EA798" w14:textId="77777777" w:rsidR="00063CA7" w:rsidRPr="00DD3199" w:rsidRDefault="00063CA7" w:rsidP="00AE5395">
            <w:pPr>
              <w:keepNext/>
              <w:keepLines/>
              <w:spacing w:after="0"/>
              <w:jc w:val="center"/>
            </w:pPr>
            <w:r w:rsidRPr="00DD3199">
              <w:rPr>
                <w:rFonts w:ascii="Arial" w:hAnsi="Arial"/>
                <w:sz w:val="18"/>
              </w:rPr>
              <w:t>0.64</w:t>
            </w:r>
          </w:p>
        </w:tc>
        <w:tc>
          <w:tcPr>
            <w:tcW w:w="751" w:type="pct"/>
            <w:vMerge/>
          </w:tcPr>
          <w:p w14:paraId="6CB04BD5"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425A0D82"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13C51A0F" w14:textId="77777777" w:rsidR="00063CA7" w:rsidRPr="00DD3199" w:rsidRDefault="00063CA7" w:rsidP="00AE5395">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063CA7" w:rsidRPr="00DD3199" w14:paraId="7D4C509E" w14:textId="77777777" w:rsidTr="00AE5395">
        <w:trPr>
          <w:cantSplit/>
          <w:jc w:val="center"/>
        </w:trPr>
        <w:tc>
          <w:tcPr>
            <w:tcW w:w="1498" w:type="pct"/>
          </w:tcPr>
          <w:p w14:paraId="16A053BB" w14:textId="77777777" w:rsidR="00063CA7" w:rsidRPr="00DD3199" w:rsidRDefault="00063CA7" w:rsidP="00AE5395">
            <w:pPr>
              <w:keepNext/>
              <w:keepLines/>
              <w:spacing w:after="0"/>
              <w:jc w:val="center"/>
            </w:pPr>
            <w:r w:rsidRPr="00DD3199">
              <w:rPr>
                <w:rFonts w:ascii="Arial" w:hAnsi="Arial"/>
                <w:sz w:val="18"/>
              </w:rPr>
              <w:t>1.28</w:t>
            </w:r>
          </w:p>
        </w:tc>
        <w:tc>
          <w:tcPr>
            <w:tcW w:w="751" w:type="pct"/>
            <w:vMerge/>
          </w:tcPr>
          <w:p w14:paraId="1FB8EA61"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14043C9E"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019647C7" w14:textId="77777777" w:rsidR="00063CA7" w:rsidRPr="00DD3199" w:rsidRDefault="00063CA7" w:rsidP="00AE5395">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063CA7" w:rsidRPr="00DD3199" w14:paraId="2C9B8AB0" w14:textId="77777777" w:rsidTr="00AE5395">
        <w:trPr>
          <w:cantSplit/>
          <w:jc w:val="center"/>
        </w:trPr>
        <w:tc>
          <w:tcPr>
            <w:tcW w:w="1498" w:type="pct"/>
          </w:tcPr>
          <w:p w14:paraId="73BDA77F" w14:textId="77777777" w:rsidR="00063CA7" w:rsidRPr="00DD3199" w:rsidRDefault="00063CA7" w:rsidP="00AE5395">
            <w:pPr>
              <w:keepNext/>
              <w:keepLines/>
              <w:spacing w:after="0"/>
              <w:jc w:val="center"/>
            </w:pPr>
            <w:r w:rsidRPr="00DD3199">
              <w:rPr>
                <w:rFonts w:ascii="Arial" w:hAnsi="Arial"/>
                <w:sz w:val="18"/>
              </w:rPr>
              <w:t>2.56</w:t>
            </w:r>
          </w:p>
        </w:tc>
        <w:tc>
          <w:tcPr>
            <w:tcW w:w="751" w:type="pct"/>
            <w:vMerge/>
          </w:tcPr>
          <w:p w14:paraId="4DCFA04F" w14:textId="77777777" w:rsidR="00063CA7" w:rsidRPr="00DD3199" w:rsidRDefault="00063CA7" w:rsidP="00AE5395">
            <w:pPr>
              <w:keepNext/>
              <w:keepLines/>
              <w:spacing w:after="0"/>
              <w:jc w:val="center"/>
              <w:rPr>
                <w:rFonts w:ascii="Arial" w:hAnsi="Arial" w:cs="Arial"/>
                <w:sz w:val="16"/>
                <w:lang w:eastAsia="zh-CN"/>
              </w:rPr>
            </w:pPr>
          </w:p>
        </w:tc>
        <w:tc>
          <w:tcPr>
            <w:tcW w:w="751" w:type="pct"/>
          </w:tcPr>
          <w:p w14:paraId="3145C334" w14:textId="77777777" w:rsidR="00063CA7" w:rsidRPr="00DD3199" w:rsidRDefault="00063CA7" w:rsidP="00AE5395">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5C5E66D3" w14:textId="77777777" w:rsidR="00063CA7" w:rsidRPr="00DD3199" w:rsidRDefault="00063CA7" w:rsidP="00AE5395">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063CA7" w:rsidRPr="00DD3199" w14:paraId="1BA555AF" w14:textId="77777777" w:rsidTr="00AE5395">
        <w:trPr>
          <w:cantSplit/>
          <w:jc w:val="center"/>
        </w:trPr>
        <w:tc>
          <w:tcPr>
            <w:tcW w:w="5000" w:type="pct"/>
            <w:gridSpan w:val="4"/>
          </w:tcPr>
          <w:p w14:paraId="66245A33" w14:textId="77777777" w:rsidR="00063CA7" w:rsidRPr="00DD3199" w:rsidRDefault="00063CA7" w:rsidP="00AE5395">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1E0AD854" w14:textId="064900AE" w:rsidR="00AE131F" w:rsidRDefault="00AE131F" w:rsidP="00EA17AC">
      <w:pPr>
        <w:ind w:right="-22"/>
        <w:rPr>
          <w:rFonts w:eastAsia="Calibri" w:cs="Times New Roman"/>
          <w:szCs w:val="20"/>
        </w:rPr>
      </w:pPr>
    </w:p>
    <w:p w14:paraId="39ABD23A" w14:textId="66E3C54B" w:rsidR="00AE131F" w:rsidRDefault="00AE131F" w:rsidP="00EA17AC">
      <w:pPr>
        <w:ind w:right="-22"/>
        <w:rPr>
          <w:rFonts w:eastAsia="Calibri" w:cs="Times New Roman"/>
          <w:szCs w:val="20"/>
        </w:rPr>
      </w:pPr>
      <w:r>
        <w:rPr>
          <w:rFonts w:eastAsia="Calibri" w:cs="Times New Roman"/>
          <w:szCs w:val="20"/>
        </w:rPr>
        <w:t>It is noted that for the M1 RAN4 has defined followed:</w:t>
      </w:r>
    </w:p>
    <w:p w14:paraId="308492F9" w14:textId="0970883A" w:rsidR="00184E45" w:rsidRPr="00AE131F" w:rsidRDefault="00184E45" w:rsidP="00AE131F">
      <w:pPr>
        <w:pStyle w:val="ListParagraph"/>
        <w:numPr>
          <w:ilvl w:val="0"/>
          <w:numId w:val="22"/>
        </w:numPr>
        <w:ind w:right="-22"/>
        <w:rPr>
          <w:rFonts w:eastAsia="Calibri" w:cs="Times New Roman"/>
          <w:szCs w:val="20"/>
          <w:lang w:val="en-GB"/>
        </w:rPr>
      </w:pPr>
      <w:r w:rsidRPr="00AE131F">
        <w:rPr>
          <w:szCs w:val="20"/>
        </w:rPr>
        <w:lastRenderedPageBreak/>
        <w:t>M1=2 if SMTC periodicity (T</w:t>
      </w:r>
      <w:r w:rsidRPr="00AE131F">
        <w:rPr>
          <w:sz w:val="13"/>
          <w:szCs w:val="13"/>
        </w:rPr>
        <w:t>SMTC</w:t>
      </w:r>
      <w:r w:rsidRPr="00AE131F">
        <w:rPr>
          <w:szCs w:val="20"/>
        </w:rPr>
        <w:t xml:space="preserve">) &gt; 20 </w:t>
      </w:r>
      <w:proofErr w:type="spellStart"/>
      <w:r w:rsidRPr="00AE131F">
        <w:rPr>
          <w:szCs w:val="20"/>
        </w:rPr>
        <w:t>ms</w:t>
      </w:r>
      <w:proofErr w:type="spellEnd"/>
      <w:r w:rsidRPr="00AE131F">
        <w:rPr>
          <w:szCs w:val="20"/>
        </w:rPr>
        <w:t xml:space="preserve"> and DRX cycle </w:t>
      </w:r>
      <w:r w:rsidRPr="00AE131F">
        <w:rPr>
          <w:rFonts w:ascii="SimSun" w:eastAsia="SimSun" w:cs="SimSun" w:hint="eastAsia"/>
          <w:szCs w:val="20"/>
        </w:rPr>
        <w:t>≤</w:t>
      </w:r>
      <w:r w:rsidRPr="00AE131F">
        <w:rPr>
          <w:rFonts w:ascii="SimSun" w:eastAsia="SimSun" w:cs="SimSun"/>
          <w:szCs w:val="20"/>
        </w:rPr>
        <w:t xml:space="preserve"> </w:t>
      </w:r>
      <w:r w:rsidRPr="00AE131F">
        <w:rPr>
          <w:rFonts w:eastAsia="SimSun"/>
          <w:szCs w:val="20"/>
        </w:rPr>
        <w:t>0.64 second,</w:t>
      </w:r>
    </w:p>
    <w:p w14:paraId="3CEDF562" w14:textId="5E900A29" w:rsidR="009A243D" w:rsidRDefault="009A243D" w:rsidP="00EA17AC">
      <w:pPr>
        <w:ind w:right="-22"/>
        <w:rPr>
          <w:rFonts w:eastAsia="Calibri" w:cs="Times New Roman"/>
          <w:szCs w:val="20"/>
          <w:lang w:val="en-GB"/>
        </w:rPr>
      </w:pPr>
      <w:r>
        <w:rPr>
          <w:rFonts w:eastAsia="Calibri" w:cs="Times New Roman"/>
          <w:szCs w:val="20"/>
          <w:lang w:val="en-GB"/>
        </w:rPr>
        <w:t>Which gives a misalignment between serving cell and intra-frequency when scaling is applied and when not. The case of concern is the SMTC = 40ms. In this case the intra-frequency neighbour cell will assume M2=M3=M4=1 (i.e. removed) leading to e.g. neighbour cell measurement delay of 0.32 seconds or 1 DRX cycles. For the same SMTC period of 40ms the serving cell measurements are scaled with M1=2 leading to a measurement delay of 0.64 seconds or once every 2</w:t>
      </w:r>
      <w:r w:rsidRPr="00352F51">
        <w:rPr>
          <w:rFonts w:eastAsia="Calibri" w:cs="Times New Roman"/>
          <w:szCs w:val="20"/>
          <w:vertAlign w:val="superscript"/>
          <w:lang w:val="en-GB"/>
        </w:rPr>
        <w:t>nd</w:t>
      </w:r>
      <w:r>
        <w:rPr>
          <w:rFonts w:eastAsia="Calibri" w:cs="Times New Roman"/>
          <w:szCs w:val="20"/>
          <w:lang w:val="en-GB"/>
        </w:rPr>
        <w:t xml:space="preserve"> DRX cycle.</w:t>
      </w:r>
    </w:p>
    <w:p w14:paraId="3330DEC9" w14:textId="4091E272" w:rsidR="009A243D" w:rsidRDefault="009A243D" w:rsidP="009A243D">
      <w:pPr>
        <w:pStyle w:val="RAN4observation0"/>
      </w:pPr>
      <w:r>
        <w:t>Serving cell measurements are more relaxed than intra-frequency neighbour cell measurements for SMTC=40ms.</w:t>
      </w:r>
    </w:p>
    <w:p w14:paraId="37A90342" w14:textId="2AD00B26" w:rsidR="009A243D" w:rsidRDefault="009A243D" w:rsidP="009A243D">
      <w:pPr>
        <w:rPr>
          <w:lang w:val="en-GB"/>
        </w:rPr>
      </w:pPr>
      <w:r>
        <w:rPr>
          <w:lang w:val="en-GB"/>
        </w:rPr>
        <w:t>Having more relaxed serving cell measurements seem counter intuitive</w:t>
      </w:r>
      <w:r w:rsidR="00ED3B87">
        <w:rPr>
          <w:lang w:val="en-GB"/>
        </w:rPr>
        <w:t>. Additionally, UE will have the receiver and searcher active for performing intra-frequency neighbour cell measurements, and hence, measuring also serving cell should be a negligible effort on UE side.</w:t>
      </w:r>
    </w:p>
    <w:p w14:paraId="48856DA6" w14:textId="070CC81C" w:rsidR="00AE131F" w:rsidRPr="00AE131F" w:rsidRDefault="00AE131F" w:rsidP="00EA17AC">
      <w:pPr>
        <w:ind w:right="-22"/>
        <w:rPr>
          <w:rFonts w:eastAsia="Calibri" w:cs="Times New Roman"/>
          <w:szCs w:val="20"/>
          <w:lang w:val="en-GB"/>
        </w:rPr>
      </w:pPr>
      <w:r w:rsidRPr="00AE131F">
        <w:rPr>
          <w:rFonts w:eastAsia="Calibri" w:cs="Times New Roman"/>
          <w:szCs w:val="20"/>
          <w:lang w:val="en-GB"/>
        </w:rPr>
        <w:t xml:space="preserve">Hence, </w:t>
      </w:r>
      <w:r w:rsidR="0081470B">
        <w:rPr>
          <w:rFonts w:eastAsia="Calibri" w:cs="Times New Roman"/>
          <w:szCs w:val="20"/>
          <w:lang w:val="en-GB"/>
        </w:rPr>
        <w:t xml:space="preserve">in order to align the serving cell measurement requirements with the </w:t>
      </w:r>
      <w:r w:rsidR="00ED3B87">
        <w:rPr>
          <w:rFonts w:eastAsia="Calibri" w:cs="Times New Roman"/>
          <w:szCs w:val="20"/>
          <w:lang w:val="en-GB"/>
        </w:rPr>
        <w:t>requirements for</w:t>
      </w:r>
      <w:r w:rsidR="0081470B">
        <w:rPr>
          <w:rFonts w:eastAsia="Calibri" w:cs="Times New Roman"/>
          <w:szCs w:val="20"/>
          <w:lang w:val="en-GB"/>
        </w:rPr>
        <w:t xml:space="preserve"> intra-frequency neighbour cell measurement, we propose that the for serving cell requirements, the SMTC period should include 40ms</w:t>
      </w:r>
      <w:r w:rsidR="00ED3B87">
        <w:rPr>
          <w:rFonts w:eastAsia="Calibri" w:cs="Times New Roman"/>
          <w:szCs w:val="20"/>
          <w:lang w:val="en-GB"/>
        </w:rPr>
        <w:t>:</w:t>
      </w:r>
      <w:r w:rsidR="0081470B">
        <w:rPr>
          <w:rFonts w:eastAsia="Calibri" w:cs="Times New Roman"/>
          <w:szCs w:val="20"/>
          <w:lang w:val="en-GB"/>
        </w:rPr>
        <w:t xml:space="preserve"> As illustrated next:</w:t>
      </w:r>
    </w:p>
    <w:p w14:paraId="467297A3" w14:textId="574205A6" w:rsidR="00184E45" w:rsidRPr="0081470B" w:rsidRDefault="00184E45" w:rsidP="0081470B">
      <w:pPr>
        <w:pStyle w:val="ListParagraph"/>
        <w:numPr>
          <w:ilvl w:val="0"/>
          <w:numId w:val="22"/>
        </w:numPr>
        <w:ind w:right="-22"/>
        <w:rPr>
          <w:rFonts w:eastAsia="Calibri" w:cs="Times New Roman"/>
          <w:szCs w:val="20"/>
          <w:lang w:val="en-GB"/>
        </w:rPr>
      </w:pPr>
      <w:r w:rsidRPr="0081470B">
        <w:rPr>
          <w:szCs w:val="20"/>
        </w:rPr>
        <w:t>M1=</w:t>
      </w:r>
      <w:r w:rsidR="00C04705">
        <w:rPr>
          <w:szCs w:val="20"/>
        </w:rPr>
        <w:t>2</w:t>
      </w:r>
      <w:r w:rsidRPr="0081470B">
        <w:rPr>
          <w:szCs w:val="20"/>
        </w:rPr>
        <w:t xml:space="preserve"> if SMTC periodicity (T</w:t>
      </w:r>
      <w:r w:rsidRPr="0081470B">
        <w:rPr>
          <w:sz w:val="13"/>
          <w:szCs w:val="13"/>
        </w:rPr>
        <w:t>SMTC</w:t>
      </w:r>
      <w:r w:rsidRPr="0081470B">
        <w:rPr>
          <w:szCs w:val="20"/>
        </w:rPr>
        <w:t xml:space="preserve">) &gt; </w:t>
      </w:r>
      <w:r w:rsidRPr="0081470B">
        <w:rPr>
          <w:szCs w:val="20"/>
          <w:highlight w:val="yellow"/>
        </w:rPr>
        <w:t>4</w:t>
      </w:r>
      <w:r w:rsidRPr="0081470B">
        <w:rPr>
          <w:szCs w:val="20"/>
        </w:rPr>
        <w:t xml:space="preserve">0 </w:t>
      </w:r>
      <w:proofErr w:type="spellStart"/>
      <w:r w:rsidRPr="0081470B">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0.64 second,</w:t>
      </w:r>
    </w:p>
    <w:p w14:paraId="348ABBE5" w14:textId="60518D29" w:rsidR="00ED3B87" w:rsidRDefault="00ED3B87" w:rsidP="00352F51">
      <w:pPr>
        <w:pStyle w:val="RAN4proposal"/>
        <w:rPr>
          <w:lang w:val="en-GB"/>
        </w:rPr>
      </w:pPr>
      <w:r>
        <w:rPr>
          <w:szCs w:val="20"/>
        </w:rPr>
        <w:t xml:space="preserve">For HST </w:t>
      </w:r>
      <w:r w:rsidRPr="0081470B">
        <w:rPr>
          <w:szCs w:val="20"/>
        </w:rPr>
        <w:t>M1=</w:t>
      </w:r>
      <w:r>
        <w:rPr>
          <w:szCs w:val="20"/>
        </w:rPr>
        <w:t>2</w:t>
      </w:r>
      <w:r w:rsidRPr="0081470B">
        <w:rPr>
          <w:szCs w:val="20"/>
        </w:rPr>
        <w:t xml:space="preserve"> if SMTC periodicity (T</w:t>
      </w:r>
      <w:r w:rsidRPr="0081470B">
        <w:rPr>
          <w:sz w:val="13"/>
          <w:szCs w:val="13"/>
        </w:rPr>
        <w:t>SMTC</w:t>
      </w:r>
      <w:r w:rsidRPr="0081470B">
        <w:rPr>
          <w:szCs w:val="20"/>
        </w:rPr>
        <w:t xml:space="preserve">) &gt; </w:t>
      </w:r>
      <w:r w:rsidRPr="00352F51">
        <w:rPr>
          <w:szCs w:val="20"/>
        </w:rPr>
        <w:t>4</w:t>
      </w:r>
      <w:r w:rsidRPr="0081470B">
        <w:rPr>
          <w:szCs w:val="20"/>
        </w:rPr>
        <w:t xml:space="preserve">0 </w:t>
      </w:r>
      <w:proofErr w:type="spellStart"/>
      <w:r w:rsidRPr="0081470B">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0.64 second</w:t>
      </w:r>
      <w:r>
        <w:rPr>
          <w:rFonts w:eastAsia="SimSun"/>
          <w:szCs w:val="20"/>
        </w:rPr>
        <w:t xml:space="preserve"> for the serving cell measurements.</w:t>
      </w:r>
    </w:p>
    <w:p w14:paraId="1556161A" w14:textId="06ACF6F5" w:rsidR="00ED3B87" w:rsidRDefault="00ED3B87" w:rsidP="00352F51">
      <w:pPr>
        <w:tabs>
          <w:tab w:val="left" w:pos="5280"/>
        </w:tabs>
        <w:ind w:right="-22"/>
        <w:rPr>
          <w:rFonts w:eastAsia="Calibri" w:cs="Times New Roman"/>
          <w:szCs w:val="20"/>
          <w:lang w:val="en-GB"/>
        </w:rPr>
      </w:pPr>
      <w:r>
        <w:rPr>
          <w:rFonts w:eastAsia="Calibri" w:cs="Times New Roman"/>
          <w:szCs w:val="20"/>
          <w:lang w:val="en-GB"/>
        </w:rPr>
        <w:t>Similarly, the scaling should be limited to DRX of 320ms.</w:t>
      </w:r>
    </w:p>
    <w:p w14:paraId="56CF4CBB" w14:textId="0392BDFF" w:rsidR="00C04705" w:rsidRPr="00C04705" w:rsidRDefault="00ED3B87" w:rsidP="00C04705">
      <w:pPr>
        <w:pStyle w:val="RAN4proposal"/>
        <w:rPr>
          <w:lang w:val="en-GB"/>
        </w:rPr>
      </w:pPr>
      <w:r>
        <w:rPr>
          <w:lang w:val="en-GB"/>
        </w:rPr>
        <w:t>F</w:t>
      </w:r>
      <w:r w:rsidR="00C04705">
        <w:rPr>
          <w:lang w:val="en-GB"/>
        </w:rPr>
        <w:t xml:space="preserve">or HST </w:t>
      </w:r>
      <w:r w:rsidR="00C04705" w:rsidRPr="0081470B">
        <w:rPr>
          <w:szCs w:val="20"/>
        </w:rPr>
        <w:t>M1=</w:t>
      </w:r>
      <w:r w:rsidR="00C04705">
        <w:rPr>
          <w:szCs w:val="20"/>
        </w:rPr>
        <w:t>2</w:t>
      </w:r>
      <w:r w:rsidR="00C04705" w:rsidRPr="0081470B">
        <w:rPr>
          <w:szCs w:val="20"/>
        </w:rPr>
        <w:t xml:space="preserve"> if SMTC periodicity (T</w:t>
      </w:r>
      <w:r w:rsidR="00C04705" w:rsidRPr="0081470B">
        <w:rPr>
          <w:sz w:val="13"/>
          <w:szCs w:val="13"/>
        </w:rPr>
        <w:t>SMTC</w:t>
      </w:r>
      <w:r w:rsidR="00C04705" w:rsidRPr="0081470B">
        <w:rPr>
          <w:szCs w:val="20"/>
        </w:rPr>
        <w:t xml:space="preserve">) &gt; </w:t>
      </w:r>
      <w:r w:rsidR="00C04705" w:rsidRPr="0081470B">
        <w:rPr>
          <w:szCs w:val="20"/>
          <w:highlight w:val="yellow"/>
        </w:rPr>
        <w:t>4</w:t>
      </w:r>
      <w:r w:rsidR="00C04705" w:rsidRPr="0081470B">
        <w:rPr>
          <w:szCs w:val="20"/>
        </w:rPr>
        <w:t xml:space="preserve">0 </w:t>
      </w:r>
      <w:proofErr w:type="spellStart"/>
      <w:r w:rsidR="00C04705" w:rsidRPr="0081470B">
        <w:rPr>
          <w:szCs w:val="20"/>
        </w:rPr>
        <w:t>ms</w:t>
      </w:r>
      <w:proofErr w:type="spellEnd"/>
      <w:r w:rsidR="00C04705" w:rsidRPr="0081470B">
        <w:rPr>
          <w:szCs w:val="20"/>
        </w:rPr>
        <w:t xml:space="preserve"> and DRX cycle </w:t>
      </w:r>
      <w:r w:rsidR="00C04705" w:rsidRPr="0081470B">
        <w:rPr>
          <w:rFonts w:ascii="SimSun" w:eastAsia="SimSun" w:cs="SimSun" w:hint="eastAsia"/>
          <w:szCs w:val="20"/>
        </w:rPr>
        <w:t>≤</w:t>
      </w:r>
      <w:r w:rsidR="00C04705" w:rsidRPr="0081470B">
        <w:rPr>
          <w:rFonts w:ascii="SimSun" w:eastAsia="SimSun" w:cs="SimSun"/>
          <w:szCs w:val="20"/>
        </w:rPr>
        <w:t xml:space="preserve"> </w:t>
      </w:r>
      <w:r w:rsidR="00C04705" w:rsidRPr="0081470B">
        <w:rPr>
          <w:rFonts w:eastAsia="SimSun"/>
          <w:szCs w:val="20"/>
        </w:rPr>
        <w:t>0.</w:t>
      </w:r>
      <w:r>
        <w:rPr>
          <w:rFonts w:eastAsia="SimSun"/>
          <w:szCs w:val="20"/>
        </w:rPr>
        <w:t>32</w:t>
      </w:r>
      <w:r w:rsidRPr="0081470B">
        <w:rPr>
          <w:rFonts w:eastAsia="SimSun"/>
          <w:szCs w:val="20"/>
        </w:rPr>
        <w:t xml:space="preserve"> </w:t>
      </w:r>
      <w:r w:rsidR="00C04705" w:rsidRPr="0081470B">
        <w:rPr>
          <w:rFonts w:eastAsia="SimSun"/>
          <w:szCs w:val="20"/>
        </w:rPr>
        <w:t>second</w:t>
      </w:r>
      <w:r w:rsidR="00C04705">
        <w:rPr>
          <w:rFonts w:eastAsia="SimSun"/>
          <w:szCs w:val="20"/>
        </w:rPr>
        <w:t xml:space="preserve"> for the serving cell measurements.</w:t>
      </w:r>
    </w:p>
    <w:p w14:paraId="49C95531" w14:textId="3302C616" w:rsidR="00C04705" w:rsidRDefault="00CC6A2A" w:rsidP="00EA17AC">
      <w:pPr>
        <w:ind w:right="-22"/>
        <w:rPr>
          <w:rFonts w:eastAsia="Calibri" w:cs="Times New Roman"/>
          <w:szCs w:val="20"/>
          <w:lang w:val="en-GB"/>
        </w:rPr>
      </w:pPr>
      <w:r>
        <w:rPr>
          <w:rFonts w:eastAsia="Calibri" w:cs="Times New Roman"/>
          <w:szCs w:val="20"/>
          <w:lang w:val="en-GB"/>
        </w:rPr>
        <w:t>In [</w:t>
      </w:r>
      <w:r w:rsidR="00132DB8">
        <w:rPr>
          <w:rFonts w:eastAsia="Calibri" w:cs="Times New Roman"/>
          <w:szCs w:val="20"/>
          <w:lang w:val="en-GB"/>
        </w:rPr>
        <w:t>1</w:t>
      </w:r>
      <w:r>
        <w:rPr>
          <w:rFonts w:eastAsia="Calibri" w:cs="Times New Roman"/>
          <w:szCs w:val="20"/>
          <w:lang w:val="en-GB"/>
        </w:rPr>
        <w:t xml:space="preserve">] we have provided a </w:t>
      </w:r>
      <w:r w:rsidR="0084633F">
        <w:rPr>
          <w:rFonts w:eastAsia="Calibri" w:cs="Times New Roman"/>
          <w:szCs w:val="20"/>
          <w:lang w:val="en-GB"/>
        </w:rPr>
        <w:t>CR</w:t>
      </w:r>
      <w:r>
        <w:rPr>
          <w:rFonts w:eastAsia="Calibri" w:cs="Times New Roman"/>
          <w:szCs w:val="20"/>
          <w:lang w:val="en-GB"/>
        </w:rPr>
        <w:t xml:space="preserve"> capturing the proposals.</w:t>
      </w:r>
    </w:p>
    <w:p w14:paraId="6229BBC3" w14:textId="21377A5B" w:rsidR="002C2D19" w:rsidRDefault="002C2D19" w:rsidP="003B659E">
      <w:pPr>
        <w:ind w:right="-22"/>
        <w:rPr>
          <w:rFonts w:cs="Times New Roman"/>
        </w:rPr>
      </w:pPr>
    </w:p>
    <w:p w14:paraId="685DB605" w14:textId="0E75E2BB" w:rsidR="00A161DB" w:rsidRDefault="00A161DB" w:rsidP="00A161DB">
      <w:pPr>
        <w:pStyle w:val="RAN4H2"/>
      </w:pPr>
      <w:r>
        <w:t>Concerning UE measurement assumptions in NR HST</w:t>
      </w:r>
    </w:p>
    <w:p w14:paraId="5B87D655" w14:textId="5E231E09" w:rsidR="00A161DB" w:rsidRDefault="00A161DB" w:rsidP="00A161DB">
      <w:r>
        <w:t>In the last couple of meetings RAN4 has been discussing the need for being clearer about the mobility assumptions under HST. It has been proposed to include a note (or similar) into the 38.133 to clarify the limitations related to expected mobility. On example proposal has been:</w:t>
      </w:r>
    </w:p>
    <w:p w14:paraId="04A0180A" w14:textId="0E36ADF1" w:rsidR="00A161DB" w:rsidRDefault="00A161DB" w:rsidP="00352F51">
      <w:pPr>
        <w:ind w:left="360"/>
      </w:pPr>
      <w:r w:rsidRPr="00A161DB">
        <w:t xml:space="preserve">Operation with scaling factor M=1.5, M=2 may not be sufficient in all </w:t>
      </w:r>
      <w:proofErr w:type="gramStart"/>
      <w:r w:rsidRPr="00A161DB">
        <w:t>high speed</w:t>
      </w:r>
      <w:proofErr w:type="gramEnd"/>
      <w:r w:rsidRPr="00A161DB">
        <w:t xml:space="preserve"> deployments considered in this release of the specifications</w:t>
      </w:r>
    </w:p>
    <w:p w14:paraId="7A8D92A9" w14:textId="21DA81A9" w:rsidR="00A161DB" w:rsidRDefault="00A161DB" w:rsidP="00A161DB">
      <w:r>
        <w:t>The assumption (or agreement) in RAN4 is that NR HST work up to and including DRX cycles of 1.28 seconds. Using the current RAN4 assumption that the UE is performing measurements at paging reception (once per 1.28 seconds) this would mean that a new cell would be ready for evaluation after 1</w:t>
      </w:r>
      <w:r w:rsidR="00E20EF8">
        <w:t>0</w:t>
      </w:r>
      <w:r>
        <w:t xml:space="preserve">*1.28second = </w:t>
      </w:r>
      <w:r w:rsidR="00E20EF8">
        <w:t>12.8 seconds. Assuming 500kmh this would mean that in worst case the UE has moved around 1700m.</w:t>
      </w:r>
    </w:p>
    <w:p w14:paraId="56ACE79E" w14:textId="618ABB3B" w:rsidR="00E20EF8" w:rsidRDefault="00E20EF8" w:rsidP="00A161DB">
      <w:r>
        <w:t>We believe this delay is too long to ensure timely cell change and UE is likely losing service. Hence, it is preferred to add the proposed note as to when at least mobility can be ensured with the existing RAN4 measurement assumptions.</w:t>
      </w:r>
    </w:p>
    <w:p w14:paraId="56F4C381" w14:textId="58732AB5" w:rsidR="00A161DB" w:rsidRDefault="00E20EF8" w:rsidP="00352F51">
      <w:pPr>
        <w:pStyle w:val="RAN4proposal"/>
      </w:pPr>
      <w:r>
        <w:t>Include a note for NR HST when at least NR HST mobility can be ensured with the existing measurement assumptions.</w:t>
      </w:r>
    </w:p>
    <w:p w14:paraId="316E2CC6" w14:textId="3455D021" w:rsidR="00E20EF8" w:rsidRDefault="000105B5" w:rsidP="00A161DB">
      <w:r>
        <w:t>Another approach is to note that it what is the assumed number of UE measurements samples taken during the different DRX periods. It can be left for implementation how and when any additional (to the current assumed baseline sampling) measurements are performed, if only the simple amount is known.</w:t>
      </w:r>
    </w:p>
    <w:p w14:paraId="27FB1C28" w14:textId="77777777" w:rsidR="000105B5" w:rsidRPr="00A161DB" w:rsidRDefault="000105B5" w:rsidP="00352F51"/>
    <w:p w14:paraId="761516E1" w14:textId="4D10203B" w:rsidR="00CD7492" w:rsidRPr="00352F51" w:rsidRDefault="00CD7492" w:rsidP="00A37002">
      <w:pPr>
        <w:pStyle w:val="RAN4H1"/>
      </w:pPr>
      <w:r w:rsidRPr="00352F51">
        <w:lastRenderedPageBreak/>
        <w:t>Conclusion</w:t>
      </w:r>
    </w:p>
    <w:p w14:paraId="1ACB08A1" w14:textId="77777777" w:rsidR="00352F51" w:rsidRDefault="00352F51" w:rsidP="00132DB8">
      <w:pPr>
        <w:rPr>
          <w:rFonts w:eastAsia="Calibri" w:cs="Times New Roman"/>
          <w:szCs w:val="20"/>
          <w:lang w:val="en-GB"/>
        </w:rPr>
      </w:pPr>
      <w:r>
        <w:rPr>
          <w:rFonts w:eastAsia="Calibri" w:cs="Times New Roman"/>
          <w:szCs w:val="20"/>
          <w:lang w:val="en-GB"/>
        </w:rPr>
        <w:t xml:space="preserve">In last meeting RAN4 agreed a WF in [3] in which the Idle mode requirements under HST were captured. Related to idle mode operation only two open items remain namely the serving cell requirements and whether a note is needed or not. </w:t>
      </w:r>
    </w:p>
    <w:p w14:paraId="5FDB601B" w14:textId="77777777" w:rsidR="00352F51" w:rsidRDefault="00352F51" w:rsidP="00352F51">
      <w:pPr>
        <w:pStyle w:val="RAN4Observation"/>
        <w:numPr>
          <w:ilvl w:val="0"/>
          <w:numId w:val="24"/>
        </w:numPr>
      </w:pPr>
      <w:r>
        <w:t>Serving cell measurements are more relaxed than intra-frequency neighbour cell measurements for SMTC=40ms.</w:t>
      </w:r>
    </w:p>
    <w:p w14:paraId="7EB16427" w14:textId="502007AA" w:rsidR="00132DB8" w:rsidRPr="00330C95" w:rsidRDefault="00352F51" w:rsidP="00132DB8">
      <w:pPr>
        <w:rPr>
          <w:lang w:val="en-GB"/>
        </w:rPr>
      </w:pPr>
      <w:r>
        <w:rPr>
          <w:rFonts w:eastAsia="Calibri" w:cs="Times New Roman"/>
          <w:szCs w:val="20"/>
          <w:lang w:val="en-GB"/>
        </w:rPr>
        <w:t>Related to this we propose</w:t>
      </w:r>
      <w:r w:rsidR="00132DB8" w:rsidRPr="00330C95">
        <w:rPr>
          <w:lang w:val="en-GB"/>
        </w:rPr>
        <w:t>:</w:t>
      </w:r>
    </w:p>
    <w:p w14:paraId="217A6F42" w14:textId="77777777" w:rsidR="00352F51" w:rsidRPr="00352F51" w:rsidRDefault="00352F51" w:rsidP="00352F51">
      <w:pPr>
        <w:pStyle w:val="RAN4proposal"/>
        <w:numPr>
          <w:ilvl w:val="0"/>
          <w:numId w:val="23"/>
        </w:numPr>
        <w:rPr>
          <w:lang w:val="en-GB"/>
        </w:rPr>
      </w:pPr>
      <w:r w:rsidRPr="00352F51">
        <w:rPr>
          <w:szCs w:val="20"/>
        </w:rPr>
        <w:t>For HST M1=2 if SMTC periodicity (T</w:t>
      </w:r>
      <w:r w:rsidRPr="00352F51">
        <w:rPr>
          <w:sz w:val="13"/>
          <w:szCs w:val="13"/>
        </w:rPr>
        <w:t>SMTC</w:t>
      </w:r>
      <w:r w:rsidRPr="00352F51">
        <w:rPr>
          <w:szCs w:val="20"/>
        </w:rPr>
        <w:t xml:space="preserve">) &gt; 40 </w:t>
      </w:r>
      <w:proofErr w:type="spellStart"/>
      <w:r w:rsidRPr="00352F51">
        <w:rPr>
          <w:szCs w:val="20"/>
        </w:rPr>
        <w:t>ms</w:t>
      </w:r>
      <w:proofErr w:type="spellEnd"/>
      <w:r w:rsidRPr="00352F51">
        <w:rPr>
          <w:szCs w:val="20"/>
        </w:rPr>
        <w:t xml:space="preserve"> and DRX cycle </w:t>
      </w:r>
      <w:r w:rsidRPr="00352F51">
        <w:rPr>
          <w:rFonts w:ascii="SimSun" w:eastAsia="SimSun" w:cs="SimSun" w:hint="eastAsia"/>
          <w:szCs w:val="20"/>
        </w:rPr>
        <w:t>≤</w:t>
      </w:r>
      <w:r w:rsidRPr="00352F51">
        <w:rPr>
          <w:rFonts w:ascii="SimSun" w:eastAsia="SimSun" w:cs="SimSun"/>
          <w:szCs w:val="20"/>
        </w:rPr>
        <w:t xml:space="preserve"> </w:t>
      </w:r>
      <w:r w:rsidRPr="00352F51">
        <w:rPr>
          <w:rFonts w:eastAsia="SimSun"/>
          <w:szCs w:val="20"/>
        </w:rPr>
        <w:t>0.64 second for the serving cell measurements.</w:t>
      </w:r>
    </w:p>
    <w:p w14:paraId="1649B558" w14:textId="77777777" w:rsidR="00352F51" w:rsidRPr="00C04705" w:rsidRDefault="00352F51" w:rsidP="00352F51">
      <w:pPr>
        <w:pStyle w:val="RAN4proposal"/>
        <w:rPr>
          <w:lang w:val="en-GB"/>
        </w:rPr>
      </w:pPr>
      <w:r>
        <w:rPr>
          <w:lang w:val="en-GB"/>
        </w:rPr>
        <w:t xml:space="preserve">For HST </w:t>
      </w:r>
      <w:r w:rsidRPr="0081470B">
        <w:rPr>
          <w:szCs w:val="20"/>
        </w:rPr>
        <w:t>M1=</w:t>
      </w:r>
      <w:r>
        <w:rPr>
          <w:szCs w:val="20"/>
        </w:rPr>
        <w:t>2</w:t>
      </w:r>
      <w:r w:rsidRPr="0081470B">
        <w:rPr>
          <w:szCs w:val="20"/>
        </w:rPr>
        <w:t xml:space="preserve"> if SMTC periodicity (T</w:t>
      </w:r>
      <w:r w:rsidRPr="0081470B">
        <w:rPr>
          <w:sz w:val="13"/>
          <w:szCs w:val="13"/>
        </w:rPr>
        <w:t>SMTC</w:t>
      </w:r>
      <w:r w:rsidRPr="0081470B">
        <w:rPr>
          <w:szCs w:val="20"/>
        </w:rPr>
        <w:t xml:space="preserve">) &gt; </w:t>
      </w:r>
      <w:r w:rsidRPr="0081470B">
        <w:rPr>
          <w:szCs w:val="20"/>
          <w:highlight w:val="yellow"/>
        </w:rPr>
        <w:t>4</w:t>
      </w:r>
      <w:r w:rsidRPr="0081470B">
        <w:rPr>
          <w:szCs w:val="20"/>
        </w:rPr>
        <w:t xml:space="preserve">0 </w:t>
      </w:r>
      <w:proofErr w:type="spellStart"/>
      <w:r w:rsidRPr="0081470B">
        <w:rPr>
          <w:szCs w:val="20"/>
        </w:rPr>
        <w:t>ms</w:t>
      </w:r>
      <w:proofErr w:type="spellEnd"/>
      <w:r w:rsidRPr="0081470B">
        <w:rPr>
          <w:szCs w:val="20"/>
        </w:rPr>
        <w:t xml:space="preserve"> and DRX cycle </w:t>
      </w:r>
      <w:r w:rsidRPr="0081470B">
        <w:rPr>
          <w:rFonts w:ascii="SimSun" w:eastAsia="SimSun" w:cs="SimSun" w:hint="eastAsia"/>
          <w:szCs w:val="20"/>
        </w:rPr>
        <w:t>≤</w:t>
      </w:r>
      <w:r w:rsidRPr="0081470B">
        <w:rPr>
          <w:rFonts w:ascii="SimSun" w:eastAsia="SimSun" w:cs="SimSun"/>
          <w:szCs w:val="20"/>
        </w:rPr>
        <w:t xml:space="preserve"> </w:t>
      </w:r>
      <w:r w:rsidRPr="0081470B">
        <w:rPr>
          <w:rFonts w:eastAsia="SimSun"/>
          <w:szCs w:val="20"/>
        </w:rPr>
        <w:t>0.</w:t>
      </w:r>
      <w:r>
        <w:rPr>
          <w:rFonts w:eastAsia="SimSun"/>
          <w:szCs w:val="20"/>
        </w:rPr>
        <w:t>32</w:t>
      </w:r>
      <w:r w:rsidRPr="0081470B">
        <w:rPr>
          <w:rFonts w:eastAsia="SimSun"/>
          <w:szCs w:val="20"/>
        </w:rPr>
        <w:t xml:space="preserve"> second</w:t>
      </w:r>
      <w:r>
        <w:rPr>
          <w:rFonts w:eastAsia="SimSun"/>
          <w:szCs w:val="20"/>
        </w:rPr>
        <w:t xml:space="preserve"> for the serving cell measurements.</w:t>
      </w:r>
    </w:p>
    <w:p w14:paraId="1C4D921A" w14:textId="77777777" w:rsidR="00352F51" w:rsidRDefault="00352F51" w:rsidP="00352F51">
      <w:pPr>
        <w:pStyle w:val="RAN4proposal"/>
      </w:pPr>
      <w:r>
        <w:t>Include a note for NR HST when at least NR HST mobility can be ensured with the existing measurement assumptions.</w:t>
      </w:r>
    </w:p>
    <w:p w14:paraId="6FF05EBA" w14:textId="35A51D11" w:rsidR="00132DB8" w:rsidRPr="00330C95" w:rsidRDefault="00132DB8" w:rsidP="00330C95">
      <w:pPr>
        <w:rPr>
          <w:highlight w:val="yellow"/>
          <w:lang w:val="en-GB"/>
        </w:rPr>
      </w:pPr>
      <w:r>
        <w:rPr>
          <w:rFonts w:eastAsia="Calibri" w:cs="Times New Roman"/>
          <w:szCs w:val="20"/>
          <w:lang w:val="en-GB"/>
        </w:rPr>
        <w:t>In [</w:t>
      </w:r>
      <w:r w:rsidR="00352F51">
        <w:rPr>
          <w:rFonts w:eastAsia="Calibri" w:cs="Times New Roman"/>
          <w:szCs w:val="20"/>
          <w:lang w:val="en-GB"/>
        </w:rPr>
        <w:t>4</w:t>
      </w:r>
      <w:r>
        <w:rPr>
          <w:rFonts w:eastAsia="Calibri" w:cs="Times New Roman"/>
          <w:szCs w:val="20"/>
          <w:lang w:val="en-GB"/>
        </w:rPr>
        <w:t>] we have provided a TP capturing the proposal</w:t>
      </w:r>
      <w:r w:rsidR="00352F51">
        <w:rPr>
          <w:rFonts w:eastAsia="Calibri" w:cs="Times New Roman"/>
          <w:szCs w:val="20"/>
          <w:lang w:val="en-GB"/>
        </w:rPr>
        <w:t xml:space="preserve"> 2</w:t>
      </w:r>
      <w:r>
        <w:rPr>
          <w:rFonts w:eastAsia="Calibri" w:cs="Times New Roman"/>
          <w:szCs w:val="20"/>
          <w:lang w:val="en-GB"/>
        </w:rPr>
        <w:t>.</w:t>
      </w:r>
    </w:p>
    <w:p w14:paraId="3DAFBD41" w14:textId="77777777" w:rsidR="003B659E" w:rsidRPr="0095295C" w:rsidRDefault="003B659E" w:rsidP="0008612A">
      <w:pPr>
        <w:pStyle w:val="RAN4H1"/>
      </w:pPr>
      <w:r w:rsidRPr="0095295C">
        <w:t>References</w:t>
      </w:r>
    </w:p>
    <w:p w14:paraId="19FC2F12" w14:textId="0C760A3E" w:rsidR="003B659E"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330C95">
        <w:rPr>
          <w:rFonts w:eastAsia="Times New Roman" w:cs="Times New Roman"/>
          <w:szCs w:val="20"/>
          <w:lang w:val="en-GB"/>
        </w:rPr>
        <w:t>R4-</w:t>
      </w:r>
      <w:r w:rsidR="00CC6A2A" w:rsidRPr="00330C95">
        <w:rPr>
          <w:rFonts w:eastAsia="Times New Roman" w:cs="Times New Roman"/>
          <w:szCs w:val="20"/>
          <w:lang w:val="en-GB"/>
        </w:rPr>
        <w:t>200xxx</w:t>
      </w:r>
      <w:r w:rsidRPr="00330C95">
        <w:rPr>
          <w:rFonts w:eastAsia="Times New Roman" w:cs="Times New Roman"/>
          <w:szCs w:val="20"/>
          <w:lang w:val="en-GB"/>
        </w:rPr>
        <w:t xml:space="preserve">, </w:t>
      </w:r>
      <w:r w:rsidR="00CC6A2A" w:rsidRPr="00330C95">
        <w:rPr>
          <w:rFonts w:eastAsia="Times New Roman" w:cs="Times New Roman"/>
          <w:szCs w:val="20"/>
          <w:lang w:val="en-GB"/>
        </w:rPr>
        <w:t>TP for NR HST and Cell Reselection</w:t>
      </w:r>
      <w:r w:rsidRPr="00330C95">
        <w:rPr>
          <w:rFonts w:eastAsia="Times New Roman" w:cs="Times New Roman"/>
          <w:szCs w:val="20"/>
          <w:lang w:val="en-GB"/>
        </w:rPr>
        <w:t xml:space="preserve">, Nokia, </w:t>
      </w:r>
      <w:r w:rsidR="00CC6A2A" w:rsidRPr="00330C95">
        <w:rPr>
          <w:rFonts w:eastAsia="Times New Roman" w:cs="Times New Roman"/>
          <w:szCs w:val="20"/>
          <w:lang w:val="en-GB"/>
        </w:rPr>
        <w:t>Nokia</w:t>
      </w:r>
      <w:r w:rsidRPr="00330C95">
        <w:rPr>
          <w:rFonts w:eastAsia="Times New Roman" w:cs="Times New Roman"/>
          <w:szCs w:val="20"/>
          <w:lang w:val="en-GB"/>
        </w:rPr>
        <w:t xml:space="preserve"> Shanghai Bell</w:t>
      </w:r>
      <w:r w:rsidRPr="00330C95" w:rsidDel="00C651B9">
        <w:rPr>
          <w:rFonts w:eastAsia="Times New Roman" w:cs="Times New Roman"/>
          <w:szCs w:val="20"/>
          <w:lang w:val="en-GB"/>
        </w:rPr>
        <w:t xml:space="preserve"> </w:t>
      </w:r>
      <w:bookmarkEnd w:id="5"/>
    </w:p>
    <w:p w14:paraId="7595E151" w14:textId="01718EA9" w:rsidR="00A161DB" w:rsidRDefault="00A161D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161DB">
        <w:rPr>
          <w:rFonts w:eastAsia="Times New Roman" w:cs="Times New Roman"/>
          <w:szCs w:val="20"/>
          <w:lang w:val="en-GB"/>
        </w:rPr>
        <w:t>R4-2004452</w:t>
      </w:r>
      <w:r>
        <w:rPr>
          <w:rFonts w:eastAsia="Times New Roman" w:cs="Times New Roman"/>
          <w:szCs w:val="20"/>
          <w:lang w:val="en-GB"/>
        </w:rPr>
        <w:t xml:space="preserve">, </w:t>
      </w:r>
      <w:r w:rsidRPr="00A161DB">
        <w:rPr>
          <w:rFonts w:eastAsia="Times New Roman" w:cs="Times New Roman"/>
          <w:szCs w:val="20"/>
          <w:lang w:val="en-GB"/>
        </w:rPr>
        <w:t>NR HST</w:t>
      </w:r>
      <w:r>
        <w:rPr>
          <w:rFonts w:eastAsia="Times New Roman" w:cs="Times New Roman"/>
          <w:szCs w:val="20"/>
          <w:lang w:val="en-GB"/>
        </w:rPr>
        <w:t xml:space="preserve"> and cell reselection, </w:t>
      </w:r>
      <w:r w:rsidRPr="00330C95">
        <w:rPr>
          <w:rFonts w:eastAsia="Times New Roman" w:cs="Times New Roman"/>
          <w:szCs w:val="20"/>
          <w:lang w:val="en-GB"/>
        </w:rPr>
        <w:t>Nokia, Nokia Shanghai Bell</w:t>
      </w:r>
    </w:p>
    <w:p w14:paraId="7C7A9A78" w14:textId="1F5075A9" w:rsidR="00A161DB" w:rsidRDefault="00A161D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40286924"/>
      <w:r w:rsidRPr="00B218B1">
        <w:rPr>
          <w:rFonts w:eastAsia="Calibri" w:cs="Times New Roman"/>
          <w:szCs w:val="20"/>
          <w:lang w:val="en-GB"/>
        </w:rPr>
        <w:t>R4-2005358</w:t>
      </w:r>
      <w:r>
        <w:rPr>
          <w:rFonts w:eastAsia="Calibri" w:cs="Times New Roman"/>
          <w:szCs w:val="20"/>
          <w:lang w:val="en-GB"/>
        </w:rPr>
        <w:t xml:space="preserve">, </w:t>
      </w:r>
      <w:r w:rsidRPr="00A161DB">
        <w:rPr>
          <w:rFonts w:eastAsia="Calibri" w:cs="Times New Roman"/>
          <w:szCs w:val="20"/>
        </w:rPr>
        <w:t>WF on RRM for NR HST</w:t>
      </w:r>
      <w:r>
        <w:rPr>
          <w:rFonts w:eastAsia="Times New Roman" w:cs="Times New Roman"/>
          <w:szCs w:val="20"/>
          <w:lang w:val="en-GB"/>
        </w:rPr>
        <w:t xml:space="preserve">, </w:t>
      </w:r>
      <w:r w:rsidR="003167D6">
        <w:rPr>
          <w:rFonts w:eastAsia="Times New Roman" w:cs="Times New Roman"/>
          <w:szCs w:val="20"/>
          <w:lang w:val="en-GB"/>
        </w:rPr>
        <w:t>CMCC</w:t>
      </w:r>
    </w:p>
    <w:p w14:paraId="6CBEAA09" w14:textId="6A6C8D9A" w:rsidR="00352F51" w:rsidRPr="00330C95" w:rsidRDefault="0088666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86665">
        <w:rPr>
          <w:rFonts w:eastAsia="Times New Roman" w:cs="Times New Roman"/>
          <w:szCs w:val="20"/>
          <w:lang w:val="en-GB"/>
        </w:rPr>
        <w:t>R4-2008040</w:t>
      </w:r>
      <w:r>
        <w:rPr>
          <w:rFonts w:eastAsia="Times New Roman" w:cs="Times New Roman"/>
          <w:szCs w:val="20"/>
          <w:lang w:val="en-GB"/>
        </w:rPr>
        <w:t xml:space="preserve">, </w:t>
      </w:r>
      <w:r w:rsidRPr="00886665">
        <w:rPr>
          <w:rFonts w:eastAsia="Times New Roman" w:cs="Times New Roman"/>
          <w:szCs w:val="20"/>
          <w:lang w:val="en-GB"/>
        </w:rPr>
        <w:t>CR for Measurement and evaluation of serving cell in HST</w:t>
      </w:r>
      <w:r>
        <w:rPr>
          <w:rFonts w:eastAsia="Times New Roman" w:cs="Times New Roman"/>
          <w:szCs w:val="20"/>
          <w:lang w:val="en-GB"/>
        </w:rPr>
        <w:t xml:space="preserve">, </w:t>
      </w:r>
      <w:r w:rsidRPr="00330C95">
        <w:rPr>
          <w:rFonts w:eastAsia="Times New Roman" w:cs="Times New Roman"/>
          <w:szCs w:val="20"/>
          <w:lang w:val="en-GB"/>
        </w:rPr>
        <w:t>Nokia, Nokia Shanghai Bell</w:t>
      </w:r>
    </w:p>
    <w:bookmarkEnd w:id="6"/>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6171C"/>
    <w:multiLevelType w:val="hybridMultilevel"/>
    <w:tmpl w:val="14B6FB70"/>
    <w:lvl w:ilvl="0" w:tplc="452050A4">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 w:numId="23">
    <w:abstractNumId w:val="7"/>
    <w:lvlOverride w:ilvl="0">
      <w:startOverride w:val="1"/>
    </w:lvlOverride>
  </w:num>
  <w:num w:numId="2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5B5"/>
    <w:rsid w:val="000132EC"/>
    <w:rsid w:val="00063CA7"/>
    <w:rsid w:val="0008612A"/>
    <w:rsid w:val="000B0056"/>
    <w:rsid w:val="0010671C"/>
    <w:rsid w:val="00132DB8"/>
    <w:rsid w:val="001745F8"/>
    <w:rsid w:val="00176671"/>
    <w:rsid w:val="001838CF"/>
    <w:rsid w:val="00184E45"/>
    <w:rsid w:val="001B683A"/>
    <w:rsid w:val="001C2F6D"/>
    <w:rsid w:val="001E30F6"/>
    <w:rsid w:val="001E3F8D"/>
    <w:rsid w:val="00211395"/>
    <w:rsid w:val="00235F5C"/>
    <w:rsid w:val="002B4922"/>
    <w:rsid w:val="002C2D19"/>
    <w:rsid w:val="002D10FA"/>
    <w:rsid w:val="002D4C55"/>
    <w:rsid w:val="003167D6"/>
    <w:rsid w:val="00330C95"/>
    <w:rsid w:val="00352F51"/>
    <w:rsid w:val="00363CF1"/>
    <w:rsid w:val="003B659E"/>
    <w:rsid w:val="004118FF"/>
    <w:rsid w:val="00417AA0"/>
    <w:rsid w:val="0043750A"/>
    <w:rsid w:val="0045305A"/>
    <w:rsid w:val="004B7B4A"/>
    <w:rsid w:val="004E5E66"/>
    <w:rsid w:val="00503B4D"/>
    <w:rsid w:val="00504EE9"/>
    <w:rsid w:val="005433E0"/>
    <w:rsid w:val="0054442C"/>
    <w:rsid w:val="00550285"/>
    <w:rsid w:val="0057286E"/>
    <w:rsid w:val="00577E81"/>
    <w:rsid w:val="005836F8"/>
    <w:rsid w:val="0058723D"/>
    <w:rsid w:val="005918FA"/>
    <w:rsid w:val="005E3125"/>
    <w:rsid w:val="005E61A8"/>
    <w:rsid w:val="005F6419"/>
    <w:rsid w:val="00617400"/>
    <w:rsid w:val="00623DAA"/>
    <w:rsid w:val="00664950"/>
    <w:rsid w:val="00683220"/>
    <w:rsid w:val="00687FA0"/>
    <w:rsid w:val="006B7010"/>
    <w:rsid w:val="007145FF"/>
    <w:rsid w:val="00751515"/>
    <w:rsid w:val="00785232"/>
    <w:rsid w:val="007C3ED0"/>
    <w:rsid w:val="00806A76"/>
    <w:rsid w:val="00811C9D"/>
    <w:rsid w:val="0081470B"/>
    <w:rsid w:val="00816C80"/>
    <w:rsid w:val="00837BD9"/>
    <w:rsid w:val="00841BCD"/>
    <w:rsid w:val="0084633F"/>
    <w:rsid w:val="008826C1"/>
    <w:rsid w:val="00886665"/>
    <w:rsid w:val="008F12E7"/>
    <w:rsid w:val="00903B7A"/>
    <w:rsid w:val="009042BD"/>
    <w:rsid w:val="00977E1D"/>
    <w:rsid w:val="009A243D"/>
    <w:rsid w:val="009C003D"/>
    <w:rsid w:val="00A161DB"/>
    <w:rsid w:val="00A22B78"/>
    <w:rsid w:val="00A25AE5"/>
    <w:rsid w:val="00A37002"/>
    <w:rsid w:val="00A410BF"/>
    <w:rsid w:val="00A42B43"/>
    <w:rsid w:val="00AA1B0E"/>
    <w:rsid w:val="00AB6038"/>
    <w:rsid w:val="00AC5CA7"/>
    <w:rsid w:val="00AE131F"/>
    <w:rsid w:val="00AE56B1"/>
    <w:rsid w:val="00B218B1"/>
    <w:rsid w:val="00B73862"/>
    <w:rsid w:val="00B76B8A"/>
    <w:rsid w:val="00BA6900"/>
    <w:rsid w:val="00BA6E48"/>
    <w:rsid w:val="00BA724E"/>
    <w:rsid w:val="00BF2218"/>
    <w:rsid w:val="00C04705"/>
    <w:rsid w:val="00C5623A"/>
    <w:rsid w:val="00C741AE"/>
    <w:rsid w:val="00C94120"/>
    <w:rsid w:val="00CC6A2A"/>
    <w:rsid w:val="00CD7492"/>
    <w:rsid w:val="00CE2569"/>
    <w:rsid w:val="00CE3A6B"/>
    <w:rsid w:val="00D00211"/>
    <w:rsid w:val="00D06309"/>
    <w:rsid w:val="00D27872"/>
    <w:rsid w:val="00D351EA"/>
    <w:rsid w:val="00D43403"/>
    <w:rsid w:val="00D62E71"/>
    <w:rsid w:val="00D740CA"/>
    <w:rsid w:val="00D85728"/>
    <w:rsid w:val="00D97F4E"/>
    <w:rsid w:val="00DA2EF9"/>
    <w:rsid w:val="00DD555A"/>
    <w:rsid w:val="00DF120F"/>
    <w:rsid w:val="00DF2997"/>
    <w:rsid w:val="00E20EF8"/>
    <w:rsid w:val="00EA17AC"/>
    <w:rsid w:val="00EC7BC3"/>
    <w:rsid w:val="00ED3B87"/>
    <w:rsid w:val="00ED4DAB"/>
    <w:rsid w:val="00ED7600"/>
    <w:rsid w:val="00EF2A70"/>
    <w:rsid w:val="00F01634"/>
    <w:rsid w:val="00F1362C"/>
    <w:rsid w:val="00F81750"/>
    <w:rsid w:val="00F824F5"/>
    <w:rsid w:val="00F84289"/>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63C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63C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AE131F"/>
    <w:pPr>
      <w:autoSpaceDE w:val="0"/>
      <w:autoSpaceDN w:val="0"/>
      <w:adjustRightInd w:val="0"/>
      <w:spacing w:after="0" w:line="240" w:lineRule="auto"/>
    </w:pPr>
    <w:rPr>
      <w:rFonts w:ascii="Arial" w:hAnsi="Arial" w:cs="Arial"/>
      <w:color w:val="000000"/>
      <w:sz w:val="24"/>
      <w:szCs w:val="24"/>
      <w:lang w:val="en-GB"/>
    </w:rPr>
  </w:style>
  <w:style w:type="character" w:customStyle="1" w:styleId="Heading3Char">
    <w:name w:val="Heading 3 Char"/>
    <w:basedOn w:val="DefaultParagraphFont"/>
    <w:link w:val="Heading3"/>
    <w:uiPriority w:val="9"/>
    <w:semiHidden/>
    <w:rsid w:val="00063CA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63CA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063CA7"/>
    <w:pPr>
      <w:spacing w:after="180" w:line="240" w:lineRule="auto"/>
      <w:ind w:left="568" w:hanging="284"/>
    </w:pPr>
    <w:rPr>
      <w:rFonts w:eastAsia="SimSun" w:cs="Times New Roman"/>
      <w:szCs w:val="20"/>
      <w:lang w:val="en-GB"/>
    </w:rPr>
  </w:style>
  <w:style w:type="character" w:customStyle="1" w:styleId="B1Char">
    <w:name w:val="B1 Char"/>
    <w:link w:val="B1"/>
    <w:rsid w:val="00063CA7"/>
    <w:rPr>
      <w:rFonts w:ascii="Times New Roman" w:eastAsia="SimSun" w:hAnsi="Times New Roman" w:cs="Times New Roman"/>
      <w:sz w:val="20"/>
      <w:szCs w:val="20"/>
      <w:lang w:val="en-GB"/>
    </w:rPr>
  </w:style>
  <w:style w:type="paragraph" w:customStyle="1" w:styleId="B3">
    <w:name w:val="B3"/>
    <w:basedOn w:val="Normal"/>
    <w:rsid w:val="00C5623A"/>
    <w:pPr>
      <w:spacing w:after="180" w:line="240" w:lineRule="auto"/>
      <w:ind w:left="1135" w:hanging="284"/>
    </w:pPr>
    <w:rPr>
      <w:rFonts w:eastAsia="SimSun" w:cs="Times New Roman"/>
      <w:szCs w:val="20"/>
      <w:lang w:val="en-GB"/>
    </w:rPr>
  </w:style>
  <w:style w:type="character" w:styleId="CommentReference">
    <w:name w:val="annotation reference"/>
    <w:basedOn w:val="DefaultParagraphFont"/>
    <w:uiPriority w:val="99"/>
    <w:semiHidden/>
    <w:unhideWhenUsed/>
    <w:rsid w:val="00A42B43"/>
    <w:rPr>
      <w:sz w:val="16"/>
      <w:szCs w:val="16"/>
    </w:rPr>
  </w:style>
  <w:style w:type="paragraph" w:styleId="CommentText">
    <w:name w:val="annotation text"/>
    <w:basedOn w:val="Normal"/>
    <w:link w:val="CommentTextChar"/>
    <w:uiPriority w:val="99"/>
    <w:semiHidden/>
    <w:unhideWhenUsed/>
    <w:rsid w:val="00A42B43"/>
    <w:pPr>
      <w:spacing w:line="240" w:lineRule="auto"/>
    </w:pPr>
    <w:rPr>
      <w:szCs w:val="20"/>
    </w:rPr>
  </w:style>
  <w:style w:type="character" w:customStyle="1" w:styleId="CommentTextChar">
    <w:name w:val="Comment Text Char"/>
    <w:basedOn w:val="DefaultParagraphFont"/>
    <w:link w:val="CommentText"/>
    <w:uiPriority w:val="99"/>
    <w:semiHidden/>
    <w:rsid w:val="00A42B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2B43"/>
    <w:rPr>
      <w:b/>
      <w:bCs/>
    </w:rPr>
  </w:style>
  <w:style w:type="character" w:customStyle="1" w:styleId="CommentSubjectChar">
    <w:name w:val="Comment Subject Char"/>
    <w:basedOn w:val="CommentTextChar"/>
    <w:link w:val="CommentSubject"/>
    <w:uiPriority w:val="99"/>
    <w:semiHidden/>
    <w:rsid w:val="00A42B4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5604">
      <w:bodyDiv w:val="1"/>
      <w:marLeft w:val="0"/>
      <w:marRight w:val="0"/>
      <w:marTop w:val="0"/>
      <w:marBottom w:val="0"/>
      <w:divBdr>
        <w:top w:val="none" w:sz="0" w:space="0" w:color="auto"/>
        <w:left w:val="none" w:sz="0" w:space="0" w:color="auto"/>
        <w:bottom w:val="none" w:sz="0" w:space="0" w:color="auto"/>
        <w:right w:val="none" w:sz="0" w:space="0" w:color="auto"/>
      </w:divBdr>
    </w:div>
    <w:div w:id="130662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3F87-7B4B-4E9F-8F31-EAA7E3E4D73D}">
  <ds:schemaRefs>
    <ds:schemaRef ds:uri="http://schemas.microsoft.com/sharepoint/v3/contenttype/forms"/>
  </ds:schemaRefs>
</ds:datastoreItem>
</file>

<file path=customXml/itemProps2.xml><?xml version="1.0" encoding="utf-8"?>
<ds:datastoreItem xmlns:ds="http://schemas.openxmlformats.org/officeDocument/2006/customXml" ds:itemID="{2C1B26FF-AF44-434D-B63B-FB0B47715DD9}">
  <ds:schemaRefs>
    <ds:schemaRef ds:uri="http://schemas.microsoft.com/sharepoint/events"/>
  </ds:schemaRefs>
</ds:datastoreItem>
</file>

<file path=customXml/itemProps3.xml><?xml version="1.0" encoding="utf-8"?>
<ds:datastoreItem xmlns:ds="http://schemas.openxmlformats.org/officeDocument/2006/customXml" ds:itemID="{FE6EDA68-6789-42EB-85A1-5E79E8764843}">
  <ds:schemaRefs>
    <ds:schemaRef ds:uri="Microsoft.SharePoint.Taxonomy.ContentTypeSync"/>
  </ds:schemaRefs>
</ds:datastoreItem>
</file>

<file path=customXml/itemProps4.xml><?xml version="1.0" encoding="utf-8"?>
<ds:datastoreItem xmlns:ds="http://schemas.openxmlformats.org/officeDocument/2006/customXml" ds:itemID="{0DE697F5-853F-4BBE-9447-F376ACA21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9B3721-08CB-43EB-981E-D7A212D5E6FC}">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79C3B815-F3D9-43BE-9D58-6BF49BAE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2020-05-15T18:11:00Z</dcterms:created>
  <dcterms:modified xsi:type="dcterms:W3CDTF">2020-05-15T18:11:00Z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